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黑体" w:hAnsi="黑体" w:cs="Times New Roman"/>
          <w:b/>
          <w:bCs w:val="0"/>
          <w:color w:val="auto"/>
          <w:sz w:val="24"/>
          <w:szCs w:val="24"/>
          <w:lang w:val="en-US" w:eastAsia="zh-CN"/>
        </w:rPr>
      </w:pPr>
      <w:bookmarkStart w:id="0" w:name="_Toc47683432"/>
      <w:bookmarkStart w:id="1" w:name="_Toc2328"/>
      <w:r>
        <w:rPr>
          <w:rFonts w:hint="eastAsia" w:ascii="黑体" w:hAnsi="黑体" w:cs="Times New Roman"/>
          <w:b/>
          <w:bCs w:val="0"/>
          <w:color w:val="auto"/>
          <w:sz w:val="24"/>
          <w:szCs w:val="24"/>
          <w:lang w:val="en-US" w:eastAsia="zh-CN"/>
        </w:rPr>
        <w:t>附件5：</w:t>
      </w:r>
    </w:p>
    <w:p>
      <w:pPr>
        <w:pStyle w:val="10"/>
        <w:rPr>
          <w:rFonts w:ascii="黑体" w:hAnsi="黑体" w:cs="Times New Roman"/>
          <w:b/>
          <w:bCs w:val="0"/>
          <w:color w:val="auto"/>
          <w:sz w:val="24"/>
          <w:szCs w:val="24"/>
        </w:rPr>
      </w:pPr>
      <w:r>
        <w:rPr>
          <w:rFonts w:hint="eastAsia" w:ascii="黑体" w:hAnsi="黑体" w:cs="Times New Roman"/>
          <w:b/>
          <w:bCs w:val="0"/>
          <w:color w:val="auto"/>
          <w:sz w:val="24"/>
          <w:szCs w:val="24"/>
          <w:lang w:eastAsia="zh-CN"/>
        </w:rPr>
        <w:t>1</w:t>
      </w:r>
      <w:r>
        <w:rPr>
          <w:rFonts w:hint="eastAsia" w:ascii="黑体" w:hAnsi="黑体" w:cs="Times New Roman"/>
          <w:b/>
          <w:bCs w:val="0"/>
          <w:color w:val="auto"/>
          <w:sz w:val="24"/>
          <w:szCs w:val="24"/>
        </w:rPr>
        <w:t xml:space="preserve">. </w:t>
      </w:r>
      <w:bookmarkEnd w:id="0"/>
      <w:r>
        <w:rPr>
          <w:rFonts w:hint="eastAsia" w:ascii="黑体" w:hAnsi="黑体" w:cs="Times New Roman"/>
          <w:b/>
          <w:bCs w:val="0"/>
          <w:color w:val="auto"/>
          <w:sz w:val="24"/>
          <w:szCs w:val="24"/>
        </w:rPr>
        <w:t>竞价形式说明</w:t>
      </w:r>
      <w:bookmarkEnd w:id="1"/>
    </w:p>
    <w:p>
      <w:pPr>
        <w:spacing w:line="400" w:lineRule="exact"/>
        <w:ind w:firstLine="420" w:firstLineChars="200"/>
        <w:rPr>
          <w:color w:val="auto"/>
        </w:rPr>
      </w:pPr>
      <w:r>
        <w:rPr>
          <w:rFonts w:hint="eastAsia"/>
          <w:color w:val="auto"/>
        </w:rPr>
        <w:t>招标方有权选择电子竞价、电子谈判或者多种形式结合的方式，确定预中标单位。</w:t>
      </w:r>
    </w:p>
    <w:p>
      <w:pPr>
        <w:pStyle w:val="11"/>
        <w:rPr>
          <w:rFonts w:hint="eastAsia" w:ascii="宋体" w:hAnsi="宋体" w:eastAsia="宋体" w:cs="Times New Roman"/>
          <w:b/>
          <w:bCs w:val="0"/>
          <w:color w:val="auto"/>
        </w:rPr>
      </w:pPr>
      <w:bookmarkStart w:id="2" w:name="_Toc31440"/>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w:t>
      </w:r>
      <w:r>
        <w:rPr>
          <w:rFonts w:hint="eastAsia" w:ascii="宋体" w:hAnsi="宋体" w:eastAsia="宋体" w:cs="Times New Roman"/>
          <w:b/>
          <w:bCs w:val="0"/>
          <w:color w:val="auto"/>
          <w:lang w:val="en-US" w:eastAsia="zh-CN"/>
        </w:rPr>
        <w:t>1</w:t>
      </w:r>
      <w:r>
        <w:rPr>
          <w:rFonts w:hint="eastAsia" w:ascii="宋体" w:hAnsi="宋体" w:eastAsia="宋体" w:cs="Times New Roman"/>
          <w:b/>
          <w:bCs w:val="0"/>
          <w:color w:val="auto"/>
        </w:rPr>
        <w:t>电子</w:t>
      </w:r>
      <w:bookmarkStart w:id="4" w:name="_GoBack"/>
      <w:bookmarkEnd w:id="4"/>
      <w:r>
        <w:rPr>
          <w:rFonts w:hint="eastAsia" w:ascii="宋体" w:hAnsi="宋体" w:eastAsia="宋体" w:cs="Times New Roman"/>
          <w:b/>
          <w:bCs w:val="0"/>
          <w:color w:val="auto"/>
        </w:rPr>
        <w:t>竞价</w:t>
      </w:r>
      <w:bookmarkEnd w:id="2"/>
      <w:r>
        <w:rPr>
          <w:rFonts w:hint="eastAsia" w:ascii="宋体" w:hAnsi="宋体" w:eastAsia="宋体" w:cs="Times New Roman"/>
          <w:b/>
          <w:bCs w:val="0"/>
          <w:color w:val="auto"/>
        </w:rPr>
        <w:t>（适用于无技术权重）</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ascii="宋体" w:hAnsi="宋体" w:eastAsia="宋体" w:cs="Times New Roman"/>
          <w:bCs/>
          <w:sz w:val="22"/>
          <w:u w:val="single"/>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6、</w:t>
      </w:r>
      <w:r>
        <w:rPr>
          <w:rFonts w:ascii="宋体" w:hAnsi="宋体" w:eastAsia="宋体" w:cs="Times New Roman"/>
          <w:color w:val="5B9BD5" w:themeColor="accent1"/>
          <w:sz w:val="22"/>
          <w14:textFill>
            <w14:solidFill>
              <w14:schemeClr w14:val="accent1"/>
            </w14:solidFill>
          </w14:textFill>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color w:val="0000FF"/>
          <w:sz w:val="22"/>
        </w:rPr>
      </w:pPr>
      <w:r>
        <w:rPr>
          <w:rFonts w:hint="eastAsia" w:ascii="宋体" w:hAnsi="宋体" w:eastAsia="宋体" w:cs="Times New Roman"/>
          <w:bCs/>
          <w:color w:val="0000FF"/>
          <w:sz w:val="22"/>
        </w:rPr>
        <w:t>12、本次电子竞买报价以</w:t>
      </w:r>
      <w:r>
        <w:rPr>
          <w:rFonts w:ascii="宋体" w:hAnsi="宋体" w:eastAsia="宋体" w:cs="Times New Roman"/>
          <w:bCs/>
          <w:color w:val="0000FF"/>
          <w:sz w:val="22"/>
        </w:rPr>
        <w:t>整体暂定</w:t>
      </w:r>
      <w:r>
        <w:rPr>
          <w:rFonts w:hint="eastAsia" w:ascii="宋体" w:hAnsi="宋体" w:eastAsia="宋体" w:cs="Times New Roman"/>
          <w:bCs/>
          <w:color w:val="0000FF"/>
          <w:sz w:val="22"/>
        </w:rPr>
        <w:t>/固定</w:t>
      </w:r>
      <w:r>
        <w:rPr>
          <w:rFonts w:ascii="宋体" w:hAnsi="宋体" w:eastAsia="宋体" w:cs="Times New Roman"/>
          <w:bCs/>
          <w:color w:val="0000FF"/>
          <w:sz w:val="22"/>
        </w:rPr>
        <w:t>总价</w:t>
      </w:r>
      <w:r>
        <w:rPr>
          <w:rFonts w:hint="eastAsia" w:ascii="宋体" w:hAnsi="宋体" w:eastAsia="宋体" w:cs="Times New Roman"/>
          <w:bCs/>
          <w:color w:val="0000FF"/>
          <w:sz w:val="22"/>
        </w:rPr>
        <w:t>进行竞价。</w:t>
      </w:r>
      <w:r>
        <w:rPr>
          <w:rFonts w:ascii="宋体" w:hAnsi="宋体" w:eastAsia="宋体" w:cs="Times New Roman"/>
          <w:bCs/>
          <w:color w:val="0000FF"/>
          <w:sz w:val="22"/>
        </w:rPr>
        <w:t>初始报价以标书报价为准</w:t>
      </w:r>
      <w:r>
        <w:rPr>
          <w:rFonts w:hint="eastAsia" w:ascii="宋体" w:hAnsi="宋体" w:eastAsia="宋体" w:cs="Times New Roman"/>
          <w:bCs/>
          <w:color w:val="0000FF"/>
          <w:sz w:val="22"/>
        </w:rPr>
        <w:t>，最终报价确定后各</w:t>
      </w:r>
      <w:r>
        <w:rPr>
          <w:rFonts w:ascii="宋体" w:hAnsi="宋体" w:eastAsia="宋体" w:cs="Times New Roman"/>
          <w:bCs/>
          <w:color w:val="0000FF"/>
          <w:sz w:val="22"/>
        </w:rPr>
        <w:t>项单价</w:t>
      </w:r>
      <w:r>
        <w:rPr>
          <w:rFonts w:hint="eastAsia" w:ascii="宋体" w:hAnsi="宋体" w:eastAsia="宋体" w:cs="Times New Roman"/>
          <w:bCs/>
          <w:color w:val="0000FF"/>
          <w:sz w:val="22"/>
        </w:rPr>
        <w:t>根据</w:t>
      </w:r>
      <w:r>
        <w:rPr>
          <w:rFonts w:ascii="宋体" w:hAnsi="宋体" w:eastAsia="宋体" w:cs="Times New Roman"/>
          <w:bCs/>
          <w:color w:val="0000FF"/>
          <w:sz w:val="22"/>
        </w:rPr>
        <w:t>最终价格</w:t>
      </w:r>
      <w:r>
        <w:rPr>
          <w:rFonts w:hint="eastAsia" w:ascii="宋体" w:hAnsi="宋体" w:eastAsia="宋体" w:cs="Times New Roman"/>
          <w:bCs/>
          <w:color w:val="0000FF"/>
          <w:sz w:val="22"/>
        </w:rPr>
        <w:t>对比初始</w:t>
      </w:r>
      <w:r>
        <w:rPr>
          <w:rFonts w:ascii="宋体" w:hAnsi="宋体" w:eastAsia="宋体" w:cs="Times New Roman"/>
          <w:bCs/>
          <w:color w:val="0000FF"/>
          <w:sz w:val="22"/>
        </w:rPr>
        <w:t>报价</w:t>
      </w:r>
      <w:r>
        <w:rPr>
          <w:rFonts w:hint="eastAsia" w:ascii="宋体" w:hAnsi="宋体" w:eastAsia="宋体" w:cs="Times New Roman"/>
          <w:bCs/>
          <w:color w:val="0000FF"/>
          <w:sz w:val="22"/>
        </w:rPr>
        <w:t>下降幅度按以</w:t>
      </w:r>
      <w:r>
        <w:rPr>
          <w:rFonts w:ascii="宋体" w:hAnsi="宋体" w:eastAsia="宋体" w:cs="Times New Roman"/>
          <w:bCs/>
          <w:color w:val="0000FF"/>
          <w:sz w:val="22"/>
        </w:rPr>
        <w:t>同比例下浮确定</w:t>
      </w:r>
      <w:r>
        <w:rPr>
          <w:rFonts w:hint="eastAsia" w:ascii="宋体" w:hAnsi="宋体" w:eastAsia="宋体" w:cs="Times New Roman"/>
          <w:bCs/>
          <w:color w:val="0000FF"/>
          <w:sz w:val="22"/>
          <w:lang w:val="en-US" w:eastAsia="zh-CN"/>
        </w:rPr>
        <w:t>(下同)</w:t>
      </w:r>
      <w:r>
        <w:rPr>
          <w:rFonts w:ascii="宋体" w:hAnsi="宋体" w:eastAsia="宋体" w:cs="Times New Roman"/>
          <w:bCs/>
          <w:color w:val="0000FF"/>
          <w:sz w:val="22"/>
        </w:rPr>
        <w:t>。</w:t>
      </w:r>
    </w:p>
    <w:p>
      <w:pPr>
        <w:pStyle w:val="11"/>
        <w:rPr>
          <w:rFonts w:hint="eastAsia" w:ascii="宋体" w:hAnsi="宋体" w:eastAsia="宋体" w:cs="Times New Roman"/>
          <w:b/>
          <w:bCs w:val="0"/>
          <w:color w:val="auto"/>
        </w:rPr>
      </w:pPr>
      <w:bookmarkStart w:id="3" w:name="_Toc1405"/>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.2电子谈判</w:t>
      </w:r>
      <w:bookmarkEnd w:id="3"/>
      <w:r>
        <w:rPr>
          <w:rFonts w:hint="eastAsia" w:ascii="宋体" w:hAnsi="宋体" w:eastAsia="宋体" w:cs="Times New Roman"/>
          <w:b/>
          <w:bCs w:val="0"/>
          <w:color w:val="auto"/>
        </w:rPr>
        <w:t>（适用于无技术权重项目）</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r>
        <w:rPr>
          <w:rFonts w:hint="eastAsia" w:ascii="宋体" w:hAnsi="宋体" w:eastAsia="宋体" w:cs="Helvetica"/>
          <w:color w:val="1D2221"/>
          <w:sz w:val="22"/>
          <w:u w:val="single"/>
          <w:shd w:val="clear" w:color="auto" w:fill="FFFFFF"/>
        </w:rPr>
        <w:t xml:space="preserve"> </w:t>
      </w:r>
      <w:r>
        <w:rPr>
          <w:rFonts w:ascii="宋体" w:hAnsi="宋体" w:eastAsia="宋体" w:cs="Helvetica"/>
          <w:color w:val="1D2221"/>
          <w:sz w:val="22"/>
          <w:u w:val="single"/>
          <w:shd w:val="clear" w:color="auto" w:fill="FFFFFF"/>
        </w:rPr>
        <w:t xml:space="preserve">                         </w:t>
      </w:r>
      <w:r>
        <w:rPr>
          <w:rFonts w:ascii="宋体" w:hAnsi="宋体" w:eastAsia="宋体" w:cs="Helvetica"/>
          <w:color w:val="1D2221"/>
          <w:sz w:val="22"/>
          <w:shd w:val="clear" w:color="auto" w:fill="FFFFFF"/>
        </w:rPr>
        <w:t>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9"/>
          <w:rFonts w:ascii="宋体" w:hAnsi="宋体" w:eastAsia="宋体" w:cs="Helvetica"/>
          <w:sz w:val="22"/>
          <w:shd w:val="clear" w:color="auto" w:fill="FFFFFF"/>
        </w:rPr>
        <w:t>http://glzb.geely.com</w:t>
      </w:r>
      <w:r>
        <w:rPr>
          <w:rStyle w:val="9"/>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3"/>
          <w:rFonts w:ascii="宋体" w:hAnsi="宋体" w:eastAsia="宋体" w:cs="Helvetica"/>
          <w:b/>
          <w:sz w:val="22"/>
          <w:u w:val="single"/>
          <w:shd w:val="clear" w:color="auto" w:fill="FFFFFF"/>
        </w:rPr>
      </w:pPr>
      <w:r>
        <w:rPr>
          <w:rStyle w:val="13"/>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1</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3</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lang w:val="en-US" w:eastAsia="zh-CN"/>
        </w:rPr>
        <w:t>供应链管理部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ZDg5OWNmNTY4ZGEyMTcyMzAwNTNkNTljZmY4ZDUifQ=="/>
  </w:docVars>
  <w:rsids>
    <w:rsidRoot w:val="00000000"/>
    <w:rsid w:val="25113E15"/>
    <w:rsid w:val="406524E8"/>
    <w:rsid w:val="5F344C34"/>
    <w:rsid w:val="5F3959A0"/>
    <w:rsid w:val="61E4345E"/>
    <w:rsid w:val="66930BF0"/>
    <w:rsid w:val="7335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99"/>
    <w:rPr>
      <w:color w:val="0000FF"/>
      <w:u w:val="single"/>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2">
    <w:name w:val="List Paragraph"/>
    <w:basedOn w:val="1"/>
    <w:qFormat/>
    <w:uiPriority w:val="34"/>
    <w:pPr>
      <w:ind w:firstLine="420" w:firstLineChars="200"/>
    </w:pPr>
    <w:rPr>
      <w:rFonts w:eastAsia="仿宋_GB2312"/>
      <w:sz w:val="32"/>
      <w:szCs w:val="20"/>
    </w:rPr>
  </w:style>
  <w:style w:type="character" w:customStyle="1" w:styleId="13">
    <w:name w:val="tb-link"/>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2083</Words>
  <Characters>2179</Characters>
  <Lines>0</Lines>
  <Paragraphs>0</Paragraphs>
  <TotalTime>0</TotalTime>
  <ScaleCrop>false</ScaleCrop>
  <LinksUpToDate>false</LinksUpToDate>
  <CharactersWithSpaces>2271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2023-07-11T03:46:00Z</dcterms:created>
  <dc:creator>XXB</dc:creator>
  <cp:lastModifiedBy>韦雨辰</cp:lastModifiedBy>
  <dcterms:modified xsi:type="dcterms:W3CDTF">2023-10-16T09:20:43Z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183DA6F7C41C455C80C839BFC4FF9521_12</vt:lpwstr>
  </property>
</Properties>
</file>