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靖西市锰矿有限责任公司硫酸铵等原辅材料采购项目</w:t>
      </w:r>
    </w:p>
    <w:p>
      <w:pPr>
        <w:jc w:val="center"/>
        <w:rPr>
          <w:rFonts w:hint="eastAsia" w:ascii="微软雅黑" w:hAnsi="微软雅黑" w:eastAsia="微软雅黑" w:cs="Times New Roman"/>
          <w:b/>
          <w:sz w:val="32"/>
          <w:szCs w:val="32"/>
          <w:lang w:val="en-US" w:eastAsia="zh-CN"/>
        </w:rPr>
      </w:pPr>
      <w:r>
        <w:rPr>
          <w:rFonts w:hint="eastAsia" w:ascii="微软雅黑" w:hAnsi="微软雅黑" w:eastAsia="微软雅黑" w:cs="Times New Roman"/>
          <w:b/>
          <w:sz w:val="32"/>
          <w:szCs w:val="32"/>
          <w:lang w:val="en-US" w:eastAsia="zh-CN"/>
        </w:rPr>
        <w:t>邀请书</w:t>
      </w:r>
    </w:p>
    <w:p>
      <w:pPr>
        <w:pStyle w:val="2"/>
        <w:rPr>
          <w:rFonts w:hint="eastAsia"/>
          <w:lang w:val="en-US" w:eastAsia="zh-CN"/>
        </w:rPr>
      </w:pPr>
    </w:p>
    <w:p>
      <w:pPr>
        <w:pStyle w:val="2"/>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采购类别：辅料类（注：新用户时请选择此类别，否则无法报名）</w:t>
      </w:r>
    </w:p>
    <w:p>
      <w:pPr>
        <w:pStyle w:val="30"/>
        <w:rPr>
          <w:rFonts w:hint="eastAsia" w:ascii="宋体" w:hAnsi="宋体" w:eastAsia="宋体" w:cs="宋体"/>
          <w:b/>
          <w:bCs/>
          <w:sz w:val="24"/>
          <w:szCs w:val="24"/>
        </w:rPr>
      </w:pPr>
      <w:bookmarkStart w:id="0" w:name="_Toc33189455"/>
      <w:r>
        <w:rPr>
          <w:rFonts w:hint="eastAsia" w:ascii="宋体" w:hAnsi="宋体" w:eastAsia="宋体" w:cs="宋体"/>
          <w:b/>
          <w:bCs/>
          <w:sz w:val="24"/>
          <w:szCs w:val="24"/>
        </w:rPr>
        <w:t xml:space="preserve">1. </w:t>
      </w:r>
      <w:r>
        <w:rPr>
          <w:rFonts w:hint="eastAsia" w:ascii="宋体" w:hAnsi="宋体" w:eastAsia="宋体" w:cs="宋体"/>
          <w:b/>
          <w:bCs/>
          <w:sz w:val="24"/>
          <w:szCs w:val="24"/>
          <w:lang w:val="en-US" w:eastAsia="zh-CN"/>
        </w:rPr>
        <w:t>采购项目</w:t>
      </w:r>
      <w:r>
        <w:rPr>
          <w:rFonts w:hint="eastAsia" w:ascii="宋体" w:hAnsi="宋体" w:eastAsia="宋体" w:cs="宋体"/>
          <w:b/>
          <w:bCs/>
          <w:sz w:val="24"/>
          <w:szCs w:val="24"/>
        </w:rPr>
        <w:t>条件</w:t>
      </w:r>
      <w:bookmarkEnd w:id="0"/>
    </w:p>
    <w:p>
      <w:pPr>
        <w:spacing w:line="400" w:lineRule="exact"/>
        <w:rPr>
          <w:rFonts w:hint="eastAsia" w:ascii="宋体" w:hAnsi="宋体" w:eastAsia="宋体" w:cs="宋体"/>
          <w:b w:val="0"/>
          <w:bCs w:val="0"/>
          <w:kern w:val="2"/>
          <w:sz w:val="24"/>
          <w:szCs w:val="24"/>
          <w:u w:val="single"/>
          <w:lang w:val="en-US" w:eastAsia="zh-CN" w:bidi="ar-SA"/>
        </w:rPr>
      </w:pPr>
      <w:r>
        <w:rPr>
          <w:rFonts w:hint="eastAsia" w:ascii="宋体" w:hAnsi="宋体" w:eastAsia="宋体" w:cs="宋体"/>
          <w:b w:val="0"/>
          <w:bCs w:val="0"/>
          <w:kern w:val="2"/>
          <w:sz w:val="24"/>
          <w:szCs w:val="24"/>
          <w:lang w:val="en-US" w:eastAsia="zh-CN" w:bidi="ar-SA"/>
        </w:rPr>
        <w:t xml:space="preserve"> </w:t>
      </w:r>
      <w:r>
        <w:rPr>
          <w:rFonts w:hint="eastAsia" w:ascii="宋体" w:hAnsi="宋体" w:eastAsia="宋体" w:cs="宋体"/>
          <w:b w:val="0"/>
          <w:bCs w:val="0"/>
          <w:kern w:val="2"/>
          <w:sz w:val="24"/>
          <w:szCs w:val="24"/>
          <w:u w:val="single"/>
          <w:lang w:val="en-US" w:eastAsia="zh-CN" w:bidi="ar-SA"/>
        </w:rPr>
        <w:t>硫酸铵等原辅材料（详细清单见附件询价函）</w:t>
      </w:r>
    </w:p>
    <w:p>
      <w:pPr>
        <w:numPr>
          <w:ilvl w:val="0"/>
          <w:numId w:val="0"/>
        </w:num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靖西市锰矿有限责任公司硫酸铵等原辅材料采购项目已具备采购条件，现邀请贵司参与本项目报单。</w:t>
      </w:r>
    </w:p>
    <w:p>
      <w:pPr>
        <w:numPr>
          <w:ilvl w:val="0"/>
          <w:numId w:val="0"/>
        </w:numPr>
        <w:spacing w:line="440" w:lineRule="exact"/>
        <w:rPr>
          <w:rFonts w:hint="eastAsia" w:ascii="宋体" w:hAnsi="宋体" w:eastAsia="宋体" w:cs="宋体"/>
          <w:b/>
          <w:sz w:val="24"/>
          <w:szCs w:val="24"/>
        </w:rPr>
      </w:pPr>
      <w:r>
        <w:rPr>
          <w:rFonts w:hint="eastAsia" w:ascii="宋体" w:hAnsi="宋体" w:eastAsia="宋体" w:cs="宋体"/>
          <w:b/>
          <w:sz w:val="24"/>
          <w:szCs w:val="24"/>
        </w:rPr>
        <w:t>2.项目概况与</w:t>
      </w:r>
      <w:r>
        <w:rPr>
          <w:rFonts w:hint="eastAsia" w:ascii="宋体" w:hAnsi="宋体" w:eastAsia="宋体" w:cs="宋体"/>
          <w:b/>
          <w:sz w:val="24"/>
          <w:szCs w:val="24"/>
          <w:lang w:val="en-US" w:eastAsia="zh-CN"/>
        </w:rPr>
        <w:t>采购</w:t>
      </w:r>
      <w:r>
        <w:rPr>
          <w:rFonts w:hint="eastAsia" w:ascii="宋体" w:hAnsi="宋体" w:eastAsia="宋体" w:cs="宋体"/>
          <w:b/>
          <w:sz w:val="24"/>
          <w:szCs w:val="24"/>
        </w:rPr>
        <w:t>范围</w:t>
      </w:r>
    </w:p>
    <w:p>
      <w:pPr>
        <w:spacing w:line="440" w:lineRule="exact"/>
        <w:rPr>
          <w:rFonts w:hint="eastAsia" w:ascii="宋体" w:hAnsi="宋体"/>
          <w:color w:val="auto"/>
          <w:sz w:val="24"/>
          <w:lang w:val="en-US" w:eastAsia="zh-CN"/>
        </w:rPr>
      </w:pPr>
      <w:r>
        <w:rPr>
          <w:rFonts w:hint="eastAsia" w:ascii="宋体" w:hAnsi="宋体" w:eastAsia="宋体"/>
          <w:b/>
          <w:bCs/>
          <w:sz w:val="24"/>
          <w:szCs w:val="24"/>
        </w:rPr>
        <w:t>2.1</w:t>
      </w:r>
      <w:r>
        <w:rPr>
          <w:rFonts w:hint="eastAsia" w:ascii="宋体" w:hAnsi="宋体" w:eastAsia="宋体" w:cs="华文仿宋"/>
          <w:b/>
          <w:bCs/>
          <w:color w:val="000000"/>
          <w:sz w:val="24"/>
          <w:szCs w:val="24"/>
        </w:rPr>
        <w:t>项目概</w:t>
      </w:r>
      <w:r>
        <w:rPr>
          <w:rFonts w:hint="eastAsia" w:ascii="宋体" w:hAnsi="宋体" w:eastAsia="宋体"/>
          <w:b/>
          <w:bCs/>
          <w:sz w:val="24"/>
          <w:szCs w:val="24"/>
        </w:rPr>
        <w:t>况：</w:t>
      </w:r>
    </w:p>
    <w:p>
      <w:pPr>
        <w:spacing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靖西市锰矿有限责任公司位于广西靖西市湖润镇湖润街，主营锰矿石集约化开采、电解金属锰产品加工及销售贸易，现有湖润矿区、新兴矿区2个矿区，总面积达11.2平方公里，已探明矿石储量2000万吨，远景储量将达到5000万吨。近年来，公司全力推进生态锰一体化项目建设，利用原矿、电价等优势，积极发展锰矿石精深加工，先后整合并购周边多家电解金属锰产品加工企业及生产线，随着原4条电解金属锰生产线升级改造项目建成投产，电解金属锰产能将达到8.5万吨/年。</w:t>
      </w:r>
    </w:p>
    <w:p>
      <w:pPr>
        <w:spacing w:line="440" w:lineRule="exact"/>
        <w:rPr>
          <w:rFonts w:hint="eastAsia" w:ascii="宋体" w:hAnsi="宋体" w:eastAsia="宋体" w:cs="宋体"/>
          <w:b/>
          <w:bCs/>
          <w:sz w:val="24"/>
          <w:szCs w:val="24"/>
        </w:rPr>
      </w:pPr>
      <w:r>
        <w:rPr>
          <w:rFonts w:hint="eastAsia" w:ascii="宋体" w:hAnsi="宋体" w:eastAsia="宋体" w:cs="宋体"/>
          <w:b/>
          <w:bCs/>
          <w:color w:val="000000"/>
          <w:sz w:val="24"/>
          <w:szCs w:val="24"/>
        </w:rPr>
        <w:t>2.2</w:t>
      </w:r>
      <w:r>
        <w:rPr>
          <w:rFonts w:hint="eastAsia" w:ascii="宋体" w:hAnsi="宋体" w:eastAsia="宋体" w:cs="宋体"/>
          <w:b/>
          <w:bCs/>
          <w:sz w:val="24"/>
          <w:szCs w:val="24"/>
          <w:lang w:val="en-US" w:eastAsia="zh-CN"/>
        </w:rPr>
        <w:t>采购</w:t>
      </w:r>
      <w:r>
        <w:rPr>
          <w:rFonts w:hint="eastAsia" w:ascii="宋体" w:hAnsi="宋体" w:eastAsia="宋体" w:cs="宋体"/>
          <w:b/>
          <w:bCs/>
          <w:sz w:val="24"/>
          <w:szCs w:val="24"/>
        </w:rPr>
        <w:t>范围：</w:t>
      </w:r>
    </w:p>
    <w:tbl>
      <w:tblPr>
        <w:tblStyle w:val="12"/>
        <w:tblW w:w="8703" w:type="dxa"/>
        <w:tblInd w:w="0" w:type="dxa"/>
        <w:shd w:val="clear" w:color="auto" w:fill="auto"/>
        <w:tblLayout w:type="fixed"/>
        <w:tblCellMar>
          <w:top w:w="0" w:type="dxa"/>
          <w:left w:w="0" w:type="dxa"/>
          <w:bottom w:w="0" w:type="dxa"/>
          <w:right w:w="0" w:type="dxa"/>
        </w:tblCellMar>
      </w:tblPr>
      <w:tblGrid>
        <w:gridCol w:w="1183"/>
        <w:gridCol w:w="1663"/>
        <w:gridCol w:w="3438"/>
        <w:gridCol w:w="887"/>
        <w:gridCol w:w="1532"/>
      </w:tblGrid>
      <w:tr>
        <w:tblPrEx>
          <w:shd w:val="clear" w:color="auto" w:fill="auto"/>
          <w:tblCellMar>
            <w:top w:w="0" w:type="dxa"/>
            <w:left w:w="0" w:type="dxa"/>
            <w:bottom w:w="0" w:type="dxa"/>
            <w:right w:w="0" w:type="dxa"/>
          </w:tblCellMar>
        </w:tblPrEx>
        <w:trPr>
          <w:trHeight w:val="754" w:hRule="atLeast"/>
        </w:trPr>
        <w:tc>
          <w:tcPr>
            <w:tcW w:w="118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63"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物资名称</w:t>
            </w:r>
          </w:p>
        </w:tc>
        <w:tc>
          <w:tcPr>
            <w:tcW w:w="343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规格型号</w:t>
            </w:r>
          </w:p>
        </w:tc>
        <w:tc>
          <w:tcPr>
            <w:tcW w:w="887"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单位</w:t>
            </w:r>
          </w:p>
        </w:tc>
        <w:tc>
          <w:tcPr>
            <w:tcW w:w="15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预估使用量</w:t>
            </w:r>
          </w:p>
        </w:tc>
      </w:tr>
      <w:tr>
        <w:tblPrEx>
          <w:shd w:val="clear" w:color="auto" w:fill="auto"/>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0001</w:t>
            </w:r>
          </w:p>
        </w:tc>
        <w:tc>
          <w:tcPr>
            <w:tcW w:w="1663"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0"/>
                <w:szCs w:val="20"/>
                <w:u w:val="none"/>
                <w:lang w:val="en-US" w:eastAsia="zh-CN" w:bidi="ar"/>
              </w:rPr>
              <w:t>硫酸铵</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2"/>
                <w:szCs w:val="22"/>
                <w:u w:val="none"/>
                <w:lang w:val="en-US" w:eastAsia="zh-CN" w:bidi="ar"/>
              </w:rPr>
              <w:t>(NH4)2S04含量≧98%，总氮含量≧21%,二价硫≦0.002%，负二价硫≦0.002%</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等线" w:hAnsi="等线" w:eastAsia="等线" w:cs="等线"/>
                <w:i w:val="0"/>
                <w:iCs w:val="0"/>
                <w:color w:val="000000"/>
                <w:kern w:val="0"/>
                <w:sz w:val="22"/>
                <w:szCs w:val="22"/>
                <w:u w:val="none"/>
                <w:lang w:val="en-US" w:eastAsia="zh-CN" w:bidi="ar"/>
              </w:rPr>
              <w:t xml:space="preserve">1158.00 </w:t>
            </w:r>
          </w:p>
        </w:tc>
      </w:tr>
      <w:tr>
        <w:tblPrEx>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0002</w:t>
            </w:r>
          </w:p>
        </w:tc>
        <w:tc>
          <w:tcPr>
            <w:tcW w:w="1663"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双氧水</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H2O2≧27.5%</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279.00 </w:t>
            </w:r>
          </w:p>
        </w:tc>
      </w:tr>
      <w:tr>
        <w:tblPrEx>
          <w:shd w:val="clear" w:color="auto" w:fill="auto"/>
          <w:tblCellMar>
            <w:top w:w="0" w:type="dxa"/>
            <w:left w:w="0" w:type="dxa"/>
            <w:bottom w:w="0" w:type="dxa"/>
            <w:right w:w="0" w:type="dxa"/>
          </w:tblCellMar>
        </w:tblPrEx>
        <w:trPr>
          <w:trHeight w:val="730" w:hRule="atLeast"/>
        </w:trPr>
        <w:tc>
          <w:tcPr>
            <w:tcW w:w="1183" w:type="dxa"/>
            <w:tcBorders>
              <w:top w:val="single" w:color="auto" w:sz="4" w:space="0"/>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0003</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福美钠</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25kg/包，主含量95%</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223.20 </w:t>
            </w:r>
          </w:p>
        </w:tc>
      </w:tr>
      <w:tr>
        <w:tblPrEx>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0004</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活性炭</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晶体颗粒状，木制目数 60-80，碘值≧800</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21.26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0005</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无铁硫酸铝</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GB31561</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53.12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0006</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重铬酸钾</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含量为99.7%-100.02%</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12.00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0007</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硫酸亚铁</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50kg/包，Feso4·7H20≧88-95%</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41.71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0008</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氢氧化钠</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含量≥98%</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13.35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0009</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草酸</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主含量≧99%</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8.34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0010</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亚硫酸铵</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主含量≧85%，无色单斜晶系结晶</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51.65 </w:t>
            </w:r>
          </w:p>
        </w:tc>
      </w:tr>
      <w:tr>
        <w:tblPrEx>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0011</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钝化剂</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无铬</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72.31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0012</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水玻璃</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模数：3.1-3.4，SiO2&gt;26%</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194.21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0013</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磷酸</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H3P04≧85%,35kg/桶</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桶</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1475.00 </w:t>
            </w:r>
          </w:p>
        </w:tc>
      </w:tr>
      <w:tr>
        <w:tblPrEx>
          <w:shd w:val="clear" w:color="auto" w:fill="auto"/>
          <w:tblCellMar>
            <w:top w:w="0" w:type="dxa"/>
            <w:left w:w="0" w:type="dxa"/>
            <w:bottom w:w="0" w:type="dxa"/>
            <w:right w:w="0" w:type="dxa"/>
          </w:tblCellMar>
        </w:tblPrEx>
        <w:trPr>
          <w:trHeight w:val="730" w:hRule="atLeast"/>
        </w:trPr>
        <w:tc>
          <w:tcPr>
            <w:tcW w:w="1183" w:type="dxa"/>
            <w:tcBorders>
              <w:left w:val="single" w:color="auto"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0014</w:t>
            </w:r>
          </w:p>
        </w:tc>
        <w:tc>
          <w:tcPr>
            <w:tcW w:w="1663" w:type="dxa"/>
            <w:tcBorders>
              <w:top w:val="single" w:color="auto"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iCs w:val="0"/>
                <w:color w:val="000000"/>
                <w:kern w:val="0"/>
                <w:sz w:val="20"/>
                <w:szCs w:val="20"/>
                <w:u w:val="none"/>
                <w:lang w:val="en-US" w:eastAsia="zh-CN" w:bidi="ar"/>
              </w:rPr>
              <w:t>聚丙烯酰胺</w:t>
            </w:r>
          </w:p>
        </w:tc>
        <w:tc>
          <w:tcPr>
            <w:tcW w:w="3438" w:type="dxa"/>
            <w:tcBorders>
              <w:top w:val="single" w:color="auto" w:sz="4" w:space="0"/>
              <w:left w:val="single" w:color="000000"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阴离子，分子量330-2200 固含量≧89，水解度10-35应用PH7-14</w:t>
            </w:r>
          </w:p>
        </w:tc>
        <w:tc>
          <w:tcPr>
            <w:tcW w:w="88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等线" w:hAnsi="等线" w:eastAsia="等线" w:cs="等线"/>
                <w:i w:val="0"/>
                <w:iCs w:val="0"/>
                <w:color w:val="000000"/>
                <w:kern w:val="0"/>
                <w:sz w:val="22"/>
                <w:szCs w:val="22"/>
                <w:u w:val="none"/>
                <w:lang w:val="en-US" w:eastAsia="zh-CN" w:bidi="ar"/>
              </w:rPr>
              <w:t>吨</w:t>
            </w:r>
          </w:p>
        </w:tc>
        <w:tc>
          <w:tcPr>
            <w:tcW w:w="1532"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等线" w:hAnsi="等线" w:eastAsia="等线" w:cs="等线"/>
                <w:i w:val="0"/>
                <w:iCs w:val="0"/>
                <w:color w:val="000000"/>
                <w:kern w:val="0"/>
                <w:sz w:val="22"/>
                <w:szCs w:val="22"/>
                <w:u w:val="none"/>
                <w:lang w:val="en-US" w:eastAsia="zh-CN" w:bidi="ar"/>
              </w:rPr>
              <w:t xml:space="preserve">0.2000 </w:t>
            </w:r>
          </w:p>
        </w:tc>
      </w:tr>
      <w:tr>
        <w:tblPrEx>
          <w:tblCellMar>
            <w:top w:w="0" w:type="dxa"/>
            <w:left w:w="0" w:type="dxa"/>
            <w:bottom w:w="0" w:type="dxa"/>
            <w:right w:w="0" w:type="dxa"/>
          </w:tblCellMar>
        </w:tblPrEx>
        <w:trPr>
          <w:trHeight w:val="730" w:hRule="atLeast"/>
        </w:trPr>
        <w:tc>
          <w:tcPr>
            <w:tcW w:w="8703" w:type="dxa"/>
            <w:gridSpan w:val="5"/>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keepNext w:val="0"/>
              <w:keepLines w:val="0"/>
              <w:widowControl/>
              <w:suppressLineNumbers w:val="0"/>
              <w:tabs>
                <w:tab w:val="left" w:pos="1641"/>
              </w:tabs>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备注：以上表格计划用量为预估数量，不作为招标方招标数量的任何承诺，后期具体采购量以实际采购订单为准（报价格式件附件二：询价函）</w:t>
            </w:r>
          </w:p>
        </w:tc>
      </w:tr>
    </w:tbl>
    <w:p>
      <w:pPr>
        <w:pStyle w:val="2"/>
        <w:rPr>
          <w:rFonts w:hint="eastAsia" w:ascii="宋体" w:hAnsi="宋体" w:eastAsia="宋体" w:cs="宋体"/>
          <w:b/>
          <w:bCs/>
          <w:sz w:val="24"/>
          <w:szCs w:val="24"/>
        </w:rPr>
      </w:pPr>
    </w:p>
    <w:p>
      <w:pPr>
        <w:tabs>
          <w:tab w:val="left" w:pos="780"/>
          <w:tab w:val="left" w:pos="5700"/>
        </w:tabs>
        <w:adjustRightInd w:val="0"/>
        <w:snapToGrid w:val="0"/>
        <w:spacing w:line="360" w:lineRule="auto"/>
        <w:rPr>
          <w:rFonts w:hint="eastAsia" w:ascii="宋体" w:hAnsi="宋体" w:eastAsia="宋体" w:cs="宋体"/>
          <w:b/>
          <w:bCs/>
          <w:sz w:val="16"/>
          <w:szCs w:val="16"/>
          <w:lang w:val="en-US" w:eastAsia="zh-CN"/>
        </w:rPr>
      </w:pPr>
    </w:p>
    <w:p>
      <w:pPr>
        <w:keepNext w:val="0"/>
        <w:keepLines w:val="0"/>
        <w:pageBreakBefore w:val="0"/>
        <w:tabs>
          <w:tab w:val="left" w:pos="780"/>
          <w:tab w:val="left" w:pos="5700"/>
        </w:tabs>
        <w:kinsoku/>
        <w:wordWrap/>
        <w:overflowPunct/>
        <w:topLinePunct w:val="0"/>
        <w:bidi w:val="0"/>
        <w:adjustRightInd w:val="0"/>
        <w:snapToGrid w:val="0"/>
        <w:spacing w:line="400" w:lineRule="atLeast"/>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2.3</w:t>
      </w:r>
      <w:r>
        <w:rPr>
          <w:rFonts w:hint="eastAsia" w:ascii="宋体" w:hAnsi="宋体" w:eastAsia="宋体" w:cs="宋体"/>
          <w:b/>
          <w:bCs/>
          <w:sz w:val="24"/>
          <w:szCs w:val="24"/>
        </w:rPr>
        <w:t>开标时间</w:t>
      </w:r>
    </w:p>
    <w:p>
      <w:pPr>
        <w:keepNext w:val="0"/>
        <w:keepLines w:val="0"/>
        <w:pageBreakBefore w:val="0"/>
        <w:tabs>
          <w:tab w:val="left" w:pos="780"/>
          <w:tab w:val="left" w:pos="5700"/>
        </w:tabs>
        <w:kinsoku/>
        <w:wordWrap/>
        <w:overflowPunct/>
        <w:topLinePunct w:val="0"/>
        <w:bidi w:val="0"/>
        <w:adjustRightInd w:val="0"/>
        <w:snapToGrid w:val="0"/>
        <w:spacing w:line="400" w:lineRule="atLeast"/>
        <w:ind w:firstLine="240" w:firstLineChars="100"/>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开标时间：20</w:t>
      </w:r>
      <w:r>
        <w:rPr>
          <w:rFonts w:hint="eastAsia" w:ascii="宋体" w:hAnsi="宋体" w:eastAsia="宋体" w:cs="宋体"/>
          <w:sz w:val="24"/>
          <w:szCs w:val="24"/>
          <w:lang w:val="en-US" w:eastAsia="zh-CN"/>
        </w:rPr>
        <w:t>23</w:t>
      </w:r>
      <w:r>
        <w:rPr>
          <w:rFonts w:hint="eastAsia" w:ascii="宋体" w:hAnsi="宋体" w:eastAsia="宋体" w:cs="宋体"/>
          <w:sz w:val="24"/>
          <w:szCs w:val="24"/>
        </w:rPr>
        <w:t>年</w:t>
      </w:r>
      <w:r>
        <w:rPr>
          <w:rFonts w:hint="eastAsia" w:ascii="宋体" w:hAnsi="宋体" w:eastAsia="宋体" w:cs="宋体"/>
          <w:sz w:val="24"/>
          <w:szCs w:val="24"/>
          <w:lang w:val="en-US" w:eastAsia="zh-CN"/>
        </w:rPr>
        <w:t>12</w:t>
      </w:r>
      <w:r>
        <w:rPr>
          <w:rFonts w:hint="eastAsia" w:ascii="宋体" w:hAnsi="宋体" w:eastAsia="宋体" w:cs="宋体"/>
          <w:sz w:val="24"/>
          <w:szCs w:val="24"/>
        </w:rPr>
        <w:t>月</w:t>
      </w:r>
      <w:r>
        <w:rPr>
          <w:rFonts w:hint="eastAsia" w:ascii="宋体" w:hAnsi="宋体" w:eastAsia="宋体" w:cs="宋体"/>
          <w:sz w:val="24"/>
          <w:szCs w:val="24"/>
          <w:lang w:val="en-US" w:eastAsia="zh-CN"/>
        </w:rPr>
        <w:t>7</w:t>
      </w:r>
      <w:r>
        <w:rPr>
          <w:rFonts w:hint="eastAsia" w:ascii="宋体" w:hAnsi="宋体" w:eastAsia="宋体" w:cs="宋体"/>
          <w:sz w:val="24"/>
          <w:szCs w:val="24"/>
        </w:rPr>
        <w:t>日</w:t>
      </w:r>
      <w:r>
        <w:rPr>
          <w:rFonts w:hint="eastAsia" w:ascii="宋体" w:hAnsi="宋体" w:eastAsia="宋体" w:cs="宋体"/>
          <w:sz w:val="24"/>
          <w:szCs w:val="24"/>
          <w:lang w:eastAsia="zh-CN"/>
        </w:rPr>
        <w:t>（</w:t>
      </w:r>
      <w:r>
        <w:rPr>
          <w:rFonts w:hint="eastAsia" w:ascii="宋体" w:hAnsi="宋体"/>
          <w:sz w:val="24"/>
          <w:lang w:val="en-US" w:eastAsia="zh-CN"/>
        </w:rPr>
        <w:t>具体以采购主管单位通知为准</w:t>
      </w:r>
      <w:r>
        <w:rPr>
          <w:rFonts w:hint="eastAsia" w:ascii="宋体" w:hAnsi="宋体" w:eastAsia="宋体" w:cs="宋体"/>
          <w:sz w:val="24"/>
          <w:szCs w:val="24"/>
          <w:lang w:eastAsia="zh-CN"/>
        </w:rPr>
        <w:t>）</w:t>
      </w: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000000"/>
          <w:sz w:val="24"/>
          <w:szCs w:val="24"/>
          <w:lang w:eastAsia="zh-CN"/>
        </w:rPr>
      </w:pPr>
      <w:r>
        <w:rPr>
          <w:rFonts w:hint="eastAsia" w:ascii="宋体" w:hAnsi="宋体" w:eastAsia="宋体" w:cs="华文仿宋"/>
          <w:b/>
          <w:bCs/>
          <w:color w:val="000000"/>
          <w:sz w:val="24"/>
          <w:szCs w:val="24"/>
        </w:rPr>
        <w:t>2.</w:t>
      </w:r>
      <w:r>
        <w:rPr>
          <w:rFonts w:hint="eastAsia" w:ascii="宋体" w:hAnsi="宋体" w:eastAsia="宋体" w:cs="华文仿宋"/>
          <w:b/>
          <w:bCs/>
          <w:color w:val="000000"/>
          <w:sz w:val="24"/>
          <w:szCs w:val="24"/>
          <w:lang w:val="en-US" w:eastAsia="zh-CN"/>
        </w:rPr>
        <w:t>4供货</w:t>
      </w:r>
      <w:r>
        <w:rPr>
          <w:rFonts w:hint="eastAsia" w:ascii="宋体" w:hAnsi="宋体" w:eastAsia="宋体" w:cs="华文仿宋"/>
          <w:b/>
          <w:bCs/>
          <w:color w:val="000000"/>
          <w:sz w:val="24"/>
          <w:szCs w:val="24"/>
        </w:rPr>
        <w:t>地点</w:t>
      </w:r>
      <w:r>
        <w:rPr>
          <w:rFonts w:hint="eastAsia" w:ascii="宋体" w:hAnsi="宋体" w:eastAsia="宋体" w:cs="华文仿宋"/>
          <w:b/>
          <w:bCs/>
          <w:color w:val="000000"/>
          <w:sz w:val="24"/>
          <w:szCs w:val="24"/>
          <w:lang w:eastAsia="zh-CN"/>
        </w:rPr>
        <w:t>：</w:t>
      </w:r>
    </w:p>
    <w:p>
      <w:pPr>
        <w:keepNext w:val="0"/>
        <w:keepLines w:val="0"/>
        <w:pageBreakBefore w:val="0"/>
        <w:tabs>
          <w:tab w:val="left" w:pos="600"/>
        </w:tabs>
        <w:kinsoku/>
        <w:wordWrap/>
        <w:overflowPunct/>
        <w:topLinePunct w:val="0"/>
        <w:bidi w:val="0"/>
        <w:spacing w:line="400" w:lineRule="atLeast"/>
        <w:ind w:firstLine="480" w:firstLineChars="200"/>
        <w:textAlignment w:val="auto"/>
        <w:rPr>
          <w:rFonts w:hint="eastAsia" w:ascii="宋体" w:hAnsi="宋体"/>
          <w:sz w:val="24"/>
          <w:lang w:val="en-US" w:eastAsia="zh-CN"/>
        </w:rPr>
      </w:pPr>
      <w:r>
        <w:rPr>
          <w:rFonts w:hint="eastAsia" w:ascii="宋体" w:hAnsi="宋体" w:eastAsia="宋体" w:cs="宋体"/>
          <w:sz w:val="24"/>
          <w:lang w:val="en-US" w:eastAsia="zh-CN"/>
        </w:rPr>
        <w:t>广西靖西市湖润镇湖润街</w:t>
      </w:r>
      <w:r>
        <w:rPr>
          <w:rFonts w:hint="eastAsia" w:ascii="宋体" w:hAnsi="宋体"/>
          <w:sz w:val="24"/>
          <w:lang w:val="en-US" w:eastAsia="zh-CN"/>
        </w:rPr>
        <w:t>田</w:t>
      </w:r>
      <w:r>
        <w:rPr>
          <w:rFonts w:hint="eastAsia" w:ascii="宋体" w:hAnsi="宋体" w:eastAsia="宋体" w:cs="宋体"/>
          <w:sz w:val="24"/>
          <w:lang w:val="en-US" w:eastAsia="zh-CN"/>
        </w:rPr>
        <w:t>靖西市锰矿有限责任公司辅料仓库内</w:t>
      </w:r>
      <w:r>
        <w:rPr>
          <w:rFonts w:hint="eastAsia" w:ascii="宋体" w:hAnsi="宋体"/>
          <w:sz w:val="24"/>
          <w:lang w:val="en-US" w:eastAsia="zh-CN"/>
        </w:rPr>
        <w:t>；</w:t>
      </w:r>
    </w:p>
    <w:p>
      <w:pPr>
        <w:keepNext w:val="0"/>
        <w:keepLines w:val="0"/>
        <w:pageBreakBefore w:val="0"/>
        <w:kinsoku/>
        <w:wordWrap/>
        <w:overflowPunct/>
        <w:topLinePunct w:val="0"/>
        <w:bidi w:val="0"/>
        <w:spacing w:line="400" w:lineRule="atLeast"/>
        <w:textAlignment w:val="auto"/>
        <w:rPr>
          <w:rFonts w:hint="default"/>
          <w:color w:val="auto"/>
          <w:lang w:val="en-US" w:eastAsia="zh-CN"/>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5供货时间：</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收到中标通知书后10日内（具体以甲方通知为准）。</w:t>
      </w:r>
    </w:p>
    <w:p>
      <w:pPr>
        <w:keepNext w:val="0"/>
        <w:keepLines w:val="0"/>
        <w:pageBreakBefore w:val="0"/>
        <w:widowControl w:val="0"/>
        <w:tabs>
          <w:tab w:val="left" w:pos="600"/>
        </w:tabs>
        <w:kinsoku/>
        <w:wordWrap/>
        <w:overflowPunct/>
        <w:topLinePunct w:val="0"/>
        <w:autoSpaceDE/>
        <w:autoSpaceDN/>
        <w:bidi w:val="0"/>
        <w:adjustRightInd/>
        <w:snapToGrid/>
        <w:spacing w:line="400" w:lineRule="atLeast"/>
        <w:ind w:firstLine="480" w:firstLineChars="200"/>
        <w:textAlignment w:val="auto"/>
        <w:rPr>
          <w:rFonts w:hint="eastAsia" w:ascii="宋体" w:hAnsi="宋体"/>
          <w:color w:val="auto"/>
          <w:sz w:val="24"/>
          <w:lang w:val="en-US" w:eastAsia="zh-CN"/>
        </w:rPr>
      </w:pPr>
    </w:p>
    <w:p>
      <w:pPr>
        <w:keepNext w:val="0"/>
        <w:keepLines w:val="0"/>
        <w:pageBreakBefore w:val="0"/>
        <w:kinsoku/>
        <w:wordWrap/>
        <w:overflowPunct/>
        <w:topLinePunct w:val="0"/>
        <w:bidi w:val="0"/>
        <w:spacing w:line="400" w:lineRule="atLeast"/>
        <w:textAlignment w:val="auto"/>
        <w:rPr>
          <w:rFonts w:hint="eastAsia" w:ascii="宋体" w:hAnsi="宋体" w:eastAsia="宋体" w:cs="宋体"/>
          <w:color w:val="auto"/>
          <w:spacing w:val="-20"/>
          <w:sz w:val="24"/>
          <w:szCs w:val="24"/>
        </w:rPr>
      </w:pPr>
      <w:r>
        <w:rPr>
          <w:rFonts w:hint="eastAsia" w:ascii="宋体" w:hAnsi="宋体" w:eastAsia="宋体" w:cs="华文仿宋"/>
          <w:b/>
          <w:bCs/>
          <w:color w:val="auto"/>
          <w:sz w:val="24"/>
          <w:szCs w:val="24"/>
        </w:rPr>
        <w:t>2.</w:t>
      </w:r>
      <w:r>
        <w:rPr>
          <w:rFonts w:hint="eastAsia" w:ascii="宋体" w:hAnsi="宋体" w:eastAsia="宋体" w:cs="华文仿宋"/>
          <w:b/>
          <w:bCs/>
          <w:color w:val="auto"/>
          <w:sz w:val="24"/>
          <w:szCs w:val="24"/>
          <w:lang w:val="en-US" w:eastAsia="zh-CN"/>
        </w:rPr>
        <w:t>6技术</w:t>
      </w:r>
      <w:r>
        <w:rPr>
          <w:rFonts w:hint="eastAsia" w:ascii="宋体" w:hAnsi="宋体" w:eastAsia="宋体" w:cs="华文仿宋"/>
          <w:b/>
          <w:bCs/>
          <w:color w:val="auto"/>
          <w:sz w:val="24"/>
          <w:szCs w:val="24"/>
        </w:rPr>
        <w:t>要求</w:t>
      </w:r>
      <w:r>
        <w:rPr>
          <w:rFonts w:hint="eastAsia" w:ascii="仿宋" w:hAnsi="仿宋" w:eastAsia="仿宋" w:cs="仿宋"/>
          <w:b/>
          <w:bCs/>
          <w:color w:val="auto"/>
          <w:sz w:val="28"/>
          <w:szCs w:val="28"/>
          <w:lang w:val="en-US" w:eastAsia="zh-CN"/>
        </w:rPr>
        <w:t xml:space="preserve"> </w:t>
      </w:r>
      <w:r>
        <w:rPr>
          <w:rFonts w:hint="eastAsia" w:ascii="宋体" w:hAnsi="宋体" w:eastAsia="宋体" w:cs="宋体"/>
          <w:color w:val="auto"/>
          <w:spacing w:val="-20"/>
          <w:sz w:val="24"/>
          <w:szCs w:val="24"/>
        </w:rPr>
        <w:t xml:space="preserve"> </w:t>
      </w:r>
    </w:p>
    <w:p>
      <w:pPr>
        <w:keepNext w:val="0"/>
        <w:keepLines w:val="0"/>
        <w:pageBreakBefore w:val="0"/>
        <w:numPr>
          <w:ilvl w:val="0"/>
          <w:numId w:val="0"/>
        </w:numPr>
        <w:kinsoku/>
        <w:wordWrap/>
        <w:overflowPunct/>
        <w:topLinePunct w:val="0"/>
        <w:bidi w:val="0"/>
        <w:spacing w:line="400" w:lineRule="atLeast"/>
        <w:ind w:firstLine="480" w:firstLineChars="200"/>
        <w:textAlignment w:val="auto"/>
        <w:rPr>
          <w:rFonts w:hint="eastAsia"/>
        </w:rPr>
      </w:pPr>
      <w:r>
        <w:rPr>
          <w:rFonts w:hint="eastAsia" w:ascii="宋体" w:hAnsi="宋体" w:eastAsia="宋体" w:cs="宋体"/>
          <w:b w:val="0"/>
          <w:bCs w:val="0"/>
          <w:color w:val="000000"/>
          <w:sz w:val="24"/>
          <w:szCs w:val="24"/>
          <w:lang w:eastAsia="zh-CN"/>
        </w:rPr>
        <w:t>详见附件</w:t>
      </w: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lang w:eastAsia="zh-CN"/>
        </w:rPr>
        <w:t>《质量技术标准》</w:t>
      </w:r>
    </w:p>
    <w:p>
      <w:pPr>
        <w:keepNext w:val="0"/>
        <w:keepLines w:val="0"/>
        <w:pageBreakBefore w:val="0"/>
        <w:numPr>
          <w:ilvl w:val="0"/>
          <w:numId w:val="0"/>
        </w:numPr>
        <w:kinsoku/>
        <w:wordWrap/>
        <w:overflowPunct/>
        <w:topLinePunct w:val="0"/>
        <w:bidi w:val="0"/>
        <w:spacing w:line="400" w:lineRule="atLeast"/>
        <w:textAlignment w:val="auto"/>
        <w:rPr>
          <w:rFonts w:hint="eastAsia" w:ascii="黑体" w:hAnsi="黑体" w:eastAsia="黑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lang w:val="en-US" w:eastAsia="zh-CN"/>
        </w:rPr>
        <w:t>报价</w:t>
      </w:r>
      <w:r>
        <w:rPr>
          <w:rFonts w:hint="eastAsia" w:ascii="宋体" w:hAnsi="宋体" w:eastAsia="宋体" w:cs="宋体"/>
          <w:b/>
          <w:color w:val="auto"/>
          <w:sz w:val="24"/>
          <w:szCs w:val="24"/>
        </w:rPr>
        <w:t>人资格要求</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3.1 在中国境内注册，有独立法人资格和承担民事责任的能力。</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3.2 遵守中华人民共和国有关法律、法规和条例。</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3.3 近年来有较好业绩且无不良商业行为。</w:t>
      </w:r>
    </w:p>
    <w:p>
      <w:pPr>
        <w:pageBreakBefore w:val="0"/>
        <w:numPr>
          <w:ilvl w:val="0"/>
          <w:numId w:val="0"/>
        </w:numPr>
        <w:kinsoku/>
        <w:wordWrap/>
        <w:overflowPunct/>
        <w:topLinePunct w:val="0"/>
        <w:autoSpaceDE/>
        <w:autoSpaceDN/>
        <w:bidi w:val="0"/>
        <w:adjustRightInd w:val="0"/>
        <w:snapToGrid w:val="0"/>
        <w:spacing w:line="24"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3.4 具有良好的商业信誉和健全的财务会计制度。</w:t>
      </w:r>
    </w:p>
    <w:p>
      <w:pPr>
        <w:pStyle w:val="2"/>
        <w:ind w:firstLine="480" w:firstLineChars="200"/>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3.5 业绩要求：最近三年内有相关业绩不少于1个；(平台报名时上传营业执照及业绩合同)</w:t>
      </w:r>
    </w:p>
    <w:p>
      <w:pPr>
        <w:pStyle w:val="11"/>
        <w:keepNext w:val="0"/>
        <w:keepLines w:val="0"/>
        <w:pageBreakBefore w:val="0"/>
        <w:shd w:val="clear" w:color="auto" w:fill="FFFFFF"/>
        <w:kinsoku/>
        <w:wordWrap/>
        <w:overflowPunct/>
        <w:topLinePunct w:val="0"/>
        <w:bidi w:val="0"/>
        <w:spacing w:before="0" w:beforeAutospacing="0" w:after="0" w:afterAutospacing="0" w:line="400" w:lineRule="atLeast"/>
        <w:ind w:firstLine="480" w:firstLineChars="200"/>
        <w:textAlignment w:val="auto"/>
        <w:rPr>
          <w:rFonts w:hint="eastAsia" w:ascii="宋体" w:hAnsi="宋体" w:eastAsia="宋体" w:cstheme="minorBidi"/>
          <w:color w:val="auto"/>
          <w:kern w:val="2"/>
          <w:sz w:val="24"/>
          <w:szCs w:val="24"/>
          <w:highlight w:val="none"/>
          <w:lang w:val="en-US" w:eastAsia="zh-CN" w:bidi="ar-SA"/>
        </w:rPr>
      </w:pPr>
      <w:r>
        <w:rPr>
          <w:rFonts w:hint="eastAsia" w:ascii="宋体" w:hAnsi="宋体" w:eastAsia="宋体" w:cstheme="minorBidi"/>
          <w:color w:val="auto"/>
          <w:kern w:val="2"/>
          <w:sz w:val="24"/>
          <w:szCs w:val="24"/>
          <w:highlight w:val="none"/>
          <w:lang w:val="en-US" w:eastAsia="zh-CN" w:bidi="ar-SA"/>
        </w:rPr>
        <w:t>3.6 经营资质：参投项目在营业执照经营范围内。</w:t>
      </w:r>
    </w:p>
    <w:p>
      <w:pPr>
        <w:pStyle w:val="11"/>
        <w:keepNext w:val="0"/>
        <w:keepLines w:val="0"/>
        <w:pageBreakBefore w:val="0"/>
        <w:shd w:val="clear" w:color="auto" w:fill="FFFFFF"/>
        <w:kinsoku/>
        <w:wordWrap/>
        <w:overflowPunct/>
        <w:topLinePunct w:val="0"/>
        <w:bidi w:val="0"/>
        <w:spacing w:before="0" w:beforeAutospacing="0" w:after="0" w:afterAutospacing="0" w:line="400" w:lineRule="atLeast"/>
        <w:ind w:firstLine="480" w:firstLineChars="200"/>
        <w:textAlignment w:val="auto"/>
        <w:rPr>
          <w:rFonts w:hint="default" w:ascii="宋体" w:hAnsi="宋体" w:eastAsia="宋体" w:cstheme="minorBidi"/>
          <w:color w:val="auto"/>
          <w:kern w:val="2"/>
          <w:sz w:val="24"/>
          <w:szCs w:val="24"/>
          <w:highlight w:val="none"/>
          <w:lang w:val="en-US" w:eastAsia="zh-CN" w:bidi="ar-SA"/>
        </w:rPr>
      </w:pPr>
      <w:r>
        <w:rPr>
          <w:rFonts w:hint="eastAsia" w:cstheme="minorBidi"/>
          <w:color w:val="auto"/>
          <w:kern w:val="2"/>
          <w:sz w:val="24"/>
          <w:szCs w:val="24"/>
          <w:highlight w:val="none"/>
          <w:lang w:val="en-US" w:eastAsia="zh-CN" w:bidi="ar-SA"/>
        </w:rPr>
        <w:t>3.7</w:t>
      </w:r>
      <w:r>
        <w:rPr>
          <w:rFonts w:hint="default" w:ascii="宋体" w:hAnsi="宋体" w:eastAsia="宋体" w:cstheme="minorBidi"/>
          <w:color w:val="auto"/>
          <w:kern w:val="2"/>
          <w:sz w:val="24"/>
          <w:szCs w:val="24"/>
          <w:highlight w:val="none"/>
          <w:lang w:val="en-US" w:eastAsia="zh-CN" w:bidi="ar-SA"/>
        </w:rPr>
        <w:t>.本次报价不接受联合体报价。</w:t>
      </w: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rPr>
      </w:pPr>
    </w:p>
    <w:p>
      <w:pPr>
        <w:keepNext w:val="0"/>
        <w:keepLines w:val="0"/>
        <w:pageBreakBefore w:val="0"/>
        <w:numPr>
          <w:ilvl w:val="0"/>
          <w:numId w:val="0"/>
        </w:numPr>
        <w:kinsoku/>
        <w:wordWrap/>
        <w:overflowPunct/>
        <w:topLinePunct w:val="0"/>
        <w:bidi w:val="0"/>
        <w:spacing w:line="400" w:lineRule="atLeast"/>
        <w:textAlignment w:val="auto"/>
        <w:rPr>
          <w:rFonts w:hint="eastAsia" w:ascii="宋体" w:hAnsi="宋体" w:eastAsia="宋体" w:cs="宋体"/>
          <w:b/>
          <w:color w:val="auto"/>
          <w:sz w:val="24"/>
          <w:szCs w:val="24"/>
          <w:lang w:eastAsia="zh-CN"/>
        </w:rPr>
      </w:pPr>
      <w:r>
        <w:rPr>
          <w:rFonts w:hint="eastAsia" w:ascii="宋体" w:hAnsi="宋体" w:eastAsia="宋体" w:cs="宋体"/>
          <w:b/>
          <w:color w:val="auto"/>
          <w:sz w:val="24"/>
          <w:szCs w:val="24"/>
        </w:rPr>
        <w:t xml:space="preserve">4. </w:t>
      </w:r>
      <w:r>
        <w:rPr>
          <w:rFonts w:hint="eastAsia" w:ascii="宋体" w:hAnsi="宋体" w:eastAsia="宋体" w:cs="宋体"/>
          <w:b/>
          <w:color w:val="auto"/>
          <w:sz w:val="24"/>
          <w:szCs w:val="24"/>
          <w:lang w:eastAsia="zh-CN"/>
        </w:rPr>
        <w:t>报</w:t>
      </w:r>
      <w:r>
        <w:rPr>
          <w:rFonts w:hint="eastAsia" w:ascii="宋体" w:hAnsi="宋体" w:eastAsia="宋体" w:cs="宋体"/>
          <w:b/>
          <w:color w:val="auto"/>
          <w:sz w:val="24"/>
          <w:szCs w:val="24"/>
          <w:lang w:val="en-US" w:eastAsia="zh-CN"/>
        </w:rPr>
        <w:t>价</w:t>
      </w:r>
      <w:r>
        <w:rPr>
          <w:rFonts w:hint="eastAsia" w:ascii="宋体" w:hAnsi="宋体" w:eastAsia="宋体" w:cs="宋体"/>
          <w:b/>
          <w:color w:val="auto"/>
          <w:sz w:val="24"/>
          <w:szCs w:val="24"/>
          <w:lang w:eastAsia="zh-CN"/>
        </w:rPr>
        <w:t>及相关要求</w:t>
      </w:r>
    </w:p>
    <w:p>
      <w:pPr>
        <w:keepNext w:val="0"/>
        <w:keepLines w:val="0"/>
        <w:pageBreakBefore w:val="0"/>
        <w:kinsoku/>
        <w:wordWrap/>
        <w:overflowPunct/>
        <w:topLinePunct w:val="0"/>
        <w:bidi w:val="0"/>
        <w:spacing w:line="400" w:lineRule="atLeast"/>
        <w:textAlignment w:val="auto"/>
        <w:rPr>
          <w:rFonts w:hint="eastAsia"/>
          <w:color w:val="auto"/>
          <w:lang w:val="en-US" w:eastAsia="zh-CN"/>
        </w:rPr>
      </w:pPr>
      <w:r>
        <w:rPr>
          <w:rFonts w:hint="eastAsia" w:ascii="宋体" w:hAnsi="宋体" w:eastAsia="宋体" w:cs="华文仿宋"/>
          <w:b/>
          <w:bCs/>
          <w:color w:val="auto"/>
          <w:sz w:val="24"/>
          <w:szCs w:val="24"/>
          <w:lang w:val="en-US" w:eastAsia="zh-CN"/>
        </w:rPr>
        <w:t>4.1结算及付款方式</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outlineLvl w:val="0"/>
        <w:rPr>
          <w:rFonts w:hint="eastAsia" w:ascii="宋体" w:hAnsi="宋体" w:cs="Arial"/>
          <w:color w:val="auto"/>
          <w:sz w:val="24"/>
        </w:rPr>
      </w:pPr>
      <w:r>
        <w:rPr>
          <w:rFonts w:hint="eastAsia" w:ascii="宋体" w:hAnsi="宋体" w:cs="Arial"/>
          <w:color w:val="auto"/>
          <w:sz w:val="24"/>
        </w:rPr>
        <w:t>每批次产品经甲方验收合格入库后，按</w:t>
      </w:r>
      <w:r>
        <w:rPr>
          <w:rFonts w:hint="eastAsia" w:ascii="宋体" w:hAnsi="宋体" w:cs="Arial"/>
          <w:color w:val="auto"/>
          <w:sz w:val="24"/>
          <w:lang w:eastAsia="zh-CN"/>
        </w:rPr>
        <w:t>合同</w:t>
      </w:r>
      <w:r>
        <w:rPr>
          <w:rFonts w:hint="eastAsia" w:ascii="宋体" w:hAnsi="宋体" w:cs="Arial"/>
          <w:color w:val="auto"/>
          <w:sz w:val="24"/>
        </w:rPr>
        <w:t>实际到货</w:t>
      </w:r>
      <w:r>
        <w:rPr>
          <w:rFonts w:hint="eastAsia" w:ascii="宋体" w:hAnsi="宋体" w:cs="Arial"/>
          <w:color w:val="auto"/>
          <w:sz w:val="24"/>
          <w:lang w:val="en-US" w:eastAsia="zh-CN"/>
        </w:rPr>
        <w:t>数量</w:t>
      </w:r>
      <w:r>
        <w:rPr>
          <w:rFonts w:hint="eastAsia" w:ascii="宋体" w:hAnsi="宋体" w:cs="Arial"/>
          <w:color w:val="auto"/>
          <w:sz w:val="24"/>
        </w:rPr>
        <w:t>单价</w:t>
      </w:r>
      <w:r>
        <w:rPr>
          <w:rFonts w:hint="eastAsia" w:ascii="宋体" w:hAnsi="宋体" w:cs="Arial"/>
          <w:color w:val="auto"/>
          <w:sz w:val="24"/>
          <w:lang w:val="en-US" w:eastAsia="zh-CN"/>
        </w:rPr>
        <w:t>进行，</w:t>
      </w:r>
      <w:r>
        <w:rPr>
          <w:rFonts w:hint="eastAsia" w:ascii="宋体" w:hAnsi="宋体" w:cs="Arial"/>
          <w:color w:val="auto"/>
          <w:sz w:val="24"/>
        </w:rPr>
        <w:t>若遇国家税率调整，应按调整后的最新税率计付合同款项，即合同不含税价格不受国家税率调整的影响。</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480" w:firstLineChars="200"/>
        <w:textAlignment w:val="auto"/>
        <w:rPr>
          <w:rFonts w:hint="eastAsia" w:ascii="宋体" w:hAnsi="宋体"/>
          <w:color w:val="auto"/>
          <w:kern w:val="0"/>
          <w:sz w:val="24"/>
          <w:szCs w:val="24"/>
        </w:rPr>
      </w:pPr>
      <w:r>
        <w:rPr>
          <w:rFonts w:hint="eastAsia" w:ascii="宋体" w:hAnsi="宋体" w:cs="Arial"/>
          <w:color w:val="auto"/>
          <w:sz w:val="24"/>
        </w:rPr>
        <w:t>乙方根据双方确认的付款金额开具税率为</w:t>
      </w:r>
      <w:r>
        <w:rPr>
          <w:rFonts w:ascii="宋体" w:hAnsi="宋体" w:cs="Arial"/>
          <w:color w:val="auto"/>
          <w:sz w:val="24"/>
        </w:rPr>
        <w:t>13</w:t>
      </w:r>
      <w:r>
        <w:rPr>
          <w:rFonts w:hint="eastAsia" w:ascii="宋体" w:hAnsi="宋体" w:cs="Arial"/>
          <w:color w:val="auto"/>
          <w:sz w:val="24"/>
        </w:rPr>
        <w:t>%的增值税专用发票，</w:t>
      </w:r>
      <w:r>
        <w:rPr>
          <w:rFonts w:hint="eastAsia" w:ascii="宋体" w:hAnsi="宋体"/>
          <w:color w:val="auto"/>
          <w:kern w:val="0"/>
          <w:sz w:val="24"/>
          <w:szCs w:val="24"/>
        </w:rPr>
        <w:t>发票入甲方财务账</w:t>
      </w:r>
      <w:r>
        <w:rPr>
          <w:rFonts w:hint="eastAsia" w:ascii="宋体" w:hAnsi="宋体"/>
          <w:color w:val="auto"/>
          <w:kern w:val="0"/>
          <w:sz w:val="24"/>
          <w:szCs w:val="24"/>
          <w:lang w:val="en-US" w:eastAsia="zh-CN"/>
        </w:rPr>
        <w:t>30</w:t>
      </w:r>
      <w:r>
        <w:rPr>
          <w:rFonts w:hint="eastAsia" w:ascii="宋体" w:hAnsi="宋体"/>
          <w:color w:val="auto"/>
          <w:kern w:val="0"/>
          <w:sz w:val="24"/>
          <w:szCs w:val="24"/>
        </w:rPr>
        <w:t>日</w:t>
      </w:r>
      <w:r>
        <w:rPr>
          <w:rFonts w:hint="eastAsia" w:ascii="宋体" w:hAnsi="宋体"/>
          <w:color w:val="auto"/>
          <w:kern w:val="0"/>
          <w:sz w:val="24"/>
          <w:szCs w:val="24"/>
          <w:lang w:eastAsia="zh-CN"/>
        </w:rPr>
        <w:t>内</w:t>
      </w:r>
      <w:r>
        <w:rPr>
          <w:rFonts w:hint="eastAsia" w:ascii="宋体" w:hAnsi="宋体"/>
          <w:color w:val="auto"/>
          <w:kern w:val="0"/>
          <w:sz w:val="24"/>
          <w:szCs w:val="24"/>
        </w:rPr>
        <w:t>付款</w:t>
      </w:r>
      <w:r>
        <w:rPr>
          <w:rFonts w:ascii="宋体" w:hAnsi="宋体"/>
          <w:color w:val="auto"/>
          <w:kern w:val="0"/>
          <w:sz w:val="24"/>
          <w:szCs w:val="24"/>
        </w:rPr>
        <w:t>。</w:t>
      </w:r>
    </w:p>
    <w:p>
      <w:pPr>
        <w:keepNext w:val="0"/>
        <w:keepLines w:val="0"/>
        <w:pageBreakBefore w:val="0"/>
        <w:kinsoku/>
        <w:wordWrap/>
        <w:overflowPunct/>
        <w:topLinePunct w:val="0"/>
        <w:autoSpaceDE/>
        <w:autoSpaceDN/>
        <w:bidi w:val="0"/>
        <w:adjustRightInd w:val="0"/>
        <w:snapToGrid w:val="0"/>
        <w:spacing w:before="156" w:beforeLines="50" w:after="156" w:afterLines="50" w:line="400" w:lineRule="atLeast"/>
        <w:ind w:firstLine="240" w:firstLineChars="100"/>
        <w:textAlignment w:val="auto"/>
        <w:rPr>
          <w:rFonts w:ascii="宋体" w:hAnsi="宋体" w:cs="Arial"/>
          <w:color w:val="auto"/>
          <w:sz w:val="24"/>
        </w:rPr>
      </w:pPr>
      <w:r>
        <w:rPr>
          <w:rFonts w:hint="eastAsia" w:ascii="宋体" w:hAnsi="宋体" w:cs="Arial"/>
          <w:color w:val="auto"/>
          <w:sz w:val="24"/>
        </w:rPr>
        <w:t xml:space="preserve"> 甲方付款前，乙方必须开具对应批次产品全额的增值税专用发票，否则甲方有权拒绝付款，并不承担逾期付款的责任。</w:t>
      </w:r>
    </w:p>
    <w:p>
      <w:pPr>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华文仿宋"/>
          <w:b/>
          <w:bCs/>
          <w:color w:val="auto"/>
          <w:sz w:val="24"/>
          <w:szCs w:val="24"/>
          <w:lang w:val="en-US" w:eastAsia="zh-CN"/>
        </w:rPr>
        <w:t>4.2议价方式</w:t>
      </w:r>
    </w:p>
    <w:p>
      <w:pPr>
        <w:pStyle w:val="4"/>
        <w:keepNext w:val="0"/>
        <w:keepLines w:val="0"/>
        <w:pageBreakBefore w:val="0"/>
        <w:kinsoku/>
        <w:wordWrap/>
        <w:overflowPunct/>
        <w:topLinePunct w:val="0"/>
        <w:bidi w:val="0"/>
        <w:spacing w:line="400" w:lineRule="atLeast"/>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本次采购项目通过采用电子平台竞价方式进行，请登录系统地址：</w:t>
      </w:r>
      <w:r>
        <w:rPr>
          <w:rFonts w:hint="eastAsia" w:ascii="宋体" w:hAnsi="宋体" w:eastAsia="宋体" w:cstheme="minorBidi"/>
          <w:color w:val="auto"/>
          <w:kern w:val="2"/>
          <w:sz w:val="24"/>
          <w:szCs w:val="24"/>
          <w:lang w:val="en-US" w:eastAsia="zh-CN" w:bidi="ar-SA"/>
        </w:rPr>
        <w:fldChar w:fldCharType="begin"/>
      </w:r>
      <w:r>
        <w:rPr>
          <w:rFonts w:hint="eastAsia" w:ascii="宋体" w:hAnsi="宋体" w:eastAsia="宋体" w:cstheme="minorBidi"/>
          <w:color w:val="auto"/>
          <w:kern w:val="2"/>
          <w:sz w:val="24"/>
          <w:szCs w:val="24"/>
          <w:lang w:val="en-US" w:eastAsia="zh-CN" w:bidi="ar-SA"/>
        </w:rPr>
        <w:instrText xml:space="preserve"> HYPERLINK "http://glzb.geely.com" </w:instrText>
      </w:r>
      <w:r>
        <w:rPr>
          <w:rFonts w:hint="eastAsia" w:ascii="宋体" w:hAnsi="宋体" w:eastAsia="宋体" w:cstheme="minorBidi"/>
          <w:color w:val="auto"/>
          <w:kern w:val="2"/>
          <w:sz w:val="24"/>
          <w:szCs w:val="24"/>
          <w:lang w:val="en-US" w:eastAsia="zh-CN" w:bidi="ar-SA"/>
        </w:rPr>
        <w:fldChar w:fldCharType="separate"/>
      </w:r>
      <w:r>
        <w:rPr>
          <w:rFonts w:hint="eastAsia" w:ascii="宋体" w:hAnsi="宋体" w:eastAsia="宋体" w:cstheme="minorBidi"/>
          <w:color w:val="auto"/>
          <w:kern w:val="2"/>
          <w:sz w:val="24"/>
          <w:szCs w:val="24"/>
          <w:lang w:val="en-US" w:eastAsia="zh-CN" w:bidi="ar-SA"/>
        </w:rPr>
        <w:t>http://glzb.geely.com</w:t>
      </w:r>
      <w:r>
        <w:rPr>
          <w:rFonts w:hint="eastAsia" w:ascii="宋体" w:hAnsi="宋体" w:eastAsia="宋体" w:cstheme="minorBidi"/>
          <w:color w:val="auto"/>
          <w:kern w:val="2"/>
          <w:sz w:val="24"/>
          <w:szCs w:val="24"/>
          <w:lang w:val="en-US" w:eastAsia="zh-CN" w:bidi="ar-SA"/>
        </w:rPr>
        <w:fldChar w:fldCharType="end"/>
      </w:r>
      <w:r>
        <w:rPr>
          <w:rFonts w:hint="eastAsia" w:ascii="宋体" w:hAnsi="宋体" w:eastAsia="宋体" w:cstheme="minorBidi"/>
          <w:color w:val="auto"/>
          <w:kern w:val="2"/>
          <w:sz w:val="24"/>
          <w:szCs w:val="24"/>
          <w:lang w:val="en-US" w:eastAsia="zh-CN" w:bidi="ar-SA"/>
        </w:rPr>
        <w:t>;于竞价前自行注册账号，注册时请正确填写公司详细信息、联系人详细信息并上传相关营业执照、经营许可证及其它相关证书扫描件；请妥善保管您的账号和密码！</w:t>
      </w:r>
    </w:p>
    <w:p>
      <w:pPr>
        <w:pStyle w:val="4"/>
        <w:keepNext w:val="0"/>
        <w:keepLines w:val="0"/>
        <w:pageBreakBefore w:val="0"/>
        <w:kinsoku/>
        <w:wordWrap/>
        <w:overflowPunct/>
        <w:topLinePunct w:val="0"/>
        <w:bidi w:val="0"/>
        <w:spacing w:line="400" w:lineRule="atLeast"/>
        <w:textAlignment w:val="auto"/>
        <w:rPr>
          <w:rFonts w:hint="default" w:ascii="宋体" w:hAnsi="宋体" w:eastAsia="宋体" w:cstheme="minorBidi"/>
          <w:color w:val="auto"/>
          <w:kern w:val="2"/>
          <w:sz w:val="24"/>
          <w:szCs w:val="24"/>
          <w:lang w:val="en-US" w:eastAsia="zh-CN" w:bidi="ar-SA"/>
        </w:rPr>
      </w:pPr>
    </w:p>
    <w:p>
      <w:pPr>
        <w:keepNext w:val="0"/>
        <w:keepLines w:val="0"/>
        <w:pageBreakBefore w:val="0"/>
        <w:kinsoku/>
        <w:wordWrap/>
        <w:overflowPunct/>
        <w:topLinePunct w:val="0"/>
        <w:bidi w:val="0"/>
        <w:spacing w:line="400" w:lineRule="atLeast"/>
        <w:textAlignment w:val="auto"/>
        <w:rPr>
          <w:rFonts w:hint="eastAsia" w:ascii="宋体" w:hAnsi="宋体" w:eastAsia="宋体" w:cs="华文仿宋"/>
          <w:b/>
          <w:bCs/>
          <w:color w:val="auto"/>
          <w:sz w:val="24"/>
          <w:szCs w:val="24"/>
          <w:lang w:val="en-US" w:eastAsia="zh-CN"/>
        </w:rPr>
      </w:pPr>
      <w:r>
        <w:rPr>
          <w:rFonts w:hint="eastAsia" w:ascii="宋体" w:hAnsi="宋体" w:eastAsia="宋体" w:cs="华文仿宋"/>
          <w:b/>
          <w:bCs/>
          <w:color w:val="auto"/>
          <w:sz w:val="24"/>
          <w:szCs w:val="24"/>
          <w:lang w:val="en-US" w:eastAsia="zh-CN"/>
        </w:rPr>
        <w:t>4.4 评定方法</w:t>
      </w:r>
    </w:p>
    <w:p>
      <w:pPr>
        <w:pStyle w:val="4"/>
        <w:keepNext w:val="0"/>
        <w:keepLines w:val="0"/>
        <w:pageBreakBefore w:val="0"/>
        <w:kinsoku/>
        <w:wordWrap/>
        <w:overflowPunct/>
        <w:topLinePunct w:val="0"/>
        <w:bidi w:val="0"/>
        <w:spacing w:line="400" w:lineRule="atLeast"/>
        <w:ind w:left="0" w:leftChars="0" w:firstLine="480" w:firstLineChars="200"/>
        <w:textAlignment w:val="auto"/>
        <w:rPr>
          <w:rFonts w:hint="eastAsia" w:ascii="宋体" w:hAnsi="宋体" w:eastAsia="宋体" w:cstheme="minorBidi"/>
          <w:color w:val="auto"/>
          <w:kern w:val="2"/>
          <w:sz w:val="24"/>
          <w:szCs w:val="24"/>
          <w:lang w:val="en-US" w:eastAsia="zh-CN" w:bidi="ar-SA"/>
        </w:rPr>
      </w:pPr>
      <w:r>
        <w:rPr>
          <w:rFonts w:hint="eastAsia" w:ascii="宋体" w:hAnsi="宋体" w:eastAsia="宋体" w:cstheme="minorBidi"/>
          <w:color w:val="auto"/>
          <w:kern w:val="2"/>
          <w:sz w:val="24"/>
          <w:szCs w:val="24"/>
          <w:lang w:val="en-US" w:eastAsia="zh-CN" w:bidi="ar-SA"/>
        </w:rPr>
        <w:t>本次评标采用低价中标，按价格由低到高顺序确定中标人。</w:t>
      </w:r>
      <w:bookmarkStart w:id="1" w:name="_Toc33189460"/>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p>
    <w:p>
      <w:pPr>
        <w:pStyle w:val="4"/>
        <w:keepNext w:val="0"/>
        <w:keepLines w:val="0"/>
        <w:pageBreakBefore w:val="0"/>
        <w:kinsoku/>
        <w:wordWrap/>
        <w:overflowPunct/>
        <w:topLinePunct w:val="0"/>
        <w:bidi w:val="0"/>
        <w:spacing w:line="400" w:lineRule="atLeast"/>
        <w:ind w:left="0" w:leftChars="0" w:firstLine="0" w:firstLineChars="0"/>
        <w:textAlignment w:val="auto"/>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5.确认</w:t>
      </w:r>
      <w:bookmarkEnd w:id="1"/>
    </w:p>
    <w:p>
      <w:pPr>
        <w:keepNext w:val="0"/>
        <w:keepLines w:val="0"/>
        <w:pageBreakBefore w:val="0"/>
        <w:kinsoku/>
        <w:wordWrap/>
        <w:overflowPunct/>
        <w:topLinePunct w:val="0"/>
        <w:bidi w:val="0"/>
        <w:spacing w:line="400" w:lineRule="atLeast"/>
        <w:ind w:firstLine="450"/>
        <w:textAlignment w:val="auto"/>
        <w:rPr>
          <w:rFonts w:hint="eastAsia" w:ascii="宋体" w:hAnsi="宋体" w:eastAsia="宋体"/>
          <w:color w:val="auto"/>
          <w:sz w:val="24"/>
          <w:szCs w:val="24"/>
        </w:rPr>
      </w:pPr>
      <w:r>
        <w:rPr>
          <w:rFonts w:hint="eastAsia" w:ascii="宋体" w:hAnsi="宋体" w:eastAsia="宋体"/>
          <w:color w:val="auto"/>
          <w:sz w:val="24"/>
          <w:szCs w:val="24"/>
          <w:lang w:eastAsia="zh-CN"/>
        </w:rPr>
        <w:t>贵公司</w:t>
      </w:r>
      <w:r>
        <w:rPr>
          <w:rFonts w:hint="eastAsia" w:ascii="宋体" w:hAnsi="宋体" w:eastAsia="宋体"/>
          <w:color w:val="auto"/>
          <w:sz w:val="24"/>
          <w:szCs w:val="24"/>
        </w:rPr>
        <w:t xml:space="preserve">收到本标邀请书后，请于 </w:t>
      </w:r>
      <w:r>
        <w:rPr>
          <w:rFonts w:hint="eastAsia" w:ascii="宋体" w:hAnsi="宋体" w:eastAsia="宋体"/>
          <w:color w:val="auto"/>
          <w:sz w:val="24"/>
          <w:szCs w:val="24"/>
          <w:u w:val="single"/>
          <w:lang w:val="en-US" w:eastAsia="zh-CN"/>
        </w:rPr>
        <w:t>2023</w:t>
      </w:r>
      <w:r>
        <w:rPr>
          <w:rFonts w:hint="eastAsia" w:ascii="宋体" w:hAnsi="宋体" w:eastAsia="宋体"/>
          <w:color w:val="auto"/>
          <w:sz w:val="24"/>
          <w:szCs w:val="24"/>
        </w:rPr>
        <w:t>年</w:t>
      </w:r>
      <w:r>
        <w:rPr>
          <w:rFonts w:hint="eastAsia" w:ascii="宋体" w:hAnsi="宋体" w:eastAsia="宋体"/>
          <w:color w:val="auto"/>
          <w:sz w:val="24"/>
          <w:szCs w:val="24"/>
          <w:u w:val="single"/>
          <w:lang w:val="en-US" w:eastAsia="zh-CN"/>
        </w:rPr>
        <w:t xml:space="preserve"> 11</w:t>
      </w:r>
      <w:r>
        <w:rPr>
          <w:rFonts w:hint="eastAsia" w:ascii="宋体" w:hAnsi="宋体" w:eastAsia="宋体"/>
          <w:color w:val="auto"/>
          <w:sz w:val="24"/>
          <w:szCs w:val="24"/>
        </w:rPr>
        <w:t>月</w:t>
      </w:r>
      <w:r>
        <w:rPr>
          <w:rFonts w:hint="eastAsia" w:ascii="宋体" w:hAnsi="宋体" w:eastAsia="宋体"/>
          <w:color w:val="auto"/>
          <w:sz w:val="24"/>
          <w:szCs w:val="24"/>
          <w:u w:val="single"/>
        </w:rPr>
        <w:t xml:space="preserve"> </w:t>
      </w:r>
      <w:r>
        <w:rPr>
          <w:rFonts w:hint="eastAsia" w:ascii="宋体" w:hAnsi="宋体" w:eastAsia="宋体"/>
          <w:color w:val="auto"/>
          <w:sz w:val="24"/>
          <w:szCs w:val="24"/>
          <w:u w:val="single"/>
          <w:lang w:val="en-US" w:eastAsia="zh-CN"/>
        </w:rPr>
        <w:t>2</w:t>
      </w:r>
      <w:bookmarkStart w:id="2" w:name="_GoBack"/>
      <w:bookmarkEnd w:id="2"/>
      <w:r>
        <w:rPr>
          <w:rFonts w:hint="eastAsia" w:ascii="宋体" w:hAnsi="宋体" w:eastAsia="宋体"/>
          <w:color w:val="auto"/>
          <w:sz w:val="24"/>
          <w:szCs w:val="24"/>
          <w:u w:val="single"/>
          <w:lang w:val="en-US" w:eastAsia="zh-CN"/>
        </w:rPr>
        <w:t xml:space="preserve">7 </w:t>
      </w:r>
      <w:r>
        <w:rPr>
          <w:rFonts w:hint="eastAsia" w:ascii="宋体" w:hAnsi="宋体" w:eastAsia="宋体"/>
          <w:color w:val="auto"/>
          <w:sz w:val="24"/>
          <w:szCs w:val="24"/>
        </w:rPr>
        <w:t>日</w:t>
      </w:r>
      <w:r>
        <w:rPr>
          <w:rFonts w:hint="eastAsia" w:ascii="宋体" w:hAnsi="宋体" w:eastAsia="宋体"/>
          <w:color w:val="auto"/>
          <w:sz w:val="24"/>
          <w:szCs w:val="24"/>
          <w:u w:val="single"/>
          <w:lang w:val="en-US" w:eastAsia="zh-CN"/>
        </w:rPr>
        <w:t xml:space="preserve"> 16 </w:t>
      </w:r>
      <w:r>
        <w:rPr>
          <w:rFonts w:hint="eastAsia" w:ascii="宋体" w:hAnsi="宋体" w:eastAsia="宋体"/>
          <w:color w:val="auto"/>
          <w:sz w:val="24"/>
          <w:szCs w:val="24"/>
        </w:rPr>
        <w:t>时前将确认通知（附件1）以邮件方式反馈给招标人商务人员，以确认是否参加。在本投标邀请书规定的时间内未表示是否参加或明确表示不参加投标的，不得再参加投标。</w:t>
      </w:r>
    </w:p>
    <w:p>
      <w:pPr>
        <w:pStyle w:val="2"/>
        <w:rPr>
          <w:rFonts w:hint="eastAsia" w:ascii="宋体" w:hAnsi="宋体" w:eastAsia="宋体"/>
          <w:color w:val="auto"/>
          <w:sz w:val="24"/>
          <w:szCs w:val="24"/>
        </w:rPr>
      </w:pPr>
    </w:p>
    <w:p>
      <w:pPr>
        <w:spacing w:line="400" w:lineRule="exact"/>
        <w:rPr>
          <w:rFonts w:hint="eastAsia" w:ascii="宋体" w:hAnsi="宋体" w:eastAsia="宋体"/>
          <w:sz w:val="24"/>
          <w:szCs w:val="24"/>
          <w:highlight w:val="none"/>
        </w:rPr>
      </w:pPr>
      <w:r>
        <w:rPr>
          <w:rFonts w:hint="eastAsia" w:ascii="宋体" w:hAnsi="宋体" w:eastAsia="宋体"/>
          <w:b/>
          <w:bCs/>
          <w:sz w:val="24"/>
          <w:szCs w:val="24"/>
          <w:highlight w:val="none"/>
          <w:lang w:val="en-US" w:eastAsia="zh-CN"/>
        </w:rPr>
        <w:t>6.</w:t>
      </w:r>
      <w:r>
        <w:rPr>
          <w:rFonts w:hint="eastAsia" w:ascii="宋体" w:hAnsi="宋体" w:eastAsia="宋体"/>
          <w:b/>
          <w:bCs/>
          <w:sz w:val="24"/>
          <w:szCs w:val="24"/>
          <w:highlight w:val="none"/>
        </w:rPr>
        <w:t>投标保证金：</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.1、投标单位在递交</w:t>
      </w:r>
      <w:r>
        <w:rPr>
          <w:rFonts w:hint="eastAsia" w:ascii="宋体" w:hAnsi="宋体" w:eastAsia="宋体"/>
          <w:sz w:val="24"/>
          <w:szCs w:val="24"/>
          <w:lang w:eastAsia="zh-CN"/>
        </w:rPr>
        <w:t>邀请书</w:t>
      </w:r>
      <w:r>
        <w:rPr>
          <w:rFonts w:hint="eastAsia" w:ascii="宋体" w:hAnsi="宋体" w:eastAsia="宋体"/>
          <w:sz w:val="24"/>
          <w:szCs w:val="24"/>
        </w:rPr>
        <w:t>时需交纳投标保证金，投标保证金电汇形式。</w:t>
      </w:r>
    </w:p>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投标保证金</w:t>
      </w:r>
      <w:r>
        <w:rPr>
          <w:rFonts w:hint="eastAsia" w:asciiTheme="majorEastAsia" w:hAnsiTheme="majorEastAsia" w:eastAsiaTheme="majorEastAsia" w:cstheme="majorEastAsia"/>
          <w:b w:val="0"/>
          <w:bCs w:val="0"/>
          <w:color w:val="auto"/>
          <w:sz w:val="24"/>
          <w:szCs w:val="24"/>
          <w:highlight w:val="none"/>
          <w:u w:val="single"/>
          <w:lang w:val="en-US" w:eastAsia="zh-CN"/>
        </w:rPr>
        <w:t>7</w:t>
      </w:r>
      <w:r>
        <w:rPr>
          <w:rFonts w:hint="eastAsia" w:ascii="宋体" w:hAnsi="宋体" w:eastAsia="宋体"/>
          <w:color w:val="auto"/>
          <w:sz w:val="24"/>
          <w:szCs w:val="24"/>
          <w:highlight w:val="none"/>
        </w:rPr>
        <w:t>万元</w:t>
      </w:r>
      <w:r>
        <w:rPr>
          <w:rFonts w:hint="eastAsia" w:ascii="宋体" w:hAnsi="宋体" w:eastAsia="宋体"/>
          <w:color w:val="auto"/>
          <w:sz w:val="24"/>
          <w:szCs w:val="24"/>
        </w:rPr>
        <w:t>电汇到以下账户：</w:t>
      </w:r>
    </w:p>
    <w:p>
      <w:pPr>
        <w:pStyle w:val="2"/>
        <w:rPr>
          <w:rFonts w:hint="default" w:eastAsia="宋体"/>
          <w:color w:val="auto"/>
          <w:sz w:val="24"/>
          <w:szCs w:val="24"/>
          <w:lang w:val="en-US" w:eastAsia="zh-CN"/>
        </w:rPr>
      </w:pPr>
      <w:r>
        <w:rPr>
          <w:rFonts w:hint="eastAsia" w:eastAsia="宋体"/>
          <w:color w:val="auto"/>
          <w:sz w:val="24"/>
          <w:szCs w:val="24"/>
          <w:lang w:eastAsia="zh-CN"/>
        </w:rPr>
        <w:t>开</w:t>
      </w:r>
      <w:r>
        <w:rPr>
          <w:rFonts w:hint="eastAsia" w:eastAsia="宋体"/>
          <w:color w:val="auto"/>
          <w:sz w:val="24"/>
          <w:szCs w:val="24"/>
          <w:lang w:val="en-US" w:eastAsia="zh-CN"/>
        </w:rPr>
        <w:t xml:space="preserve"> </w:t>
      </w:r>
      <w:r>
        <w:rPr>
          <w:rFonts w:hint="eastAsia" w:eastAsia="宋体"/>
          <w:color w:val="auto"/>
          <w:sz w:val="24"/>
          <w:szCs w:val="24"/>
          <w:lang w:eastAsia="zh-CN"/>
        </w:rPr>
        <w:t>户</w:t>
      </w:r>
      <w:r>
        <w:rPr>
          <w:rFonts w:hint="eastAsia" w:eastAsia="宋体"/>
          <w:color w:val="auto"/>
          <w:sz w:val="24"/>
          <w:szCs w:val="24"/>
          <w:lang w:val="en-US" w:eastAsia="zh-CN"/>
        </w:rPr>
        <w:t xml:space="preserve"> </w:t>
      </w:r>
      <w:r>
        <w:rPr>
          <w:rFonts w:hint="eastAsia" w:eastAsia="宋体"/>
          <w:color w:val="auto"/>
          <w:sz w:val="24"/>
          <w:szCs w:val="24"/>
          <w:lang w:eastAsia="zh-CN"/>
        </w:rPr>
        <w:t>名：</w:t>
      </w:r>
      <w:r>
        <w:rPr>
          <w:rFonts w:hint="eastAsia" w:ascii="宋体" w:hAnsi="宋体" w:eastAsia="宋体" w:cs="宋体"/>
          <w:bCs/>
          <w:color w:val="auto"/>
          <w:sz w:val="24"/>
          <w:szCs w:val="24"/>
          <w:highlight w:val="none"/>
        </w:rPr>
        <w:t>吉利百矿集团有限公司</w:t>
      </w:r>
    </w:p>
    <w:p>
      <w:pPr>
        <w:bidi w:val="0"/>
        <w:jc w:val="left"/>
        <w:rPr>
          <w:rFonts w:hint="eastAsia"/>
          <w:color w:val="auto"/>
          <w:sz w:val="24"/>
          <w:szCs w:val="24"/>
          <w:lang w:val="en-US" w:eastAsia="zh-CN"/>
        </w:rPr>
      </w:pPr>
      <w:r>
        <w:rPr>
          <w:rFonts w:hint="eastAsia"/>
          <w:color w:val="auto"/>
          <w:sz w:val="24"/>
          <w:szCs w:val="24"/>
          <w:lang w:val="en-US" w:eastAsia="zh-CN"/>
        </w:rPr>
        <w:t>开户银行：</w:t>
      </w:r>
      <w:r>
        <w:rPr>
          <w:rFonts w:hint="eastAsia" w:ascii="宋体" w:hAnsi="宋体" w:eastAsia="宋体" w:cs="宋体"/>
          <w:bCs/>
          <w:color w:val="auto"/>
          <w:sz w:val="24"/>
          <w:szCs w:val="24"/>
          <w:highlight w:val="none"/>
          <w:u w:val="none"/>
        </w:rPr>
        <w:t>建设银行百色中山支行</w:t>
      </w:r>
    </w:p>
    <w:p>
      <w:pPr>
        <w:bidi w:val="0"/>
        <w:jc w:val="left"/>
        <w:rPr>
          <w:rFonts w:hint="eastAsia" w:ascii="宋体" w:hAnsi="宋体" w:eastAsia="宋体" w:cs="宋体"/>
          <w:b w:val="0"/>
          <w:bCs w:val="0"/>
          <w:color w:val="auto"/>
          <w:sz w:val="24"/>
          <w:szCs w:val="24"/>
          <w:u w:val="single"/>
          <w:lang w:val="en-US" w:eastAsia="zh-CN"/>
        </w:rPr>
      </w:pPr>
      <w:r>
        <w:rPr>
          <w:rFonts w:hint="eastAsia" w:ascii="宋体" w:hAnsi="宋体" w:eastAsia="宋体" w:cs="宋体"/>
          <w:b w:val="0"/>
          <w:bCs w:val="0"/>
          <w:color w:val="auto"/>
          <w:sz w:val="24"/>
          <w:szCs w:val="24"/>
          <w:lang w:val="en-US" w:eastAsia="zh-CN"/>
        </w:rPr>
        <w:t>帐   号：</w:t>
      </w:r>
      <w:r>
        <w:rPr>
          <w:rFonts w:hint="eastAsia" w:ascii="宋体" w:hAnsi="宋体" w:eastAsia="宋体" w:cs="宋体"/>
          <w:bCs/>
          <w:color w:val="auto"/>
          <w:sz w:val="24"/>
          <w:szCs w:val="24"/>
          <w:highlight w:val="none"/>
          <w:u w:val="none"/>
        </w:rPr>
        <w:t>4500</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none"/>
        </w:rPr>
        <w:t>1676</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none"/>
        </w:rPr>
        <w:t>1140</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none"/>
        </w:rPr>
        <w:t>5070</w:t>
      </w:r>
      <w:r>
        <w:rPr>
          <w:rFonts w:hint="eastAsia" w:ascii="宋体" w:hAnsi="宋体" w:eastAsia="宋体" w:cs="宋体"/>
          <w:bCs/>
          <w:color w:val="auto"/>
          <w:sz w:val="24"/>
          <w:szCs w:val="24"/>
          <w:highlight w:val="none"/>
          <w:u w:val="none"/>
          <w:lang w:val="en-US" w:eastAsia="zh-CN"/>
        </w:rPr>
        <w:t xml:space="preserve"> </w:t>
      </w:r>
      <w:r>
        <w:rPr>
          <w:rFonts w:hint="eastAsia" w:ascii="宋体" w:hAnsi="宋体" w:eastAsia="宋体" w:cs="宋体"/>
          <w:bCs/>
          <w:color w:val="auto"/>
          <w:sz w:val="24"/>
          <w:szCs w:val="24"/>
          <w:highlight w:val="none"/>
          <w:u w:val="none"/>
        </w:rPr>
        <w:t>2700</w:t>
      </w:r>
    </w:p>
    <w:p>
      <w:pPr>
        <w:jc w:val="center"/>
        <w:rPr>
          <w:rFonts w:hint="eastAsia" w:ascii="宋体" w:hAnsi="宋体" w:eastAsia="宋体"/>
          <w:color w:val="FF0000"/>
          <w:sz w:val="24"/>
          <w:szCs w:val="24"/>
        </w:rPr>
      </w:pPr>
      <w:r>
        <w:rPr>
          <w:rFonts w:hint="eastAsia" w:ascii="宋体" w:hAnsi="宋体" w:eastAsia="宋体"/>
          <w:color w:val="auto"/>
          <w:sz w:val="24"/>
          <w:szCs w:val="24"/>
        </w:rPr>
        <w:t>（</w:t>
      </w:r>
      <w:r>
        <w:rPr>
          <w:rFonts w:hint="eastAsia" w:ascii="宋体" w:hAnsi="宋体" w:eastAsia="宋体"/>
          <w:color w:val="auto"/>
          <w:sz w:val="24"/>
          <w:szCs w:val="24"/>
          <w:u w:val="single"/>
        </w:rPr>
        <w:t>汇款时备注：</w:t>
      </w:r>
      <w:r>
        <w:rPr>
          <w:rFonts w:hint="eastAsia" w:ascii="宋体" w:hAnsi="宋体" w:eastAsia="宋体"/>
          <w:color w:val="auto"/>
          <w:sz w:val="24"/>
          <w:szCs w:val="24"/>
          <w:u w:val="single"/>
          <w:lang w:val="en-US" w:eastAsia="zh-CN"/>
        </w:rPr>
        <w:t>靖西市锰矿有限责任公司硫酸铵等原辅材料采购项目</w:t>
      </w:r>
      <w:r>
        <w:rPr>
          <w:rFonts w:hint="eastAsia" w:ascii="宋体" w:hAnsi="宋体" w:eastAsia="宋体"/>
          <w:color w:val="auto"/>
          <w:sz w:val="24"/>
          <w:szCs w:val="24"/>
          <w:u w:val="single"/>
        </w:rPr>
        <w:t>投标保证金</w:t>
      </w:r>
      <w:r>
        <w:rPr>
          <w:rFonts w:hint="eastAsia" w:ascii="宋体" w:hAnsi="宋体" w:eastAsia="宋体"/>
          <w:color w:val="auto"/>
          <w:sz w:val="24"/>
          <w:szCs w:val="24"/>
        </w:rPr>
        <w:t>）</w:t>
      </w:r>
    </w:p>
    <w:p>
      <w:pPr>
        <w:spacing w:line="400" w:lineRule="exact"/>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.2、投标保证金须在开标前</w:t>
      </w:r>
      <w:r>
        <w:rPr>
          <w:rFonts w:hint="eastAsia" w:ascii="宋体" w:hAnsi="宋体" w:eastAsia="宋体"/>
          <w:sz w:val="24"/>
          <w:szCs w:val="24"/>
          <w:lang w:val="en-US" w:eastAsia="zh-CN"/>
        </w:rPr>
        <w:t>1日</w:t>
      </w:r>
      <w:r>
        <w:rPr>
          <w:rFonts w:hint="eastAsia" w:ascii="宋体" w:hAnsi="宋体" w:eastAsia="宋体"/>
          <w:sz w:val="24"/>
          <w:szCs w:val="24"/>
        </w:rPr>
        <w:t>到帐。</w:t>
      </w:r>
    </w:p>
    <w:p>
      <w:pPr>
        <w:spacing w:line="400" w:lineRule="exact"/>
        <w:rPr>
          <w:rFonts w:hint="eastAsia" w:ascii="宋体" w:hAnsi="宋体" w:eastAsia="宋体"/>
          <w:sz w:val="24"/>
          <w:szCs w:val="24"/>
          <w:lang w:val="en-US" w:eastAsia="zh-CN"/>
        </w:rPr>
      </w:pPr>
      <w:r>
        <w:rPr>
          <w:rFonts w:hint="eastAsia" w:ascii="宋体" w:hAnsi="宋体" w:eastAsia="宋体"/>
          <w:color w:val="auto"/>
          <w:sz w:val="24"/>
          <w:szCs w:val="24"/>
          <w:lang w:val="en-US" w:eastAsia="zh-CN"/>
        </w:rPr>
        <w:t>6</w:t>
      </w:r>
      <w:r>
        <w:rPr>
          <w:rFonts w:hint="eastAsia" w:ascii="宋体" w:hAnsi="宋体" w:eastAsia="宋体"/>
          <w:color w:val="auto"/>
          <w:sz w:val="24"/>
          <w:szCs w:val="24"/>
        </w:rPr>
        <w:t>.3、中标人的投标保证金在中标人</w:t>
      </w:r>
      <w:r>
        <w:rPr>
          <w:rFonts w:hint="eastAsia" w:ascii="宋体" w:hAnsi="宋体" w:eastAsia="宋体"/>
          <w:color w:val="auto"/>
          <w:sz w:val="24"/>
          <w:szCs w:val="24"/>
          <w:highlight w:val="none"/>
        </w:rPr>
        <w:t>与招标方签订了经济合同</w:t>
      </w:r>
      <w:r>
        <w:rPr>
          <w:rFonts w:hint="eastAsia" w:ascii="宋体" w:hAnsi="宋体" w:eastAsia="宋体"/>
          <w:color w:val="auto"/>
          <w:sz w:val="24"/>
          <w:szCs w:val="24"/>
          <w:highlight w:val="none"/>
          <w:lang w:val="en-US" w:eastAsia="zh-CN"/>
        </w:rPr>
        <w:t>且第一批物资验收合格</w:t>
      </w:r>
      <w:r>
        <w:rPr>
          <w:rFonts w:hint="eastAsia" w:ascii="宋体" w:hAnsi="宋体" w:eastAsia="宋体"/>
          <w:sz w:val="24"/>
          <w:szCs w:val="24"/>
          <w:lang w:val="en-US" w:eastAsia="zh-CN"/>
        </w:rPr>
        <w:t>7个工作日内退还，其余未中标人的投标保证金将在确定中标人后7个工作日无息退还。</w:t>
      </w:r>
    </w:p>
    <w:p>
      <w:pPr>
        <w:spacing w:line="360" w:lineRule="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6.4</w:t>
      </w:r>
      <w:r>
        <w:rPr>
          <w:rFonts w:hint="eastAsia" w:ascii="宋体" w:hAnsi="宋体" w:eastAsia="宋体" w:cs="宋体"/>
          <w:b w:val="0"/>
          <w:bCs w:val="0"/>
          <w:sz w:val="24"/>
          <w:szCs w:val="24"/>
        </w:rPr>
        <w:t>如供应商有下列情况，投标保证金、履约保证金不予退还：</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1)第一中标候选人若明示或以其他行为不按规定时间签订或拒不签订正式合同的； </w:t>
      </w:r>
    </w:p>
    <w:p>
      <w:pPr>
        <w:pStyle w:val="25"/>
        <w:numPr>
          <w:ilvl w:val="0"/>
          <w:numId w:val="0"/>
        </w:numPr>
        <w:tabs>
          <w:tab w:val="left" w:pos="411"/>
        </w:tabs>
        <w:spacing w:before="135"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2)第一中标候选人若明示或以其他行为不按规定时间提交履约保证金的； </w:t>
      </w:r>
    </w:p>
    <w:p>
      <w:pPr>
        <w:pStyle w:val="25"/>
        <w:numPr>
          <w:ilvl w:val="0"/>
          <w:numId w:val="0"/>
        </w:numPr>
        <w:tabs>
          <w:tab w:val="left" w:pos="411"/>
        </w:tabs>
        <w:spacing w:before="131" w:after="0" w:line="240" w:lineRule="auto"/>
        <w:ind w:right="0"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3)第一中标候选人因恶意竞争、经营财务发生较大变化等自身原因要求放弃中标的； </w:t>
      </w:r>
    </w:p>
    <w:p>
      <w:pPr>
        <w:pStyle w:val="6"/>
        <w:ind w:left="0"/>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page">
                  <wp:posOffset>7014210</wp:posOffset>
                </wp:positionH>
                <wp:positionV relativeFrom="page">
                  <wp:posOffset>5244465</wp:posOffset>
                </wp:positionV>
                <wp:extent cx="0" cy="278765"/>
                <wp:effectExtent l="4445" t="0" r="14605" b="6985"/>
                <wp:wrapNone/>
                <wp:docPr id="1" name="直接连接符 1"/>
                <wp:cNvGraphicFramePr/>
                <a:graphic xmlns:a="http://schemas.openxmlformats.org/drawingml/2006/main">
                  <a:graphicData uri="http://schemas.microsoft.com/office/word/2010/wordprocessingShape">
                    <wps:wsp>
                      <wps:cNvCnPr/>
                      <wps:spPr>
                        <a:xfrm>
                          <a:off x="0" y="0"/>
                          <a:ext cx="0" cy="278765"/>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52.3pt;margin-top:412.95pt;height:21.95pt;width:0pt;mso-position-horizontal-relative:page;mso-position-vertical-relative:page;z-index:251659264;mso-width-relative:page;mso-height-relative:page;" filled="f" stroked="t" coordsize="21600,21600" o:gfxdata="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AtG742AAAAA0BAAAPAAAAAAAAAAEAIAAAACIAAABkcnMvZG93bnJldi54bWxQSwECFAAU&#10;AAAACACHTuJAjdiGAfEBAADjAwAADgAAAAAAAAABACAAAAAnAQAAZHJzL2Uyb0RvYy54bWxQSwUG&#10;AAAAAAYABgBZAQAAigUAAAAA&#10;">
                <v:fill on="f" focussize="0,0"/>
                <v:stroke weight="0.72pt" color="#000000" joinstyle="round"/>
                <v:imagedata o:title=""/>
                <o:lock v:ext="edit" aspectratio="f"/>
              </v:line>
            </w:pict>
          </mc:Fallback>
        </mc:AlternateContent>
      </w:r>
    </w:p>
    <w:p>
      <w:pPr>
        <w:pStyle w:val="25"/>
        <w:numPr>
          <w:ilvl w:val="0"/>
          <w:numId w:val="0"/>
        </w:numPr>
        <w:tabs>
          <w:tab w:val="left" w:pos="412"/>
        </w:tabs>
        <w:spacing w:before="66" w:after="0" w:line="343" w:lineRule="auto"/>
        <w:ind w:right="342" w:rightChars="0" w:firstLine="480" w:firstLineChars="200"/>
        <w:jc w:val="left"/>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 xml:space="preserve">4)第一中标候选人存在违法行为获取中标或存在以其他方式弄虚作假行为骗取中标的。 </w:t>
      </w:r>
    </w:p>
    <w:p>
      <w:pPr>
        <w:ind w:firstLine="480" w:firstLineChars="200"/>
        <w:rPr>
          <w:rFonts w:hint="eastAsia" w:ascii="宋体" w:hAnsi="宋体" w:eastAsia="宋体"/>
          <w:b/>
          <w:bCs/>
          <w:color w:val="auto"/>
          <w:sz w:val="24"/>
          <w:szCs w:val="24"/>
          <w:lang w:val="en-US" w:eastAsia="zh-CN"/>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5)投标有效期内投标人撤销投标文件的。</w:t>
      </w:r>
    </w:p>
    <w:p>
      <w:pPr>
        <w:keepNext w:val="0"/>
        <w:keepLines w:val="0"/>
        <w:pageBreakBefore w:val="0"/>
        <w:widowControl/>
        <w:kinsoku/>
        <w:wordWrap/>
        <w:overflowPunct/>
        <w:topLinePunct w:val="0"/>
        <w:bidi w:val="0"/>
        <w:snapToGrid w:val="0"/>
        <w:spacing w:line="400" w:lineRule="atLeast"/>
        <w:jc w:val="left"/>
        <w:textAlignment w:val="auto"/>
        <w:rPr>
          <w:rFonts w:hint="eastAsia" w:ascii="宋体" w:hAnsi="宋体" w:eastAsia="宋体" w:cs="宋体"/>
          <w:b/>
          <w:bCs/>
          <w:color w:val="auto"/>
          <w:kern w:val="0"/>
          <w:sz w:val="24"/>
        </w:rPr>
      </w:pPr>
      <w:r>
        <w:rPr>
          <w:rFonts w:hint="eastAsia" w:ascii="宋体" w:hAnsi="宋体" w:eastAsia="宋体" w:cs="宋体"/>
          <w:b/>
          <w:bCs/>
          <w:color w:val="auto"/>
          <w:kern w:val="0"/>
          <w:sz w:val="24"/>
          <w:lang w:val="en-US" w:eastAsia="zh-CN"/>
        </w:rPr>
        <w:t>8.</w:t>
      </w:r>
      <w:r>
        <w:rPr>
          <w:rFonts w:hint="eastAsia" w:ascii="宋体" w:hAnsi="宋体" w:eastAsia="宋体" w:cs="宋体"/>
          <w:b/>
          <w:bCs/>
          <w:color w:val="auto"/>
          <w:kern w:val="0"/>
          <w:sz w:val="24"/>
        </w:rPr>
        <w:t>特别约定条款：</w:t>
      </w:r>
    </w:p>
    <w:p>
      <w:pPr>
        <w:keepNext w:val="0"/>
        <w:keepLines w:val="0"/>
        <w:pageBreakBefore w:val="0"/>
        <w:widowControl/>
        <w:kinsoku/>
        <w:wordWrap/>
        <w:overflowPunct/>
        <w:topLinePunct w:val="0"/>
        <w:bidi w:val="0"/>
        <w:snapToGrid w:val="0"/>
        <w:spacing w:line="400" w:lineRule="atLeast"/>
        <w:ind w:firstLine="480" w:firstLineChars="200"/>
        <w:jc w:val="left"/>
        <w:textAlignment w:val="auto"/>
        <w:rPr>
          <w:rFonts w:hint="eastAsia"/>
          <w:color w:val="auto"/>
        </w:rPr>
      </w:pPr>
      <w:r>
        <w:rPr>
          <w:rFonts w:hint="eastAsia" w:ascii="宋体" w:hAnsi="宋体" w:eastAsia="宋体" w:cs="宋体"/>
          <w:b w:val="0"/>
          <w:bCs w:val="0"/>
          <w:color w:val="auto"/>
          <w:kern w:val="0"/>
          <w:sz w:val="24"/>
        </w:rPr>
        <w:t>鉴于卖方通过参加买方的招投标活动或</w:t>
      </w:r>
      <w:r>
        <w:rPr>
          <w:rFonts w:hint="eastAsia" w:ascii="宋体" w:hAnsi="宋体" w:eastAsia="宋体"/>
          <w:color w:val="auto"/>
          <w:kern w:val="0"/>
          <w:sz w:val="24"/>
          <w:lang w:eastAsia="zh-CN"/>
        </w:rPr>
        <w:t>竞</w:t>
      </w:r>
      <w:r>
        <w:rPr>
          <w:rFonts w:hint="eastAsia" w:ascii="宋体" w:hAnsi="宋体"/>
          <w:color w:val="auto"/>
          <w:kern w:val="0"/>
          <w:sz w:val="24"/>
        </w:rPr>
        <w:t>争性谈判而取得签订本合同的资格，在合同签订后或者合同履行过程中，如果买方发现卖方在投标或者与买方谈判过程中有虚构事实，从而使买方误信卖方符合投标或者谈判条件，进而卖方中标并与买方签订合同的情形，则买方有权单方终止本合同，并且自买方口头或者书面通知卖方</w:t>
      </w:r>
      <w:r>
        <w:rPr>
          <w:rFonts w:hint="eastAsia" w:asciiTheme="majorEastAsia" w:hAnsiTheme="majorEastAsia" w:eastAsiaTheme="majorEastAsia" w:cstheme="majorEastAsia"/>
          <w:color w:val="auto"/>
          <w:kern w:val="0"/>
          <w:sz w:val="24"/>
          <w:szCs w:val="24"/>
        </w:rPr>
        <w:t>合同终止日起本合同终止。</w:t>
      </w:r>
    </w:p>
    <w:p>
      <w:pPr>
        <w:pStyle w:val="2"/>
        <w:rPr>
          <w:rFonts w:hint="eastAsia" w:asciiTheme="majorEastAsia" w:hAnsiTheme="majorEastAsia" w:eastAsiaTheme="majorEastAsia" w:cstheme="majorEastAsia"/>
          <w:color w:val="auto"/>
          <w:sz w:val="24"/>
          <w:szCs w:val="24"/>
          <w:lang w:val="en-US" w:eastAsia="zh-CN"/>
        </w:rPr>
      </w:pPr>
    </w:p>
    <w:p>
      <w:pPr>
        <w:pStyle w:val="4"/>
        <w:ind w:left="0" w:leftChars="0" w:firstLine="0" w:firstLineChars="0"/>
        <w:rPr>
          <w:rFonts w:hint="eastAsia" w:ascii="宋体" w:hAnsi="宋体" w:eastAsia="宋体" w:cs="宋体"/>
          <w:b/>
          <w:bCs w:val="0"/>
          <w:color w:val="auto"/>
          <w:kern w:val="2"/>
          <w:sz w:val="24"/>
          <w:szCs w:val="24"/>
          <w:lang w:val="en-US" w:eastAsia="zh-CN" w:bidi="ar-SA"/>
        </w:rPr>
      </w:pPr>
      <w:r>
        <w:rPr>
          <w:rFonts w:hint="eastAsia" w:ascii="宋体" w:hAnsi="宋体" w:eastAsia="宋体" w:cs="宋体"/>
          <w:b/>
          <w:bCs w:val="0"/>
          <w:color w:val="auto"/>
          <w:kern w:val="2"/>
          <w:sz w:val="24"/>
          <w:szCs w:val="24"/>
          <w:lang w:val="en-US" w:eastAsia="zh-CN" w:bidi="ar-SA"/>
        </w:rPr>
        <w:t>9.联系方式</w:t>
      </w:r>
    </w:p>
    <w:tbl>
      <w:tblPr>
        <w:tblStyle w:val="13"/>
        <w:tblW w:w="8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4"/>
        <w:gridCol w:w="350"/>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1394" w:type="dxa"/>
            <w:tcBorders>
              <w:top w:val="nil"/>
              <w:left w:val="nil"/>
              <w:bottom w:val="nil"/>
              <w:right w:val="nil"/>
            </w:tcBorders>
            <w:tcMar>
              <w:left w:w="28" w:type="dxa"/>
              <w:right w:w="28" w:type="dxa"/>
            </w:tcMar>
            <w:vAlign w:val="center"/>
          </w:tcPr>
          <w:p>
            <w:pPr>
              <w:spacing w:line="400" w:lineRule="exact"/>
              <w:jc w:val="distribute"/>
              <w:rPr>
                <w:rFonts w:hint="eastAsia" w:eastAsiaTheme="minorEastAsia"/>
                <w:color w:val="auto"/>
                <w:kern w:val="0"/>
                <w:sz w:val="24"/>
                <w:szCs w:val="24"/>
                <w:lang w:eastAsia="zh-CN"/>
              </w:rPr>
            </w:pPr>
            <w:r>
              <w:rPr>
                <w:rFonts w:hint="eastAsia"/>
                <w:color w:val="auto"/>
                <w:kern w:val="0"/>
                <w:sz w:val="24"/>
                <w:szCs w:val="24"/>
                <w:lang w:val="en-US" w:eastAsia="zh-CN"/>
              </w:rPr>
              <w:t>公司</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top w:val="nil"/>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lang w:val="en-US" w:eastAsia="zh-CN"/>
              </w:rPr>
              <w:t>吉利百矿集团有限公司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地址</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left w:val="nil"/>
              <w:right w:val="nil"/>
            </w:tcBorders>
          </w:tcPr>
          <w:p>
            <w:pPr>
              <w:spacing w:line="400" w:lineRule="exact"/>
              <w:rPr>
                <w:rFonts w:hint="eastAsia" w:ascii="宋体" w:hAnsi="宋体" w:eastAsia="宋体"/>
                <w:color w:val="auto"/>
                <w:sz w:val="24"/>
                <w:szCs w:val="24"/>
                <w:lang w:val="en-US" w:eastAsia="zh-CN"/>
              </w:rPr>
            </w:pPr>
            <w:r>
              <w:rPr>
                <w:rFonts w:hint="eastAsia" w:ascii="宋体" w:hAnsi="宋体" w:eastAsia="宋体"/>
                <w:color w:val="auto"/>
                <w:sz w:val="24"/>
                <w:szCs w:val="24"/>
              </w:rPr>
              <w:t>广西</w:t>
            </w:r>
            <w:r>
              <w:rPr>
                <w:rFonts w:hint="eastAsia" w:ascii="宋体" w:hAnsi="宋体" w:eastAsia="宋体"/>
                <w:color w:val="auto"/>
                <w:sz w:val="24"/>
                <w:szCs w:val="24"/>
                <w:lang w:eastAsia="zh-CN"/>
              </w:rPr>
              <w:t>百色市右江区东增路</w:t>
            </w:r>
            <w:r>
              <w:rPr>
                <w:rFonts w:hint="eastAsia" w:ascii="宋体" w:hAnsi="宋体" w:eastAsia="宋体"/>
                <w:color w:val="auto"/>
                <w:sz w:val="24"/>
                <w:szCs w:val="24"/>
                <w:lang w:val="en-US" w:eastAsia="zh-CN"/>
              </w:rPr>
              <w:t>188号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rFonts w:hint="eastAsia"/>
                <w:color w:val="auto"/>
                <w:kern w:val="0"/>
                <w:sz w:val="24"/>
                <w:szCs w:val="24"/>
              </w:rPr>
              <w:t>网址</w:t>
            </w:r>
          </w:p>
        </w:tc>
        <w:tc>
          <w:tcPr>
            <w:tcW w:w="350" w:type="dxa"/>
            <w:tcBorders>
              <w:top w:val="nil"/>
              <w:left w:val="nil"/>
              <w:bottom w:val="nil"/>
              <w:right w:val="nil"/>
            </w:tcBorders>
            <w:tcMar>
              <w:left w:w="0" w:type="dxa"/>
              <w:right w:w="0" w:type="dxa"/>
            </w:tcMar>
            <w:vAlign w:val="center"/>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t>：</w:t>
            </w:r>
          </w:p>
        </w:tc>
        <w:tc>
          <w:tcPr>
            <w:tcW w:w="6315" w:type="dxa"/>
            <w:tcBorders>
              <w:left w:val="nil"/>
              <w:right w:val="nil"/>
            </w:tcBorders>
          </w:tcPr>
          <w:p>
            <w:pPr>
              <w:spacing w:line="400" w:lineRule="exact"/>
              <w:rPr>
                <w:rFonts w:hint="eastAsia" w:ascii="宋体" w:hAnsi="宋体" w:eastAsia="宋体"/>
                <w:color w:val="auto"/>
                <w:sz w:val="24"/>
                <w:szCs w:val="24"/>
              </w:rPr>
            </w:pPr>
            <w:r>
              <w:rPr>
                <w:rFonts w:hint="eastAsia" w:ascii="宋体" w:hAnsi="宋体" w:eastAsia="宋体"/>
                <w:color w:val="auto"/>
                <w:sz w:val="24"/>
                <w:szCs w:val="24"/>
              </w:rPr>
              <w:fldChar w:fldCharType="begin"/>
            </w:r>
            <w:r>
              <w:rPr>
                <w:rFonts w:hint="eastAsia" w:ascii="宋体" w:hAnsi="宋体" w:eastAsia="宋体"/>
                <w:color w:val="auto"/>
                <w:sz w:val="24"/>
                <w:szCs w:val="24"/>
              </w:rPr>
              <w:instrText xml:space="preserve"> HYPERLINK "https://glzb.geely.com" </w:instrText>
            </w:r>
            <w:r>
              <w:rPr>
                <w:rFonts w:hint="eastAsia" w:ascii="宋体" w:hAnsi="宋体" w:eastAsia="宋体"/>
                <w:color w:val="auto"/>
                <w:sz w:val="24"/>
                <w:szCs w:val="24"/>
              </w:rPr>
              <w:fldChar w:fldCharType="separate"/>
            </w:r>
            <w:r>
              <w:rPr>
                <w:rFonts w:hint="eastAsia" w:ascii="宋体" w:hAnsi="宋体" w:eastAsia="宋体"/>
                <w:color w:val="auto"/>
                <w:sz w:val="24"/>
                <w:szCs w:val="24"/>
              </w:rPr>
              <w:t>https://glzb.geely.com</w:t>
            </w:r>
            <w:r>
              <w:rPr>
                <w:rFonts w:hint="eastAsia" w:ascii="宋体" w:hAnsi="宋体" w:eastAsia="宋体"/>
                <w:color w:val="auto"/>
                <w:sz w:val="24"/>
                <w:szCs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1394" w:type="dxa"/>
            <w:tcBorders>
              <w:top w:val="nil"/>
              <w:left w:val="nil"/>
              <w:bottom w:val="nil"/>
              <w:right w:val="nil"/>
            </w:tcBorders>
            <w:tcMar>
              <w:left w:w="28" w:type="dxa"/>
              <w:right w:w="28" w:type="dxa"/>
            </w:tcMar>
            <w:vAlign w:val="center"/>
          </w:tcPr>
          <w:p>
            <w:pPr>
              <w:spacing w:line="400" w:lineRule="exact"/>
              <w:jc w:val="center"/>
              <w:rPr>
                <w:rFonts w:hint="eastAsia" w:ascii="宋体" w:hAnsi="宋体" w:eastAsia="宋体"/>
                <w:color w:val="auto"/>
                <w:sz w:val="24"/>
                <w:szCs w:val="24"/>
              </w:rPr>
            </w:pPr>
            <w:r>
              <w:rPr>
                <w:rFonts w:hint="eastAsia" w:ascii="宋体" w:hAnsi="宋体" w:eastAsia="宋体"/>
                <w:color w:val="auto"/>
                <w:sz w:val="24"/>
                <w:szCs w:val="24"/>
              </w:rPr>
              <w:t>联系人</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left w:val="nil"/>
              <w:right w:val="nil"/>
            </w:tcBorders>
          </w:tcPr>
          <w:p>
            <w:pPr>
              <w:spacing w:line="400" w:lineRule="exact"/>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翟荣兴18907768303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94" w:type="dxa"/>
            <w:tcBorders>
              <w:top w:val="nil"/>
              <w:left w:val="nil"/>
              <w:bottom w:val="nil"/>
              <w:right w:val="nil"/>
            </w:tcBorders>
            <w:tcMar>
              <w:left w:w="28" w:type="dxa"/>
              <w:right w:w="28" w:type="dxa"/>
            </w:tcMar>
            <w:vAlign w:val="center"/>
          </w:tcPr>
          <w:p>
            <w:pPr>
              <w:spacing w:line="400" w:lineRule="exact"/>
              <w:jc w:val="distribute"/>
              <w:rPr>
                <w:color w:val="auto"/>
                <w:kern w:val="0"/>
                <w:sz w:val="24"/>
                <w:szCs w:val="24"/>
              </w:rPr>
            </w:pPr>
            <w:r>
              <w:rPr>
                <w:color w:val="auto"/>
                <w:kern w:val="0"/>
                <w:sz w:val="24"/>
                <w:szCs w:val="24"/>
              </w:rPr>
              <w:t>邮箱</w:t>
            </w:r>
          </w:p>
        </w:tc>
        <w:tc>
          <w:tcPr>
            <w:tcW w:w="350" w:type="dxa"/>
            <w:tcBorders>
              <w:top w:val="nil"/>
              <w:left w:val="nil"/>
              <w:bottom w:val="nil"/>
              <w:right w:val="nil"/>
            </w:tcBorders>
            <w:tcMar>
              <w:left w:w="0" w:type="dxa"/>
              <w:right w:w="0" w:type="dxa"/>
            </w:tcMar>
            <w:vAlign w:val="center"/>
          </w:tcPr>
          <w:p>
            <w:pPr>
              <w:spacing w:line="400" w:lineRule="exact"/>
              <w:rPr>
                <w:color w:val="auto"/>
                <w:kern w:val="0"/>
                <w:sz w:val="24"/>
                <w:szCs w:val="24"/>
              </w:rPr>
            </w:pPr>
            <w:r>
              <w:rPr>
                <w:rFonts w:hint="eastAsia"/>
                <w:color w:val="auto"/>
                <w:kern w:val="0"/>
                <w:sz w:val="24"/>
                <w:szCs w:val="24"/>
              </w:rPr>
              <w:t>：</w:t>
            </w:r>
          </w:p>
        </w:tc>
        <w:tc>
          <w:tcPr>
            <w:tcW w:w="6315" w:type="dxa"/>
            <w:tcBorders>
              <w:left w:val="nil"/>
              <w:right w:val="nil"/>
            </w:tcBorders>
          </w:tcPr>
          <w:p>
            <w:pPr>
              <w:spacing w:line="400" w:lineRule="exact"/>
              <w:rPr>
                <w:rFonts w:hint="eastAsia" w:ascii="宋体" w:hAnsi="宋体" w:eastAsia="宋体"/>
                <w:color w:val="auto"/>
                <w:sz w:val="24"/>
                <w:szCs w:val="24"/>
              </w:rPr>
            </w:pPr>
            <w:r>
              <w:rPr>
                <w:rFonts w:ascii="宋体" w:hAnsi="宋体" w:eastAsia="宋体" w:cs="宋体"/>
                <w:sz w:val="24"/>
                <w:szCs w:val="24"/>
              </w:rPr>
              <w:t>Rongxing.Zhai@geely.com</w:t>
            </w:r>
          </w:p>
        </w:tc>
      </w:tr>
    </w:tbl>
    <w:p>
      <w:pPr>
        <w:tabs>
          <w:tab w:val="left" w:pos="600"/>
        </w:tabs>
        <w:spacing w:line="440" w:lineRule="exact"/>
        <w:rPr>
          <w:rFonts w:hint="eastAsia" w:ascii="宋体" w:hAnsi="宋体" w:eastAsia="宋体"/>
          <w:color w:val="auto"/>
          <w:sz w:val="24"/>
          <w:szCs w:val="24"/>
        </w:rPr>
      </w:pPr>
      <w:r>
        <w:rPr>
          <w:rFonts w:hint="eastAsia" w:ascii="宋体" w:hAnsi="宋体" w:eastAsia="宋体"/>
          <w:color w:val="auto"/>
          <w:sz w:val="24"/>
          <w:szCs w:val="24"/>
        </w:rPr>
        <w:t>注：无论</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结果如何</w:t>
      </w:r>
      <w:r>
        <w:rPr>
          <w:rFonts w:hint="eastAsia" w:ascii="宋体" w:hAnsi="宋体" w:eastAsia="宋体"/>
          <w:color w:val="auto"/>
          <w:sz w:val="24"/>
          <w:szCs w:val="24"/>
          <w:lang w:val="en-US" w:eastAsia="zh-CN"/>
        </w:rPr>
        <w:t>报价</w:t>
      </w:r>
      <w:r>
        <w:rPr>
          <w:rFonts w:hint="eastAsia" w:ascii="宋体" w:hAnsi="宋体" w:eastAsia="宋体"/>
          <w:color w:val="auto"/>
          <w:sz w:val="24"/>
          <w:szCs w:val="24"/>
        </w:rPr>
        <w:t>人自行承担所有与参加</w:t>
      </w:r>
      <w:r>
        <w:rPr>
          <w:rFonts w:hint="eastAsia" w:ascii="宋体" w:hAnsi="宋体" w:eastAsia="宋体"/>
          <w:color w:val="auto"/>
          <w:sz w:val="24"/>
          <w:szCs w:val="24"/>
          <w:lang w:val="en-US" w:eastAsia="zh-CN"/>
        </w:rPr>
        <w:t>采购</w:t>
      </w:r>
      <w:r>
        <w:rPr>
          <w:rFonts w:hint="eastAsia" w:ascii="宋体" w:hAnsi="宋体" w:eastAsia="宋体"/>
          <w:color w:val="auto"/>
          <w:sz w:val="24"/>
          <w:szCs w:val="24"/>
        </w:rPr>
        <w:t>活动有关的全部费用。</w:t>
      </w: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pStyle w:val="2"/>
        <w:rPr>
          <w:rFonts w:hint="eastAsia" w:ascii="宋体" w:hAnsi="宋体" w:eastAsia="宋体" w:cs="宋体"/>
          <w:b/>
          <w:bCs/>
          <w:color w:val="auto"/>
          <w:sz w:val="21"/>
          <w:szCs w:val="21"/>
          <w:lang w:eastAsia="zh-CN"/>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p>
    <w:p>
      <w:pP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Cs w:val="21"/>
        </w:rPr>
        <w:t>附件</w:t>
      </w:r>
      <w:r>
        <w:rPr>
          <w:rFonts w:hint="eastAsia" w:asciiTheme="majorEastAsia" w:hAnsiTheme="majorEastAsia" w:eastAsiaTheme="majorEastAsia" w:cstheme="majorEastAsia"/>
          <w:b/>
          <w:szCs w:val="21"/>
          <w:lang w:val="en-US" w:eastAsia="zh-CN"/>
        </w:rPr>
        <w:t>2</w:t>
      </w:r>
      <w:r>
        <w:rPr>
          <w:rFonts w:hint="eastAsia" w:asciiTheme="majorEastAsia" w:hAnsiTheme="majorEastAsia" w:eastAsiaTheme="majorEastAsia" w:cstheme="majorEastAsia"/>
          <w:b/>
          <w:szCs w:val="21"/>
        </w:rPr>
        <w:t>：</w:t>
      </w:r>
      <w:r>
        <w:rPr>
          <w:rFonts w:hint="eastAsia" w:asciiTheme="majorEastAsia" w:hAnsiTheme="majorEastAsia" w:eastAsiaTheme="majorEastAsia" w:cstheme="majorEastAsia"/>
          <w:b/>
          <w:szCs w:val="21"/>
          <w:lang w:val="en-US" w:eastAsia="zh-CN"/>
        </w:rPr>
        <w:t>参与</w:t>
      </w:r>
      <w:r>
        <w:rPr>
          <w:rFonts w:hint="eastAsia" w:asciiTheme="majorEastAsia" w:hAnsiTheme="majorEastAsia" w:eastAsiaTheme="majorEastAsia" w:cstheme="majorEastAsia"/>
          <w:b/>
          <w:szCs w:val="21"/>
        </w:rPr>
        <w:t>确认通知</w:t>
      </w:r>
    </w:p>
    <w:p>
      <w:pPr>
        <w:spacing w:line="360" w:lineRule="auto"/>
        <w:ind w:firstLine="420"/>
        <w:jc w:val="center"/>
        <w:rPr>
          <w:rFonts w:hint="eastAsia" w:asciiTheme="majorEastAsia" w:hAnsiTheme="majorEastAsia" w:eastAsiaTheme="majorEastAsia" w:cstheme="majorEastAsia"/>
          <w:b/>
          <w:szCs w:val="21"/>
        </w:rPr>
      </w:pPr>
      <w:r>
        <w:rPr>
          <w:rFonts w:hint="eastAsia" w:asciiTheme="majorEastAsia" w:hAnsiTheme="majorEastAsia" w:eastAsiaTheme="majorEastAsia" w:cstheme="majorEastAsia"/>
          <w:b/>
          <w:sz w:val="24"/>
          <w:szCs w:val="24"/>
          <w:lang w:val="en-US" w:eastAsia="zh-CN"/>
        </w:rPr>
        <w:t>参与</w:t>
      </w:r>
      <w:r>
        <w:rPr>
          <w:rFonts w:hint="eastAsia" w:asciiTheme="majorEastAsia" w:hAnsiTheme="majorEastAsia" w:eastAsiaTheme="majorEastAsia" w:cstheme="majorEastAsia"/>
          <w:b/>
          <w:sz w:val="24"/>
          <w:szCs w:val="24"/>
        </w:rPr>
        <w:t>确认通知</w:t>
      </w:r>
    </w:p>
    <w:p>
      <w:pPr>
        <w:spacing w:line="360" w:lineRule="auto"/>
        <w:ind w:firstLine="420"/>
        <w:rPr>
          <w:rFonts w:hint="eastAsia" w:asciiTheme="majorEastAsia" w:hAnsiTheme="majorEastAsia" w:eastAsiaTheme="majorEastAsia" w:cstheme="majorEastAsia"/>
          <w:sz w:val="21"/>
          <w:szCs w:val="21"/>
          <w:u w:val="single"/>
        </w:rPr>
      </w:pPr>
      <w:r>
        <w:rPr>
          <w:rFonts w:hint="eastAsia" w:asciiTheme="majorEastAsia" w:hAnsiTheme="majorEastAsia" w:eastAsiaTheme="majorEastAsia" w:cstheme="majorEastAsia"/>
          <w:sz w:val="21"/>
          <w:szCs w:val="21"/>
          <w:u w:val="single"/>
          <w:lang w:val="en-US" w:eastAsia="zh-CN"/>
        </w:rPr>
        <w:t>靖西市锰矿有限责任公司</w:t>
      </w:r>
      <w:r>
        <w:rPr>
          <w:rFonts w:hint="eastAsia" w:asciiTheme="majorEastAsia" w:hAnsiTheme="majorEastAsia" w:eastAsiaTheme="majorEastAsia" w:cstheme="majorEastAsia"/>
          <w:sz w:val="21"/>
          <w:szCs w:val="21"/>
          <w:u w:val="single"/>
        </w:rPr>
        <w:t>：</w:t>
      </w:r>
    </w:p>
    <w:p>
      <w:pPr>
        <w:spacing w:line="360" w:lineRule="auto"/>
        <w:ind w:firstLine="420" w:firstLineChars="2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我方已于</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日收到你方</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日发出的</w:t>
      </w:r>
      <w:r>
        <w:rPr>
          <w:rFonts w:hint="eastAsia" w:asciiTheme="majorEastAsia" w:hAnsiTheme="majorEastAsia" w:eastAsiaTheme="majorEastAsia" w:cstheme="majorEastAsia"/>
          <w:sz w:val="21"/>
          <w:szCs w:val="21"/>
          <w:u w:val="single"/>
        </w:rPr>
        <w:t xml:space="preserve">                           </w:t>
      </w:r>
      <w:r>
        <w:rPr>
          <w:rFonts w:hint="eastAsia" w:ascii="宋体" w:hAnsi="宋体" w:eastAsia="宋体" w:cs="宋体"/>
          <w:b w:val="0"/>
          <w:bCs w:val="0"/>
          <w:sz w:val="21"/>
          <w:szCs w:val="21"/>
        </w:rPr>
        <w:t>（</w:t>
      </w:r>
      <w:r>
        <w:rPr>
          <w:rFonts w:hint="eastAsia" w:ascii="宋体" w:hAnsi="宋体" w:eastAsia="宋体" w:cs="宋体"/>
          <w:b w:val="0"/>
          <w:bCs w:val="0"/>
          <w:sz w:val="21"/>
          <w:szCs w:val="21"/>
          <w:lang w:val="en-US" w:eastAsia="zh-CN"/>
        </w:rPr>
        <w:t>阴极磷生铁等采购</w:t>
      </w:r>
      <w:r>
        <w:rPr>
          <w:rFonts w:hint="eastAsia" w:ascii="宋体" w:hAnsi="宋体" w:eastAsia="宋体" w:cs="宋体"/>
          <w:b w:val="0"/>
          <w:bCs w:val="0"/>
          <w:sz w:val="21"/>
          <w:szCs w:val="21"/>
        </w:rPr>
        <w:t>）</w:t>
      </w:r>
      <w:r>
        <w:rPr>
          <w:rFonts w:hint="eastAsia" w:asciiTheme="majorEastAsia" w:hAnsiTheme="majorEastAsia" w:eastAsiaTheme="majorEastAsia" w:cstheme="majorEastAsia"/>
          <w:sz w:val="21"/>
          <w:szCs w:val="21"/>
        </w:rPr>
        <w:t>的投标邀请书，并确认</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（参加/不参加）</w:t>
      </w:r>
      <w:r>
        <w:rPr>
          <w:rFonts w:hint="eastAsia" w:asciiTheme="majorEastAsia" w:hAnsiTheme="majorEastAsia" w:eastAsiaTheme="majorEastAsia" w:cstheme="majorEastAsia"/>
          <w:sz w:val="21"/>
          <w:szCs w:val="21"/>
          <w:lang w:val="en-US" w:eastAsia="zh-CN"/>
        </w:rPr>
        <w:t>竞价</w:t>
      </w:r>
      <w:r>
        <w:rPr>
          <w:rFonts w:hint="eastAsia" w:asciiTheme="majorEastAsia" w:hAnsiTheme="majorEastAsia" w:eastAsiaTheme="majorEastAsia" w:cstheme="majorEastAsia"/>
          <w:sz w:val="21"/>
          <w:szCs w:val="21"/>
        </w:rPr>
        <w:t>。</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u w:val="none"/>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1</w:t>
      </w: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u w:val="none"/>
        </w:rPr>
        <w:t>货物交货期为满足</w:t>
      </w:r>
      <w:r>
        <w:rPr>
          <w:rFonts w:hint="eastAsia" w:asciiTheme="majorEastAsia" w:hAnsiTheme="majorEastAsia" w:eastAsiaTheme="majorEastAsia" w:cstheme="majorEastAsia"/>
          <w:b w:val="0"/>
          <w:bCs/>
          <w:sz w:val="21"/>
          <w:szCs w:val="21"/>
          <w:u w:val="single"/>
          <w:lang w:val="en-US" w:eastAsia="zh-CN"/>
        </w:rPr>
        <w:t>靖西市锰矿有限责任公司硫酸铵等原辅材料采购项目</w:t>
      </w:r>
      <w:r>
        <w:rPr>
          <w:rFonts w:hint="eastAsia" w:asciiTheme="majorEastAsia" w:hAnsiTheme="majorEastAsia" w:eastAsiaTheme="majorEastAsia" w:cstheme="majorEastAsia"/>
          <w:b w:val="0"/>
          <w:bCs w:val="0"/>
          <w:sz w:val="21"/>
          <w:szCs w:val="21"/>
          <w:u w:val="none"/>
          <w:lang w:val="en-US" w:eastAsia="zh-CN"/>
        </w:rPr>
        <w:t>邀请书</w:t>
      </w:r>
      <w:r>
        <w:rPr>
          <w:rFonts w:hint="eastAsia" w:asciiTheme="majorEastAsia" w:hAnsiTheme="majorEastAsia" w:eastAsiaTheme="majorEastAsia" w:cstheme="majorEastAsia"/>
          <w:b w:val="0"/>
          <w:bCs w:val="0"/>
          <w:sz w:val="21"/>
          <w:szCs w:val="21"/>
          <w:u w:val="none"/>
        </w:rPr>
        <w:t>规定的交货期要求。</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2</w:t>
      </w:r>
      <w:r>
        <w:rPr>
          <w:rFonts w:hint="eastAsia" w:asciiTheme="majorEastAsia" w:hAnsiTheme="majorEastAsia" w:eastAsiaTheme="majorEastAsia" w:cstheme="majorEastAsia"/>
          <w:b w:val="0"/>
          <w:bCs w:val="0"/>
          <w:sz w:val="21"/>
          <w:szCs w:val="21"/>
        </w:rPr>
        <w:t>)投标方已详细审查</w:t>
      </w:r>
      <w:r>
        <w:rPr>
          <w:rFonts w:hint="eastAsia" w:asciiTheme="majorEastAsia" w:hAnsiTheme="majorEastAsia" w:eastAsiaTheme="majorEastAsia" w:cstheme="majorEastAsia"/>
          <w:b w:val="0"/>
          <w:bCs w:val="0"/>
          <w:sz w:val="21"/>
          <w:szCs w:val="21"/>
          <w:u w:val="none"/>
          <w:lang w:val="en-US" w:eastAsia="zh-CN"/>
        </w:rPr>
        <w:t>项目邀请书并响应（2.6技术要求）</w:t>
      </w:r>
      <w:r>
        <w:rPr>
          <w:rFonts w:hint="eastAsia" w:asciiTheme="majorEastAsia" w:hAnsiTheme="majorEastAsia" w:eastAsiaTheme="majorEastAsia" w:cstheme="majorEastAsia"/>
          <w:b w:val="0"/>
          <w:bCs w:val="0"/>
          <w:sz w:val="21"/>
          <w:szCs w:val="21"/>
        </w:rPr>
        <w:t>以及全部参考资料和有关附件。</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rPr>
      </w:pPr>
      <w:r>
        <w:rPr>
          <w:rFonts w:hint="eastAsia" w:asciiTheme="majorEastAsia" w:hAnsiTheme="majorEastAsia" w:eastAsiaTheme="majorEastAsia" w:cstheme="majorEastAsia"/>
          <w:b w:val="0"/>
          <w:bCs w:val="0"/>
          <w:sz w:val="21"/>
          <w:szCs w:val="21"/>
        </w:rPr>
        <w:t>(</w:t>
      </w:r>
      <w:r>
        <w:rPr>
          <w:rFonts w:hint="eastAsia" w:asciiTheme="majorEastAsia" w:hAnsiTheme="majorEastAsia" w:eastAsiaTheme="majorEastAsia" w:cstheme="majorEastAsia"/>
          <w:b w:val="0"/>
          <w:bCs w:val="0"/>
          <w:sz w:val="21"/>
          <w:szCs w:val="21"/>
          <w:lang w:val="en-US" w:eastAsia="zh-CN"/>
        </w:rPr>
        <w:t>3）</w:t>
      </w:r>
      <w:r>
        <w:rPr>
          <w:rFonts w:hint="eastAsia" w:asciiTheme="majorEastAsia" w:hAnsiTheme="majorEastAsia" w:eastAsiaTheme="majorEastAsia" w:cstheme="majorEastAsia"/>
          <w:b w:val="0"/>
          <w:bCs w:val="0"/>
          <w:sz w:val="21"/>
          <w:szCs w:val="21"/>
        </w:rPr>
        <w:t>投标方将按</w:t>
      </w:r>
      <w:r>
        <w:rPr>
          <w:rFonts w:hint="eastAsia" w:asciiTheme="majorEastAsia" w:hAnsiTheme="majorEastAsia" w:eastAsiaTheme="majorEastAsia" w:cstheme="majorEastAsia"/>
          <w:b w:val="0"/>
          <w:bCs w:val="0"/>
          <w:sz w:val="21"/>
          <w:szCs w:val="21"/>
          <w:lang w:eastAsia="zh-CN"/>
        </w:rPr>
        <w:t>项目邀请书</w:t>
      </w:r>
      <w:r>
        <w:rPr>
          <w:rFonts w:hint="eastAsia" w:asciiTheme="majorEastAsia" w:hAnsiTheme="majorEastAsia" w:eastAsiaTheme="majorEastAsia" w:cstheme="majorEastAsia"/>
          <w:b w:val="0"/>
          <w:bCs w:val="0"/>
          <w:sz w:val="21"/>
          <w:szCs w:val="21"/>
        </w:rPr>
        <w:t>的规定履行合同责任和义务。</w:t>
      </w:r>
    </w:p>
    <w:p>
      <w:pPr>
        <w:autoSpaceDE w:val="0"/>
        <w:autoSpaceDN w:val="0"/>
        <w:adjustRightInd w:val="0"/>
        <w:snapToGrid w:val="0"/>
        <w:spacing w:line="360" w:lineRule="auto"/>
        <w:ind w:firstLine="420" w:firstLineChars="200"/>
        <w:rPr>
          <w:rFonts w:hint="eastAsia" w:asciiTheme="majorEastAsia" w:hAnsiTheme="majorEastAsia" w:eastAsiaTheme="majorEastAsia" w:cstheme="majorEastAsia"/>
          <w:b w:val="0"/>
          <w:bCs w:val="0"/>
          <w:sz w:val="21"/>
          <w:szCs w:val="21"/>
          <w:lang w:eastAsia="zh-CN"/>
        </w:rPr>
      </w:pPr>
      <w:r>
        <w:rPr>
          <w:rFonts w:hint="eastAsia" w:asciiTheme="majorEastAsia" w:hAnsiTheme="majorEastAsia" w:eastAsiaTheme="majorEastAsia" w:cstheme="majorEastAsia"/>
          <w:b w:val="0"/>
          <w:bCs w:val="0"/>
          <w:sz w:val="21"/>
          <w:szCs w:val="21"/>
          <w:lang w:val="en-US" w:eastAsia="zh-CN"/>
        </w:rPr>
        <w:t>(4</w:t>
      </w:r>
      <w:r>
        <w:rPr>
          <w:rFonts w:hint="eastAsia" w:asciiTheme="majorEastAsia" w:hAnsiTheme="majorEastAsia" w:eastAsiaTheme="majorEastAsia" w:cstheme="majorEastAsia"/>
          <w:b w:val="0"/>
          <w:bCs w:val="0"/>
          <w:sz w:val="21"/>
          <w:szCs w:val="21"/>
          <w:lang w:eastAsia="zh-CN"/>
        </w:rPr>
        <w:t>）</w:t>
      </w:r>
      <w:r>
        <w:rPr>
          <w:rFonts w:hint="eastAsia" w:asciiTheme="majorEastAsia" w:hAnsiTheme="majorEastAsia" w:eastAsiaTheme="majorEastAsia" w:cstheme="majorEastAsia"/>
          <w:b w:val="0"/>
          <w:bCs w:val="0"/>
          <w:sz w:val="21"/>
          <w:szCs w:val="21"/>
        </w:rPr>
        <w:t>邮箱</w:t>
      </w:r>
      <w:r>
        <w:rPr>
          <w:rFonts w:hint="eastAsia" w:asciiTheme="majorEastAsia" w:hAnsiTheme="majorEastAsia" w:eastAsiaTheme="majorEastAsia" w:cstheme="majorEastAsia"/>
          <w:b w:val="0"/>
          <w:bCs w:val="0"/>
          <w:sz w:val="21"/>
          <w:szCs w:val="21"/>
          <w:lang w:eastAsia="zh-CN"/>
        </w:rPr>
        <w:t>地址：</w:t>
      </w:r>
      <w:r>
        <w:rPr>
          <w:rFonts w:ascii="宋体" w:hAnsi="宋体" w:eastAsia="宋体" w:cs="宋体"/>
          <w:sz w:val="24"/>
          <w:szCs w:val="24"/>
        </w:rPr>
        <w:t>Rongxing.Zhai@geely.com</w:t>
      </w:r>
    </w:p>
    <w:p>
      <w:pPr>
        <w:pStyle w:val="2"/>
        <w:rPr>
          <w:rFonts w:hint="eastAsia" w:asciiTheme="majorEastAsia" w:hAnsiTheme="majorEastAsia" w:eastAsiaTheme="majorEastAsia" w:cstheme="majorEastAsia"/>
          <w:lang w:eastAsia="zh-CN"/>
        </w:rPr>
      </w:pPr>
    </w:p>
    <w:p>
      <w:pPr>
        <w:pStyle w:val="2"/>
        <w:ind w:firstLine="840" w:firstLineChars="400"/>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特此确认。</w:t>
      </w:r>
    </w:p>
    <w:p>
      <w:pPr>
        <w:spacing w:line="360" w:lineRule="auto"/>
        <w:ind w:firstLine="420"/>
        <w:rPr>
          <w:rFonts w:hint="eastAsia" w:asciiTheme="majorEastAsia" w:hAnsiTheme="majorEastAsia" w:eastAsiaTheme="majorEastAsia" w:cstheme="majorEastAsia"/>
          <w:sz w:val="21"/>
          <w:szCs w:val="21"/>
        </w:rPr>
      </w:pP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被邀请单位名称：</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（盖单位章）</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法定代表人或其委托代理人：</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（签字）</w:t>
      </w:r>
    </w:p>
    <w:p>
      <w:pPr>
        <w:spacing w:line="360" w:lineRule="auto"/>
        <w:ind w:firstLine="3119"/>
        <w:rPr>
          <w:rFonts w:hint="eastAsia"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年</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月</w:t>
      </w:r>
      <w:r>
        <w:rPr>
          <w:rFonts w:hint="eastAsia" w:asciiTheme="majorEastAsia" w:hAnsiTheme="majorEastAsia" w:eastAsiaTheme="majorEastAsia" w:cstheme="majorEastAsia"/>
          <w:sz w:val="21"/>
          <w:szCs w:val="21"/>
          <w:u w:val="single"/>
        </w:rPr>
        <w:t xml:space="preserve">     </w:t>
      </w:r>
      <w:r>
        <w:rPr>
          <w:rFonts w:hint="eastAsia" w:asciiTheme="majorEastAsia" w:hAnsiTheme="majorEastAsia" w:eastAsiaTheme="majorEastAsia" w:cstheme="majorEastAsia"/>
          <w:sz w:val="21"/>
          <w:szCs w:val="21"/>
        </w:rPr>
        <w:t>日</w:t>
      </w:r>
    </w:p>
    <w:p>
      <w:pPr>
        <w:rPr>
          <w:rFonts w:hint="eastAsia"/>
        </w:rPr>
      </w:pPr>
    </w:p>
    <w:p>
      <w:pPr>
        <w:spacing w:line="440" w:lineRule="exact"/>
        <w:rPr>
          <w:rFonts w:ascii="微软雅黑" w:hAnsi="微软雅黑" w:eastAsia="微软雅黑"/>
          <w:color w:val="FF0000"/>
          <w:sz w:val="24"/>
          <w:szCs w:val="24"/>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588" w:bottom="209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4675539"/>
    </w:sdtPr>
    <w:sdtContent>
      <w:p>
        <w:pPr>
          <w:pStyle w:val="9"/>
          <w:jc w:val="center"/>
        </w:pPr>
        <w:r>
          <w:fldChar w:fldCharType="begin"/>
        </w:r>
        <w:r>
          <w:instrText xml:space="preserve">PAGE   \* MERGEFORMAT</w:instrText>
        </w:r>
        <w:r>
          <w:fldChar w:fldCharType="separate"/>
        </w:r>
        <w:r>
          <w:rPr>
            <w:lang w:val="zh-CN"/>
          </w:rPr>
          <w:t>3</w:t>
        </w:r>
        <w:r>
          <w:fldChar w:fldCharType="end"/>
        </w:r>
      </w:p>
    </w:sdtContent>
  </w:sdt>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Theme="minorEastAsia" w:hAnsiTheme="minorEastAsia"/>
        <w:sz w:val="24"/>
        <w:szCs w:val="24"/>
      </w:rPr>
    </w:pPr>
    <w:r>
      <w:rPr>
        <w:rFonts w:hint="eastAsia" w:asciiTheme="minorEastAsia" w:hAnsiTheme="minorEastAsia"/>
        <w:sz w:val="24"/>
        <w:szCs w:val="24"/>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drawing>
        <wp:inline distT="0" distB="0" distL="0" distR="0">
          <wp:extent cx="1076325" cy="295275"/>
          <wp:effectExtent l="0" t="0" r="9525" b="9525"/>
          <wp:docPr id="4" name="图片 4" descr="C:\Users\HONGXI~1\AppData\Local\Temp\1558944175(1).jpg"/>
          <wp:cNvGraphicFramePr/>
          <a:graphic xmlns:a="http://schemas.openxmlformats.org/drawingml/2006/main">
            <a:graphicData uri="http://schemas.openxmlformats.org/drawingml/2006/picture">
              <pic:pic xmlns:pic="http://schemas.openxmlformats.org/drawingml/2006/picture">
                <pic:nvPicPr>
                  <pic:cNvPr id="4" name="图片 4" descr="C:\Users\HONGXI~1\AppData\Local\Temp\1558944175(1).jpg"/>
                  <pic:cNvPicPr/>
                </pic:nvPicPr>
                <pic:blipFill>
                  <a:blip r:embed="rId1">
                    <a:extLst>
                      <a:ext uri="{28A0092B-C50C-407E-A947-70E740481C1C}">
                        <a14:useLocalDpi xmlns:a14="http://schemas.microsoft.com/office/drawing/2010/main" val="0"/>
                      </a:ext>
                    </a:extLst>
                  </a:blip>
                  <a:srcRect/>
                  <a:stretch>
                    <a:fillRect/>
                  </a:stretch>
                </pic:blipFill>
                <pic:spPr>
                  <a:xfrm>
                    <a:off x="0" y="0"/>
                    <a:ext cx="1076325" cy="2952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g1ZmM2MWQ5YjAwMTY3NTUzMWYyMTRkMTljNjViYzkifQ=="/>
  </w:docVars>
  <w:rsids>
    <w:rsidRoot w:val="00530892"/>
    <w:rsid w:val="000047E1"/>
    <w:rsid w:val="00017FC1"/>
    <w:rsid w:val="0002075A"/>
    <w:rsid w:val="00076405"/>
    <w:rsid w:val="000837DB"/>
    <w:rsid w:val="000A6D89"/>
    <w:rsid w:val="000B15BD"/>
    <w:rsid w:val="000C6171"/>
    <w:rsid w:val="001353D8"/>
    <w:rsid w:val="00162FD9"/>
    <w:rsid w:val="00163002"/>
    <w:rsid w:val="00170A23"/>
    <w:rsid w:val="001973FE"/>
    <w:rsid w:val="001C07BD"/>
    <w:rsid w:val="001D4BBB"/>
    <w:rsid w:val="001F2C76"/>
    <w:rsid w:val="0024444C"/>
    <w:rsid w:val="00271FF0"/>
    <w:rsid w:val="00276A5F"/>
    <w:rsid w:val="002963B3"/>
    <w:rsid w:val="002A5D16"/>
    <w:rsid w:val="002C452D"/>
    <w:rsid w:val="00306622"/>
    <w:rsid w:val="00324999"/>
    <w:rsid w:val="00363E35"/>
    <w:rsid w:val="0038512F"/>
    <w:rsid w:val="003D64CD"/>
    <w:rsid w:val="003F72DF"/>
    <w:rsid w:val="0042504B"/>
    <w:rsid w:val="004265C9"/>
    <w:rsid w:val="00454FE2"/>
    <w:rsid w:val="004807A8"/>
    <w:rsid w:val="00481121"/>
    <w:rsid w:val="004A7B4C"/>
    <w:rsid w:val="004B6F9F"/>
    <w:rsid w:val="0050358B"/>
    <w:rsid w:val="0050480F"/>
    <w:rsid w:val="00527D9D"/>
    <w:rsid w:val="00527F4E"/>
    <w:rsid w:val="00530892"/>
    <w:rsid w:val="00531944"/>
    <w:rsid w:val="00532642"/>
    <w:rsid w:val="00550CDE"/>
    <w:rsid w:val="00552F5B"/>
    <w:rsid w:val="005E720F"/>
    <w:rsid w:val="005F10F7"/>
    <w:rsid w:val="005F1CA6"/>
    <w:rsid w:val="005F4504"/>
    <w:rsid w:val="00611EE5"/>
    <w:rsid w:val="00617B9E"/>
    <w:rsid w:val="00675F88"/>
    <w:rsid w:val="00682232"/>
    <w:rsid w:val="00691B53"/>
    <w:rsid w:val="006C299F"/>
    <w:rsid w:val="006C6652"/>
    <w:rsid w:val="006E24FF"/>
    <w:rsid w:val="00707F4A"/>
    <w:rsid w:val="00737E53"/>
    <w:rsid w:val="0076152F"/>
    <w:rsid w:val="00767BD6"/>
    <w:rsid w:val="007D7B5A"/>
    <w:rsid w:val="007E1E9E"/>
    <w:rsid w:val="007F0ED2"/>
    <w:rsid w:val="00830362"/>
    <w:rsid w:val="008329C6"/>
    <w:rsid w:val="008564CE"/>
    <w:rsid w:val="008615F2"/>
    <w:rsid w:val="0089523C"/>
    <w:rsid w:val="008C4DB4"/>
    <w:rsid w:val="008E68D9"/>
    <w:rsid w:val="008E7D3B"/>
    <w:rsid w:val="00917AE4"/>
    <w:rsid w:val="009C2365"/>
    <w:rsid w:val="009C614C"/>
    <w:rsid w:val="009C7D1B"/>
    <w:rsid w:val="009E2FB9"/>
    <w:rsid w:val="009F6852"/>
    <w:rsid w:val="00A06F6F"/>
    <w:rsid w:val="00A15E17"/>
    <w:rsid w:val="00A20CF0"/>
    <w:rsid w:val="00A24E80"/>
    <w:rsid w:val="00A32EBA"/>
    <w:rsid w:val="00A516F8"/>
    <w:rsid w:val="00A65B4A"/>
    <w:rsid w:val="00A708DB"/>
    <w:rsid w:val="00A97115"/>
    <w:rsid w:val="00AA5A77"/>
    <w:rsid w:val="00AE042E"/>
    <w:rsid w:val="00B0190D"/>
    <w:rsid w:val="00B108CA"/>
    <w:rsid w:val="00B20F57"/>
    <w:rsid w:val="00B26BD9"/>
    <w:rsid w:val="00B317C2"/>
    <w:rsid w:val="00B3604C"/>
    <w:rsid w:val="00B36FB4"/>
    <w:rsid w:val="00B53836"/>
    <w:rsid w:val="00B55BD5"/>
    <w:rsid w:val="00B61394"/>
    <w:rsid w:val="00B63240"/>
    <w:rsid w:val="00B73505"/>
    <w:rsid w:val="00B80B42"/>
    <w:rsid w:val="00B835AA"/>
    <w:rsid w:val="00BA6ED7"/>
    <w:rsid w:val="00BB005A"/>
    <w:rsid w:val="00BB3F83"/>
    <w:rsid w:val="00BB717C"/>
    <w:rsid w:val="00C144B5"/>
    <w:rsid w:val="00C54B02"/>
    <w:rsid w:val="00C616E3"/>
    <w:rsid w:val="00C90986"/>
    <w:rsid w:val="00CA5B08"/>
    <w:rsid w:val="00CB1E43"/>
    <w:rsid w:val="00CB25BE"/>
    <w:rsid w:val="00CD7CF5"/>
    <w:rsid w:val="00D063A1"/>
    <w:rsid w:val="00D240A1"/>
    <w:rsid w:val="00D407E4"/>
    <w:rsid w:val="00D443FB"/>
    <w:rsid w:val="00D45946"/>
    <w:rsid w:val="00D724EE"/>
    <w:rsid w:val="00D966FA"/>
    <w:rsid w:val="00DB4C36"/>
    <w:rsid w:val="00DC4145"/>
    <w:rsid w:val="00DD3F39"/>
    <w:rsid w:val="00DE61A1"/>
    <w:rsid w:val="00DE622F"/>
    <w:rsid w:val="00E15B3D"/>
    <w:rsid w:val="00E20D3B"/>
    <w:rsid w:val="00E265CB"/>
    <w:rsid w:val="00E36C66"/>
    <w:rsid w:val="00E85FBB"/>
    <w:rsid w:val="00E97291"/>
    <w:rsid w:val="00EA6CA2"/>
    <w:rsid w:val="00EE5C85"/>
    <w:rsid w:val="00F0694B"/>
    <w:rsid w:val="00F11F10"/>
    <w:rsid w:val="00F14F98"/>
    <w:rsid w:val="00F375E3"/>
    <w:rsid w:val="00F37A6A"/>
    <w:rsid w:val="00F44DFF"/>
    <w:rsid w:val="00FA18DB"/>
    <w:rsid w:val="00FA68A3"/>
    <w:rsid w:val="00FC0591"/>
    <w:rsid w:val="00FC2D91"/>
    <w:rsid w:val="00FC5924"/>
    <w:rsid w:val="00FC7652"/>
    <w:rsid w:val="00FD176A"/>
    <w:rsid w:val="00FD1AD4"/>
    <w:rsid w:val="00FE05E3"/>
    <w:rsid w:val="00FE12BA"/>
    <w:rsid w:val="00FF0CEC"/>
    <w:rsid w:val="02D720AE"/>
    <w:rsid w:val="03B234C9"/>
    <w:rsid w:val="04AD3F4A"/>
    <w:rsid w:val="052F65AB"/>
    <w:rsid w:val="05772429"/>
    <w:rsid w:val="063B27C1"/>
    <w:rsid w:val="06F63781"/>
    <w:rsid w:val="07456121"/>
    <w:rsid w:val="082B632D"/>
    <w:rsid w:val="0A26389D"/>
    <w:rsid w:val="0A420305"/>
    <w:rsid w:val="0B820F78"/>
    <w:rsid w:val="0B8A3BDC"/>
    <w:rsid w:val="0C7C5845"/>
    <w:rsid w:val="0CAD008F"/>
    <w:rsid w:val="0DE54DDD"/>
    <w:rsid w:val="0E6C3CDC"/>
    <w:rsid w:val="0ECF3C86"/>
    <w:rsid w:val="10437703"/>
    <w:rsid w:val="113A610C"/>
    <w:rsid w:val="12290200"/>
    <w:rsid w:val="12AC23E2"/>
    <w:rsid w:val="136B5FB3"/>
    <w:rsid w:val="13934C8A"/>
    <w:rsid w:val="139B2695"/>
    <w:rsid w:val="144D187B"/>
    <w:rsid w:val="159B0014"/>
    <w:rsid w:val="17073614"/>
    <w:rsid w:val="17C15D97"/>
    <w:rsid w:val="18057602"/>
    <w:rsid w:val="185D040A"/>
    <w:rsid w:val="188E5A7E"/>
    <w:rsid w:val="18C56ABE"/>
    <w:rsid w:val="18C740FB"/>
    <w:rsid w:val="1A174747"/>
    <w:rsid w:val="1B0325F3"/>
    <w:rsid w:val="1BA12E75"/>
    <w:rsid w:val="1BE90CBC"/>
    <w:rsid w:val="1C0B4FDF"/>
    <w:rsid w:val="1C5B2F04"/>
    <w:rsid w:val="1CD42A2E"/>
    <w:rsid w:val="1D5D2FEB"/>
    <w:rsid w:val="1DC3395B"/>
    <w:rsid w:val="1EA413BD"/>
    <w:rsid w:val="1EA96421"/>
    <w:rsid w:val="1F16393D"/>
    <w:rsid w:val="217C545D"/>
    <w:rsid w:val="21AF1061"/>
    <w:rsid w:val="22B86521"/>
    <w:rsid w:val="24782E39"/>
    <w:rsid w:val="256C065C"/>
    <w:rsid w:val="263920D0"/>
    <w:rsid w:val="271C3AA6"/>
    <w:rsid w:val="27FF17B9"/>
    <w:rsid w:val="28266776"/>
    <w:rsid w:val="28DF7FBC"/>
    <w:rsid w:val="28EA41F4"/>
    <w:rsid w:val="2A7055D9"/>
    <w:rsid w:val="2BB655EB"/>
    <w:rsid w:val="2CA17371"/>
    <w:rsid w:val="2DE03868"/>
    <w:rsid w:val="2ECC4007"/>
    <w:rsid w:val="2EFA0920"/>
    <w:rsid w:val="2F2E0DD3"/>
    <w:rsid w:val="2FDF0AC1"/>
    <w:rsid w:val="30530CB9"/>
    <w:rsid w:val="31241C20"/>
    <w:rsid w:val="31A606A8"/>
    <w:rsid w:val="3370188D"/>
    <w:rsid w:val="337C12F0"/>
    <w:rsid w:val="33A5028C"/>
    <w:rsid w:val="340A6022"/>
    <w:rsid w:val="34991DD6"/>
    <w:rsid w:val="34A26162"/>
    <w:rsid w:val="34E47465"/>
    <w:rsid w:val="360E21C1"/>
    <w:rsid w:val="36401C52"/>
    <w:rsid w:val="37336062"/>
    <w:rsid w:val="37861D96"/>
    <w:rsid w:val="37FD118C"/>
    <w:rsid w:val="38AC6F88"/>
    <w:rsid w:val="3A3E06A3"/>
    <w:rsid w:val="3B0722D4"/>
    <w:rsid w:val="3B796670"/>
    <w:rsid w:val="3CCC43B5"/>
    <w:rsid w:val="3DAE5EC2"/>
    <w:rsid w:val="3E4F3034"/>
    <w:rsid w:val="408373C1"/>
    <w:rsid w:val="409E30A8"/>
    <w:rsid w:val="40FC4CB0"/>
    <w:rsid w:val="41034C6C"/>
    <w:rsid w:val="41504F94"/>
    <w:rsid w:val="47AB2817"/>
    <w:rsid w:val="487415C3"/>
    <w:rsid w:val="487B65BE"/>
    <w:rsid w:val="4B166A95"/>
    <w:rsid w:val="4B493BD2"/>
    <w:rsid w:val="4C7157A4"/>
    <w:rsid w:val="4D2423DA"/>
    <w:rsid w:val="4F3E52A8"/>
    <w:rsid w:val="4F586394"/>
    <w:rsid w:val="4F8E66AE"/>
    <w:rsid w:val="50232F42"/>
    <w:rsid w:val="51DE68AB"/>
    <w:rsid w:val="52074CBA"/>
    <w:rsid w:val="533D0BDE"/>
    <w:rsid w:val="53411EE9"/>
    <w:rsid w:val="53513A3C"/>
    <w:rsid w:val="536F00DE"/>
    <w:rsid w:val="539313E4"/>
    <w:rsid w:val="55497E47"/>
    <w:rsid w:val="561B446B"/>
    <w:rsid w:val="56B26B95"/>
    <w:rsid w:val="57005247"/>
    <w:rsid w:val="5780446C"/>
    <w:rsid w:val="57C021E2"/>
    <w:rsid w:val="57C6574D"/>
    <w:rsid w:val="581C337E"/>
    <w:rsid w:val="59AE3D35"/>
    <w:rsid w:val="5A58599B"/>
    <w:rsid w:val="5B1D587B"/>
    <w:rsid w:val="5B2172A6"/>
    <w:rsid w:val="5B3434F8"/>
    <w:rsid w:val="5D1619BA"/>
    <w:rsid w:val="5E6A71F7"/>
    <w:rsid w:val="5FD41082"/>
    <w:rsid w:val="600E2170"/>
    <w:rsid w:val="60934C78"/>
    <w:rsid w:val="60D713C2"/>
    <w:rsid w:val="60FC4012"/>
    <w:rsid w:val="6106280A"/>
    <w:rsid w:val="618F164B"/>
    <w:rsid w:val="61A241F9"/>
    <w:rsid w:val="62976BA7"/>
    <w:rsid w:val="62D46057"/>
    <w:rsid w:val="63EF192E"/>
    <w:rsid w:val="640336FD"/>
    <w:rsid w:val="6534570D"/>
    <w:rsid w:val="65413FA7"/>
    <w:rsid w:val="65BB3DCB"/>
    <w:rsid w:val="66D44B2F"/>
    <w:rsid w:val="67714B74"/>
    <w:rsid w:val="67A105BB"/>
    <w:rsid w:val="682806B6"/>
    <w:rsid w:val="686D619C"/>
    <w:rsid w:val="6ACD6C40"/>
    <w:rsid w:val="6B26681C"/>
    <w:rsid w:val="6B3E03B6"/>
    <w:rsid w:val="6B997406"/>
    <w:rsid w:val="6BE91E82"/>
    <w:rsid w:val="6CFB43E6"/>
    <w:rsid w:val="6D226F1D"/>
    <w:rsid w:val="6E1038D1"/>
    <w:rsid w:val="6EA76F13"/>
    <w:rsid w:val="6F312985"/>
    <w:rsid w:val="6F5D25CA"/>
    <w:rsid w:val="71246855"/>
    <w:rsid w:val="716B46DE"/>
    <w:rsid w:val="724F2B10"/>
    <w:rsid w:val="72E55401"/>
    <w:rsid w:val="73645753"/>
    <w:rsid w:val="73B93F82"/>
    <w:rsid w:val="74E62BE1"/>
    <w:rsid w:val="7600251B"/>
    <w:rsid w:val="76444236"/>
    <w:rsid w:val="76BF0406"/>
    <w:rsid w:val="789E2CA4"/>
    <w:rsid w:val="78E404CB"/>
    <w:rsid w:val="792917E7"/>
    <w:rsid w:val="798C6F6D"/>
    <w:rsid w:val="79AF27CF"/>
    <w:rsid w:val="7A53275F"/>
    <w:rsid w:val="7A9F6E02"/>
    <w:rsid w:val="7C8B31E4"/>
    <w:rsid w:val="7D2E00A7"/>
    <w:rsid w:val="7F6067F8"/>
    <w:rsid w:val="7F683C0C"/>
    <w:rsid w:val="7FA62F03"/>
    <w:rsid w:val="7FDC3B0C"/>
    <w:rsid w:val="7FF553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4">
    <w:name w:val="Default Paragraph Font"/>
    <w:link w:val="15"/>
    <w:unhideWhenUsed/>
    <w:qFormat/>
    <w:uiPriority w:val="1"/>
    <w:rPr>
      <w:kern w:val="1"/>
    </w:rPr>
  </w:style>
  <w:style w:type="table" w:default="1" w:styleId="12">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微软雅黑" w:eastAsia="微软雅黑" w:cs="微软雅黑" w:hAnsiTheme="minorHAnsi"/>
      <w:color w:val="000000"/>
      <w:kern w:val="0"/>
      <w:sz w:val="24"/>
      <w:szCs w:val="24"/>
      <w:lang w:val="en-US" w:eastAsia="zh-CN" w:bidi="ar-SA"/>
    </w:rPr>
  </w:style>
  <w:style w:type="paragraph" w:styleId="4">
    <w:name w:val="Normal Indent"/>
    <w:basedOn w:val="1"/>
    <w:qFormat/>
    <w:uiPriority w:val="0"/>
    <w:pPr>
      <w:snapToGrid w:val="0"/>
      <w:spacing w:line="300" w:lineRule="auto"/>
      <w:ind w:firstLine="556"/>
    </w:pPr>
    <w:rPr>
      <w:rFonts w:ascii="仿宋_GB2312" w:hAnsi="Times New Roman" w:eastAsia="仿宋_GB2312"/>
      <w:kern w:val="0"/>
      <w:szCs w:val="20"/>
    </w:rPr>
  </w:style>
  <w:style w:type="paragraph" w:styleId="5">
    <w:name w:val="annotation text"/>
    <w:basedOn w:val="1"/>
    <w:link w:val="26"/>
    <w:unhideWhenUsed/>
    <w:qFormat/>
    <w:uiPriority w:val="99"/>
    <w:pPr>
      <w:jc w:val="left"/>
    </w:pPr>
  </w:style>
  <w:style w:type="paragraph" w:styleId="6">
    <w:name w:val="Body Text"/>
    <w:basedOn w:val="1"/>
    <w:qFormat/>
    <w:uiPriority w:val="1"/>
    <w:pPr>
      <w:ind w:left="169"/>
    </w:pPr>
    <w:rPr>
      <w:rFonts w:ascii="宋体" w:hAnsi="宋体" w:eastAsia="宋体" w:cs="宋体"/>
      <w:sz w:val="24"/>
      <w:szCs w:val="24"/>
      <w:lang w:val="zh-CN" w:eastAsia="zh-CN" w:bidi="zh-CN"/>
    </w:rPr>
  </w:style>
  <w:style w:type="paragraph" w:styleId="7">
    <w:name w:val="Date"/>
    <w:basedOn w:val="1"/>
    <w:next w:val="1"/>
    <w:link w:val="24"/>
    <w:unhideWhenUsed/>
    <w:qFormat/>
    <w:uiPriority w:val="99"/>
    <w:pPr>
      <w:ind w:left="100" w:leftChars="2500"/>
    </w:pPr>
  </w:style>
  <w:style w:type="paragraph" w:styleId="8">
    <w:name w:val="Balloon Text"/>
    <w:basedOn w:val="1"/>
    <w:link w:val="27"/>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jc w:val="left"/>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 Char"/>
    <w:basedOn w:val="1"/>
    <w:link w:val="14"/>
    <w:qFormat/>
    <w:uiPriority w:val="0"/>
    <w:rPr>
      <w:kern w:val="1"/>
    </w:rPr>
  </w:style>
  <w:style w:type="character" w:styleId="16">
    <w:name w:val="Strong"/>
    <w:basedOn w:val="14"/>
    <w:qFormat/>
    <w:uiPriority w:val="22"/>
    <w:rPr>
      <w:b/>
      <w:bCs/>
    </w:rPr>
  </w:style>
  <w:style w:type="character" w:styleId="17">
    <w:name w:val="page number"/>
    <w:basedOn w:val="14"/>
    <w:qFormat/>
    <w:uiPriority w:val="0"/>
  </w:style>
  <w:style w:type="character" w:styleId="18">
    <w:name w:val="FollowedHyperlink"/>
    <w:basedOn w:val="14"/>
    <w:unhideWhenUsed/>
    <w:qFormat/>
    <w:uiPriority w:val="99"/>
    <w:rPr>
      <w:color w:val="800080" w:themeColor="followedHyperlink"/>
      <w:u w:val="single"/>
      <w14:textFill>
        <w14:solidFill>
          <w14:schemeClr w14:val="folHlink"/>
        </w14:solidFill>
      </w14:textFill>
    </w:rPr>
  </w:style>
  <w:style w:type="character" w:styleId="19">
    <w:name w:val="Emphasis"/>
    <w:basedOn w:val="14"/>
    <w:qFormat/>
    <w:uiPriority w:val="20"/>
    <w:rPr>
      <w:i/>
    </w:rPr>
  </w:style>
  <w:style w:type="character" w:styleId="20">
    <w:name w:val="Hyperlink"/>
    <w:basedOn w:val="14"/>
    <w:unhideWhenUsed/>
    <w:qFormat/>
    <w:uiPriority w:val="99"/>
    <w:rPr>
      <w:color w:val="0000FF"/>
      <w:u w:val="none"/>
    </w:rPr>
  </w:style>
  <w:style w:type="character" w:styleId="21">
    <w:name w:val="annotation reference"/>
    <w:basedOn w:val="14"/>
    <w:unhideWhenUsed/>
    <w:qFormat/>
    <w:uiPriority w:val="99"/>
    <w:rPr>
      <w:sz w:val="21"/>
      <w:szCs w:val="21"/>
    </w:rPr>
  </w:style>
  <w:style w:type="character" w:customStyle="1" w:styleId="22">
    <w:name w:val="页眉 Char"/>
    <w:basedOn w:val="14"/>
    <w:link w:val="10"/>
    <w:qFormat/>
    <w:uiPriority w:val="99"/>
    <w:rPr>
      <w:sz w:val="18"/>
      <w:szCs w:val="18"/>
    </w:rPr>
  </w:style>
  <w:style w:type="character" w:customStyle="1" w:styleId="23">
    <w:name w:val="页脚 Char"/>
    <w:basedOn w:val="14"/>
    <w:link w:val="9"/>
    <w:qFormat/>
    <w:uiPriority w:val="99"/>
    <w:rPr>
      <w:sz w:val="18"/>
      <w:szCs w:val="18"/>
    </w:rPr>
  </w:style>
  <w:style w:type="character" w:customStyle="1" w:styleId="24">
    <w:name w:val="日期 Char"/>
    <w:basedOn w:val="14"/>
    <w:link w:val="7"/>
    <w:semiHidden/>
    <w:qFormat/>
    <w:uiPriority w:val="99"/>
  </w:style>
  <w:style w:type="paragraph" w:customStyle="1" w:styleId="25">
    <w:name w:val="List Paragraph"/>
    <w:basedOn w:val="1"/>
    <w:qFormat/>
    <w:uiPriority w:val="34"/>
    <w:pPr>
      <w:ind w:firstLine="420" w:firstLineChars="200"/>
    </w:pPr>
  </w:style>
  <w:style w:type="character" w:customStyle="1" w:styleId="26">
    <w:name w:val="批注文字 Char"/>
    <w:basedOn w:val="14"/>
    <w:link w:val="5"/>
    <w:semiHidden/>
    <w:qFormat/>
    <w:uiPriority w:val="99"/>
  </w:style>
  <w:style w:type="character" w:customStyle="1" w:styleId="27">
    <w:name w:val="批注框文本 Char"/>
    <w:basedOn w:val="14"/>
    <w:link w:val="8"/>
    <w:semiHidden/>
    <w:qFormat/>
    <w:uiPriority w:val="99"/>
    <w:rPr>
      <w:sz w:val="18"/>
      <w:szCs w:val="18"/>
    </w:rPr>
  </w:style>
  <w:style w:type="paragraph" w:customStyle="1" w:styleId="28">
    <w:name w:val="z0"/>
    <w:basedOn w:val="1"/>
    <w:qFormat/>
    <w:uiPriority w:val="0"/>
    <w:pPr>
      <w:spacing w:line="360" w:lineRule="auto"/>
      <w:ind w:firstLine="200" w:firstLineChars="200"/>
    </w:pPr>
    <w:rPr>
      <w:rFonts w:ascii="宋体" w:hAnsi="宋体" w:eastAsia="宋体"/>
      <w:sz w:val="24"/>
      <w:szCs w:val="24"/>
    </w:rPr>
  </w:style>
  <w:style w:type="paragraph" w:customStyle="1" w:styleId="29">
    <w:name w:val="报告正文"/>
    <w:basedOn w:val="1"/>
    <w:qFormat/>
    <w:uiPriority w:val="0"/>
    <w:pPr>
      <w:tabs>
        <w:tab w:val="left" w:pos="0"/>
      </w:tabs>
      <w:spacing w:line="360" w:lineRule="auto"/>
      <w:ind w:firstLine="200" w:firstLineChars="200"/>
    </w:pPr>
    <w:rPr>
      <w:color w:val="000000"/>
      <w:sz w:val="24"/>
    </w:rPr>
  </w:style>
  <w:style w:type="paragraph" w:customStyle="1" w:styleId="30">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character" w:customStyle="1" w:styleId="31">
    <w:name w:val="font21"/>
    <w:basedOn w:val="14"/>
    <w:qFormat/>
    <w:uiPriority w:val="0"/>
    <w:rPr>
      <w:rFonts w:hint="eastAsia" w:ascii="宋体" w:hAnsi="宋体" w:eastAsia="宋体" w:cs="宋体"/>
      <w:color w:val="000000"/>
      <w:sz w:val="24"/>
      <w:szCs w:val="24"/>
      <w:u w:val="none"/>
    </w:rPr>
  </w:style>
  <w:style w:type="character" w:customStyle="1" w:styleId="32">
    <w:name w:val="font41"/>
    <w:basedOn w:val="14"/>
    <w:qFormat/>
    <w:uiPriority w:val="0"/>
    <w:rPr>
      <w:rFonts w:hint="default" w:ascii="Times New Roman" w:hAnsi="Times New Roman" w:cs="Times New Roman"/>
      <w:color w:val="000000"/>
      <w:sz w:val="22"/>
      <w:szCs w:val="22"/>
      <w:u w:val="none"/>
    </w:rPr>
  </w:style>
  <w:style w:type="character" w:customStyle="1" w:styleId="33">
    <w:name w:val="font11"/>
    <w:basedOn w:val="14"/>
    <w:qFormat/>
    <w:uiPriority w:val="0"/>
    <w:rPr>
      <w:rFonts w:hint="eastAsia" w:ascii="宋体" w:hAnsi="宋体" w:eastAsia="宋体" w:cs="宋体"/>
      <w:color w:val="FF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1940</Words>
  <Characters>2139</Characters>
  <Lines>13</Lines>
  <Paragraphs>3</Paragraphs>
  <TotalTime>8</TotalTime>
  <ScaleCrop>false</ScaleCrop>
  <LinksUpToDate>false</LinksUpToDate>
  <CharactersWithSpaces>2311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2018-11-27T02:59:00Z</dcterms:created>
  <dc:creator>hxc</dc:creator>
  <cp:lastModifiedBy>咻咻咻</cp:lastModifiedBy>
  <dcterms:modified xsi:type="dcterms:W3CDTF">2023-11-23T01:38:19Z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BD3C30A683794D4FA96E423101E5F91B</vt:lpwstr>
  </property>
</Properties>
</file>