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Fonts w:ascii="Times New Roman" w:hAnsi="宋体" w:cs="Times New Roman"/>
          <w:b/>
          <w:bCs/>
          <w:sz w:val="28"/>
        </w:rPr>
      </w:pPr>
      <w:bookmarkStart w:id="0" w:name="_GoBack"/>
      <w:r>
        <w:rPr>
          <w:rFonts w:hint="eastAsia" w:ascii="Times New Roman" w:hAnsi="宋体" w:cs="Times New Roman"/>
          <w:b/>
          <w:bCs/>
          <w:sz w:val="28"/>
        </w:rPr>
        <w:t>电解质块</w:t>
      </w:r>
      <w:r>
        <w:rPr>
          <w:rFonts w:hint="eastAsia" w:ascii="Times New Roman" w:hAnsi="宋体" w:cs="Times New Roman"/>
          <w:b/>
          <w:bCs/>
          <w:sz w:val="28"/>
          <w:lang w:val="en-US" w:eastAsia="zh-CN"/>
        </w:rPr>
        <w:t>运输</w:t>
      </w:r>
      <w:r>
        <w:rPr>
          <w:rFonts w:hint="eastAsia" w:ascii="Times New Roman" w:hAnsi="宋体" w:cs="Times New Roman"/>
          <w:b/>
          <w:bCs/>
          <w:sz w:val="28"/>
        </w:rPr>
        <w:t>项目</w:t>
      </w:r>
      <w:r>
        <w:rPr>
          <w:rFonts w:ascii="Times New Roman" w:hAnsi="宋体" w:cs="Times New Roman"/>
          <w:b/>
          <w:bCs/>
          <w:sz w:val="28"/>
        </w:rPr>
        <w:t>报价表</w:t>
      </w:r>
      <w:bookmarkEnd w:id="0"/>
    </w:p>
    <w:tbl>
      <w:tblPr>
        <w:tblStyle w:val="6"/>
        <w:tblpPr w:leftFromText="180" w:rightFromText="180" w:vertAnchor="page" w:horzAnchor="page" w:tblpX="1133" w:tblpY="229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74"/>
        <w:gridCol w:w="418"/>
        <w:gridCol w:w="1390"/>
        <w:gridCol w:w="494"/>
        <w:gridCol w:w="560"/>
        <w:gridCol w:w="182"/>
        <w:gridCol w:w="896"/>
        <w:gridCol w:w="1471"/>
        <w:gridCol w:w="297"/>
        <w:gridCol w:w="112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12</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03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83" w:type="dxa"/>
            <w:gridSpan w:val="6"/>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5377" w:type="dxa"/>
            <w:gridSpan w:val="6"/>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21"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2862" w:type="dxa"/>
            <w:gridSpan w:val="4"/>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284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531" w:type="dxa"/>
            <w:gridSpan w:val="2"/>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83" w:type="dxa"/>
            <w:gridSpan w:val="6"/>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5377" w:type="dxa"/>
            <w:gridSpan w:val="6"/>
            <w:noWrap w:val="0"/>
            <w:vAlign w:val="top"/>
          </w:tcPr>
          <w:p>
            <w:pPr>
              <w:rPr>
                <w:b/>
                <w:sz w:val="18"/>
                <w:szCs w:val="18"/>
              </w:rPr>
            </w:pPr>
            <w:r>
              <w:rPr>
                <w:rFonts w:hint="eastAsia" w:ascii="宋体" w:hAnsi="宋体"/>
                <w:b/>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吉利百矿集团采购中心铝板运输</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项目名称</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起运地到目的地</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42" w:type="dxa"/>
            <w:gridSpan w:val="2"/>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计划运输数量</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综合单价（元/吨）</w:t>
            </w: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42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ascii="微软雅黑" w:hAnsi="微软雅黑" w:eastAsia="微软雅黑" w:cs="微软雅黑"/>
                <w:i w:val="0"/>
                <w:iCs w:val="0"/>
                <w:caps w:val="0"/>
                <w:color w:val="000000"/>
                <w:spacing w:val="0"/>
                <w:sz w:val="20"/>
                <w:szCs w:val="20"/>
                <w:shd w:val="clear" w:fill="FFFFFF"/>
              </w:rPr>
              <w:t>电解质块</w:t>
            </w:r>
            <w:r>
              <w:rPr>
                <w:rFonts w:hint="eastAsia" w:ascii="宋体" w:hAnsi="宋体" w:eastAsia="宋体" w:cs="宋体"/>
                <w:b w:val="0"/>
                <w:bCs w:val="0"/>
                <w:color w:val="auto"/>
                <w:sz w:val="18"/>
                <w:szCs w:val="18"/>
                <w:lang w:val="en-US" w:eastAsia="zh-CN"/>
              </w:rPr>
              <w:t>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田林铝厂—田阳铝厂</w:t>
            </w:r>
          </w:p>
        </w:tc>
        <w:tc>
          <w:tcPr>
            <w:tcW w:w="49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500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田阳铝厂罗立18778659019</w:t>
            </w:r>
          </w:p>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7" w:type="dxa"/>
            <w:noWrap w:val="0"/>
            <w:vAlign w:val="top"/>
          </w:tcPr>
          <w:p>
            <w:pPr>
              <w:rPr>
                <w:rFonts w:hint="eastAsia" w:ascii="宋体" w:hAnsi="宋体"/>
                <w:b/>
                <w:sz w:val="18"/>
                <w:szCs w:val="18"/>
              </w:rPr>
            </w:pPr>
            <w:r>
              <w:rPr>
                <w:rFonts w:hint="eastAsia" w:ascii="宋体" w:hAnsi="宋体"/>
                <w:b/>
                <w:sz w:val="18"/>
                <w:szCs w:val="18"/>
              </w:rPr>
              <w:t>合计</w:t>
            </w:r>
          </w:p>
        </w:tc>
        <w:tc>
          <w:tcPr>
            <w:tcW w:w="9113" w:type="dxa"/>
            <w:gridSpan w:val="11"/>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18"/>
                <w:szCs w:val="18"/>
                <w:lang w:val="en-US" w:eastAsia="zh-CN" w:bidi="ar"/>
              </w:rPr>
            </w:pPr>
            <w:r>
              <w:rPr>
                <w:rFonts w:eastAsia="宋体"/>
                <w:sz w:val="18"/>
                <w:szCs w:val="18"/>
              </w:rPr>
              <w:t>总</w:t>
            </w:r>
            <w:r>
              <w:rPr>
                <w:rFonts w:ascii="Times New Roman" w:hAnsi="Times New Roman" w:eastAsia="宋体"/>
                <w:sz w:val="18"/>
                <w:szCs w:val="18"/>
              </w:rPr>
              <w:t>金</w:t>
            </w:r>
            <w:r>
              <w:rPr>
                <w:rFonts w:eastAsia="宋体"/>
                <w:sz w:val="18"/>
                <w:szCs w:val="18"/>
              </w:rPr>
              <w:t>额（大写人民币）:</w:t>
            </w:r>
            <w:r>
              <w:rPr>
                <w:rFonts w:ascii="Times New Roman" w:hAnsi="Times New Roman" w:eastAsia="宋体"/>
                <w:sz w:val="18"/>
                <w:szCs w:val="18"/>
              </w:rPr>
              <w:t xml:space="preserve">     万    </w:t>
            </w:r>
            <w:r>
              <w:rPr>
                <w:rFonts w:eastAsia="宋体"/>
                <w:sz w:val="18"/>
                <w:szCs w:val="18"/>
              </w:rPr>
              <w:t>仟</w:t>
            </w:r>
            <w:r>
              <w:rPr>
                <w:rFonts w:ascii="Times New Roman" w:hAnsi="Times New Roman" w:eastAsia="宋体"/>
                <w:sz w:val="18"/>
                <w:szCs w:val="18"/>
              </w:rPr>
              <w:t xml:space="preserve">    </w:t>
            </w:r>
            <w:r>
              <w:rPr>
                <w:rFonts w:eastAsia="宋体"/>
                <w:sz w:val="18"/>
                <w:szCs w:val="18"/>
              </w:rPr>
              <w:t>佰</w:t>
            </w:r>
            <w:r>
              <w:rPr>
                <w:rFonts w:ascii="Times New Roman" w:hAnsi="Times New Roman" w:eastAsia="宋体"/>
                <w:sz w:val="18"/>
                <w:szCs w:val="18"/>
              </w:rPr>
              <w:t xml:space="preserve">    </w:t>
            </w:r>
            <w:r>
              <w:rPr>
                <w:rFonts w:eastAsia="宋体"/>
                <w:sz w:val="18"/>
                <w:szCs w:val="18"/>
              </w:rPr>
              <w:t>拾</w:t>
            </w:r>
            <w:r>
              <w:rPr>
                <w:rFonts w:ascii="Times New Roman" w:hAnsi="Times New Roman" w:eastAsia="宋体"/>
                <w:sz w:val="18"/>
                <w:szCs w:val="18"/>
              </w:rPr>
              <w:t xml:space="preserve">   </w:t>
            </w:r>
            <w:r>
              <w:rPr>
                <w:rFonts w:eastAsia="宋体"/>
                <w:sz w:val="18"/>
                <w:szCs w:val="18"/>
              </w:rPr>
              <w:t xml:space="preserve">元整        </w:t>
            </w:r>
            <w:r>
              <w:rPr>
                <w:rFonts w:ascii="Times New Roman" w:hAnsi="Times New Roman" w:eastAsia="宋体"/>
                <w:sz w:val="18"/>
                <w:szCs w:val="18"/>
              </w:rPr>
              <w:t xml:space="preserve">   </w:t>
            </w:r>
            <w:r>
              <w:rPr>
                <w:rFonts w:eastAsia="宋体"/>
                <w:sz w:val="18"/>
                <w:szCs w:val="18"/>
              </w:rPr>
              <w:t xml:space="preserve"> </w:t>
            </w:r>
            <w:r>
              <w:rPr>
                <w:rFonts w:ascii="Times New Roman" w:hAnsi="Times New Roman" w:eastAsia="宋体"/>
                <w:sz w:val="18"/>
                <w:szCs w:val="18"/>
              </w:rPr>
              <w:t>￥</w:t>
            </w:r>
            <w:r>
              <w:rPr>
                <w:rFonts w:ascii="Times New Roman" w:hAnsi="Times New Roman" w:eastAsia="宋体"/>
                <w:sz w:val="24"/>
              </w:rPr>
              <w:t xml:space="preserve">  </w:t>
            </w: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12</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17</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付款方式：月结，乙方在次月10日前将上个月经甲方确认的《送货单》交甲方核对，并作为结算运费的依据。乙方凭《送货单》和正式增值税运输发票向甲方结算运费，甲方15个工作日内，将运费支付给乙方。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实际运输量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袋装</w:t>
      </w:r>
      <w:r>
        <w:rPr>
          <w:rFonts w:ascii="微软雅黑" w:hAnsi="微软雅黑" w:eastAsia="微软雅黑" w:cs="微软雅黑"/>
          <w:i w:val="0"/>
          <w:iCs w:val="0"/>
          <w:caps w:val="0"/>
          <w:color w:val="000000"/>
          <w:spacing w:val="0"/>
          <w:sz w:val="20"/>
          <w:szCs w:val="20"/>
          <w:shd w:val="clear" w:fill="FFFFFF"/>
        </w:rPr>
        <w:t>电解质块</w:t>
      </w:r>
      <w:r>
        <w:rPr>
          <w:rFonts w:hint="eastAsia" w:ascii="Times New Roman" w:hAnsi="Times New Roman" w:eastAsia="宋体"/>
          <w:sz w:val="18"/>
          <w:szCs w:val="18"/>
          <w:lang w:val="en-US" w:eastAsia="zh-CN"/>
        </w:rPr>
        <w:t>从广西田林百矿铝业有限公司</w:t>
      </w:r>
      <w:r>
        <w:rPr>
          <w:rFonts w:hint="eastAsia" w:ascii="Times New Roman" w:hAnsi="Times New Roman" w:eastAsia="宋体"/>
          <w:sz w:val="18"/>
          <w:szCs w:val="18"/>
        </w:rPr>
        <w:t>直至安全</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至</w:t>
      </w:r>
      <w:r>
        <w:rPr>
          <w:rFonts w:hint="eastAsia" w:ascii="Times New Roman" w:hAnsi="Times New Roman" w:eastAsia="宋体"/>
          <w:sz w:val="18"/>
          <w:szCs w:val="18"/>
          <w:lang w:val="en-US" w:eastAsia="zh-CN"/>
        </w:rPr>
        <w:t>百色百矿铝业有限公司</w:t>
      </w:r>
      <w:r>
        <w:rPr>
          <w:rFonts w:hint="eastAsia" w:ascii="Times New Roman" w:hAnsi="Times New Roman" w:eastAsia="宋体"/>
          <w:sz w:val="18"/>
          <w:szCs w:val="18"/>
        </w:rPr>
        <w:t>的所发生的人工、材料、设备、税金（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%增值税专用发票）、利润、保险等一切费用，包括运输、保险等一切环节。</w:t>
      </w:r>
    </w:p>
    <w:p>
      <w:pPr>
        <w:keepNext w:val="0"/>
        <w:keepLines w:val="0"/>
        <w:widowControl/>
        <w:suppressLineNumbers w:val="0"/>
        <w:jc w:val="left"/>
        <w:textAlignment w:val="center"/>
        <w:rPr>
          <w:rFonts w:ascii="Times New Roman" w:hAnsi="Times New Roman" w:eastAsia="宋体"/>
          <w:sz w:val="18"/>
          <w:szCs w:val="18"/>
        </w:rPr>
      </w:pPr>
    </w:p>
    <w:p>
      <w:pPr>
        <w:pStyle w:val="5"/>
        <w:spacing w:line="440" w:lineRule="exact"/>
        <w:ind w:firstLine="4095"/>
        <w:rPr>
          <w:rFonts w:hint="eastAsia" w:hAnsi="宋体"/>
          <w:color w:val="auto"/>
          <w:sz w:val="24"/>
          <w:szCs w:val="24"/>
        </w:rPr>
      </w:pPr>
    </w:p>
    <w:p>
      <w:pPr>
        <w:pStyle w:val="5"/>
        <w:spacing w:line="440" w:lineRule="exact"/>
        <w:ind w:firstLine="4095"/>
        <w:rPr>
          <w:rFonts w:hint="default" w:hAnsi="宋体" w:eastAsiaTheme="minorEastAsia"/>
          <w:color w:val="auto"/>
          <w:sz w:val="24"/>
          <w:szCs w:val="24"/>
          <w:lang w:val="en-US" w:eastAsia="zh-CN"/>
        </w:rPr>
      </w:pPr>
      <w:r>
        <w:rPr>
          <w:rFonts w:hint="eastAsia" w:hAnsi="宋体"/>
          <w:color w:val="auto"/>
          <w:sz w:val="24"/>
          <w:szCs w:val="24"/>
          <w:lang w:val="en-US" w:eastAsia="zh-CN"/>
        </w:rPr>
        <w:t>日期：   年  月   日</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ascii="宋体" w:hAnsi="宋体" w:eastAsia="宋体" w:cs="宋体"/>
          <w:sz w:val="28"/>
          <w:szCs w:val="28"/>
          <w:lang w:val="en-US" w:eastAsia="zh-CN"/>
        </w:rPr>
      </w:pPr>
      <w:r>
        <w:rPr>
          <w:rFonts w:hint="eastAsia" w:hAnsi="宋体"/>
          <w:color w:val="auto"/>
          <w:sz w:val="24"/>
          <w:szCs w:val="24"/>
        </w:rPr>
        <w:t xml:space="preserve"> </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YTY4OTUxMDMzODFlYzI3ZjY5NDRlNWU0MjcyNTgifQ=="/>
  </w:docVars>
  <w:rsids>
    <w:rsidRoot w:val="66CB0253"/>
    <w:rsid w:val="011816B3"/>
    <w:rsid w:val="133133B4"/>
    <w:rsid w:val="13B61F10"/>
    <w:rsid w:val="15B74C5A"/>
    <w:rsid w:val="18AF0EF4"/>
    <w:rsid w:val="195F58F3"/>
    <w:rsid w:val="1C693258"/>
    <w:rsid w:val="1F7E1C70"/>
    <w:rsid w:val="1FD6565A"/>
    <w:rsid w:val="2F702899"/>
    <w:rsid w:val="2F897A66"/>
    <w:rsid w:val="37797336"/>
    <w:rsid w:val="3A044B76"/>
    <w:rsid w:val="3B906A14"/>
    <w:rsid w:val="47AF4353"/>
    <w:rsid w:val="48B02153"/>
    <w:rsid w:val="4E643C7C"/>
    <w:rsid w:val="546F1D4D"/>
    <w:rsid w:val="58307DE0"/>
    <w:rsid w:val="63DE0CE3"/>
    <w:rsid w:val="645F3C91"/>
    <w:rsid w:val="66CB0253"/>
    <w:rsid w:val="6912160E"/>
    <w:rsid w:val="7B687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unhideWhenUsed/>
    <w:qFormat/>
    <w:uiPriority w:val="0"/>
    <w:pPr>
      <w:spacing w:line="432" w:lineRule="auto"/>
      <w:ind w:left="420" w:hanging="420" w:hangingChars="175"/>
    </w:pPr>
    <w:rPr>
      <w:rFonts w:ascii="Times New Roman" w:hAnsi="Times New Roman"/>
      <w:sz w:val="24"/>
      <w:szCs w:val="24"/>
    </w:rPr>
  </w:style>
  <w:style w:type="paragraph" w:styleId="5">
    <w:name w:val="Plain Text"/>
    <w:basedOn w:val="1"/>
    <w:qFormat/>
    <w:uiPriority w:val="0"/>
    <w:rPr>
      <w:rFonts w:ascii="宋体" w:hAnsi="Courier New"/>
      <w:szCs w:val="20"/>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564</Words>
  <Characters>644</Characters>
  <Lines>0</Lines>
  <Paragraphs>0</Paragraphs>
  <TotalTime>1</TotalTime>
  <ScaleCrop>false</ScaleCrop>
  <LinksUpToDate>false</LinksUpToDate>
  <CharactersWithSpaces>768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陆祖仁</cp:lastModifiedBy>
  <dcterms:modified xsi:type="dcterms:W3CDTF">2023-12-13T02:28:58Z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E53076A1E5B1460385B427F16AF20EC3_13</vt:lpwstr>
  </property>
</Properties>
</file>