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固体改质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8</w:t>
      </w:r>
      <w:r>
        <w:rPr>
          <w:rFonts w:hint="eastAsia" w:ascii="宋体" w:hAnsi="宋体" w:eastAsia="宋体" w:cs="宋体"/>
          <w:b/>
          <w:bCs/>
          <w:sz w:val="30"/>
          <w:szCs w:val="30"/>
          <w:lang w:val="en-US" w:eastAsia="zh-CN"/>
        </w:rPr>
        <w:t>月</w:t>
      </w: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562" w:firstLineChars="2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适用于田林百矿田田碳素有限公司400kt/a预焙阳极碳素项目</w:t>
      </w:r>
      <w:r>
        <w:rPr>
          <w:rFonts w:hint="eastAsia" w:ascii="宋体" w:hAnsi="宋体" w:cs="宋体"/>
          <w:sz w:val="28"/>
          <w:szCs w:val="28"/>
          <w:lang w:val="en-US" w:eastAsia="zh-CN"/>
        </w:rPr>
        <w:t>固体改质沥青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eastAsia="宋体" w:cs="宋体"/>
          <w:sz w:val="28"/>
          <w:szCs w:val="28"/>
        </w:rPr>
        <w:t>的、</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本细则规定了</w:t>
      </w:r>
      <w:r>
        <w:rPr>
          <w:rFonts w:hint="eastAsia" w:ascii="宋体" w:hAnsi="宋体" w:cs="宋体"/>
          <w:sz w:val="28"/>
          <w:szCs w:val="28"/>
          <w:u w:val="none"/>
          <w:lang w:val="en-US" w:eastAsia="zh-CN"/>
        </w:rPr>
        <w:t>沥青</w:t>
      </w:r>
      <w:r>
        <w:rPr>
          <w:rFonts w:hint="eastAsia" w:ascii="宋体" w:hAnsi="宋体" w:eastAsia="宋体" w:cs="宋体"/>
          <w:sz w:val="28"/>
          <w:szCs w:val="28"/>
        </w:rPr>
        <w:t>的质量、</w:t>
      </w:r>
      <w:r>
        <w:rPr>
          <w:rFonts w:hint="eastAsia" w:ascii="宋体" w:hAnsi="宋体" w:cs="宋体"/>
          <w:sz w:val="28"/>
          <w:szCs w:val="28"/>
          <w:lang w:val="en-US" w:eastAsia="zh-CN"/>
        </w:rPr>
        <w:t>技术指标</w:t>
      </w:r>
      <w:r>
        <w:rPr>
          <w:rFonts w:hint="eastAsia" w:ascii="宋体" w:hAnsi="宋体" w:eastAsia="宋体" w:cs="宋体"/>
          <w:sz w:val="28"/>
          <w:szCs w:val="28"/>
        </w:rPr>
        <w:t>、检验方法等要求。适用于田林百矿田田碳素有限公司采购</w:t>
      </w:r>
      <w:r>
        <w:rPr>
          <w:rFonts w:hint="eastAsia" w:ascii="宋体" w:hAnsi="宋体" w:cs="宋体"/>
          <w:sz w:val="28"/>
          <w:szCs w:val="28"/>
          <w:u w:val="none"/>
          <w:lang w:val="en-US" w:eastAsia="zh-CN"/>
        </w:rPr>
        <w:t>沥青</w:t>
      </w:r>
      <w:r>
        <w:rPr>
          <w:rFonts w:hint="eastAsia" w:ascii="宋体" w:hAnsi="宋体" w:eastAsia="宋体" w:cs="宋体"/>
          <w:sz w:val="28"/>
          <w:szCs w:val="28"/>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2.1.1 沥青用于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FF0000"/>
          <w:sz w:val="28"/>
          <w:szCs w:val="28"/>
          <w:u w:val="none"/>
          <w:lang w:val="en-US" w:eastAsia="zh-CN"/>
        </w:rPr>
      </w:pPr>
      <w:r>
        <w:rPr>
          <w:rFonts w:hint="eastAsia" w:ascii="宋体" w:hAnsi="宋体" w:cs="宋体"/>
          <w:color w:val="auto"/>
          <w:sz w:val="28"/>
          <w:szCs w:val="28"/>
          <w:u w:val="none"/>
          <w:lang w:val="en-US" w:eastAsia="zh-CN"/>
        </w:rPr>
        <w:t>2.1.2 沥青融化系统描述;沥青进入贮存仓后经胶带定量给料机送入环锤式破碎机破碎，通过斗式提升机送入沥青熔化器中进行加热熔化，加热介质为导热油。沥青熔化器熔化好的液体沥青储存在槽内，在导热油加热的作用下，将沥青温度稳定在170-200℃，通过静置将渣质和水分分离，熔化好的沥青进入沥青缓冲槽，由沥青泵送入液体沥青沉淀槽沉淀杂质，再通过沥青泵输送到制糊成型工序用于阳极碳块生产。</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pStyle w:val="14"/>
              <w:spacing w:before="118"/>
              <w:jc w:val="center"/>
              <w:rPr>
                <w:rFonts w:hint="default" w:ascii="宋体" w:hAnsi="宋体" w:eastAsia="宋体" w:cs="宋体"/>
                <w:b/>
                <w:bCs/>
                <w:sz w:val="24"/>
                <w:szCs w:val="24"/>
                <w:lang w:val="en-US" w:eastAsia="zh-CN" w:bidi="ar-SA"/>
              </w:rPr>
            </w:pPr>
            <w:r>
              <w:rPr>
                <w:rFonts w:hint="eastAsia" w:cs="宋体"/>
                <w:b/>
                <w:bCs/>
                <w:sz w:val="24"/>
                <w:szCs w:val="24"/>
                <w:lang w:val="en-US" w:eastAsia="zh-CN" w:bidi="ar-SA"/>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GB/T2288,焦化产品水分测定方法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pStyle w:val="14"/>
              <w:spacing w:before="118"/>
              <w:jc w:val="center"/>
              <w:rPr>
                <w:rFonts w:hint="default" w:ascii="宋体" w:hAnsi="宋体" w:eastAsia="宋体" w:cs="宋体"/>
                <w:b/>
                <w:bCs/>
                <w:sz w:val="24"/>
                <w:szCs w:val="24"/>
                <w:lang w:val="en-US" w:eastAsia="zh-CN" w:bidi="ar-SA"/>
              </w:rPr>
            </w:pPr>
            <w:r>
              <w:rPr>
                <w:rFonts w:hint="eastAsia" w:cs="宋体"/>
                <w:b/>
                <w:bCs/>
                <w:sz w:val="24"/>
                <w:szCs w:val="24"/>
                <w:lang w:val="en-US" w:eastAsia="zh-CN" w:bidi="ar-SA"/>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cs="宋体"/>
                <w:b/>
                <w:bCs/>
                <w:sz w:val="24"/>
                <w:szCs w:val="24"/>
                <w:lang w:val="en-US" w:eastAsia="zh-CN" w:bidi="ar-SA"/>
              </w:rPr>
              <w:t>GB/T2292 焦化产品甲苯不溶物含量的测定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pStyle w:val="14"/>
              <w:spacing w:before="118"/>
              <w:jc w:val="center"/>
              <w:rPr>
                <w:rFonts w:hint="default" w:ascii="宋体" w:hAnsi="宋体" w:eastAsia="宋体" w:cs="宋体"/>
                <w:b/>
                <w:bCs/>
                <w:sz w:val="24"/>
                <w:szCs w:val="24"/>
                <w:lang w:val="en-US" w:eastAsia="zh-CN" w:bidi="ar-SA"/>
              </w:rPr>
            </w:pPr>
            <w:r>
              <w:rPr>
                <w:rFonts w:hint="eastAsia" w:cs="宋体"/>
                <w:b/>
                <w:bCs/>
                <w:sz w:val="24"/>
                <w:szCs w:val="24"/>
                <w:lang w:val="en-US" w:eastAsia="zh-CN" w:bidi="ar-SA"/>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cs="宋体"/>
                <w:b/>
                <w:bCs/>
                <w:sz w:val="24"/>
                <w:szCs w:val="24"/>
                <w:lang w:val="en-US" w:eastAsia="zh-CN" w:bidi="ar-SA"/>
              </w:rPr>
              <w:t>GB/T2293 焦化沥青类产品喹啉不溶物试验方法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pStyle w:val="14"/>
              <w:spacing w:before="118"/>
              <w:jc w:val="center"/>
              <w:rPr>
                <w:rFonts w:hint="default" w:ascii="宋体" w:hAnsi="宋体" w:eastAsia="宋体" w:cs="宋体"/>
                <w:b/>
                <w:bCs/>
                <w:sz w:val="24"/>
                <w:szCs w:val="24"/>
                <w:lang w:val="en-US" w:eastAsia="zh-CN" w:bidi="ar-SA"/>
              </w:rPr>
            </w:pPr>
            <w:r>
              <w:rPr>
                <w:rFonts w:hint="eastAsia" w:cs="宋体"/>
                <w:b/>
                <w:bCs/>
                <w:sz w:val="24"/>
                <w:szCs w:val="24"/>
                <w:lang w:val="en-US" w:eastAsia="zh-CN"/>
              </w:rPr>
              <w:t>不小于</w:t>
            </w:r>
            <w:r>
              <w:rPr>
                <w:rFonts w:hint="eastAsia" w:cs="宋体"/>
                <w:b/>
                <w:bCs/>
                <w:sz w:val="24"/>
                <w:szCs w:val="24"/>
                <w:lang w:val="en-US" w:eastAsia="zh-CN" w:bidi="ar-SA"/>
              </w:rPr>
              <w:t>18</w:t>
            </w:r>
          </w:p>
        </w:tc>
        <w:tc>
          <w:tcPr>
            <w:tcW w:w="5136" w:type="dxa"/>
            <w:vAlign w:val="center"/>
          </w:tcPr>
          <w:p>
            <w:pPr>
              <w:pStyle w:val="14"/>
              <w:spacing w:before="118"/>
              <w:jc w:val="both"/>
              <w:rPr>
                <w:rFonts w:hint="eastAsia" w:cs="宋体"/>
                <w:b/>
                <w:bCs/>
                <w:sz w:val="24"/>
                <w:szCs w:val="24"/>
                <w:lang w:val="en-US" w:eastAsia="zh-CN" w:bidi="ar-SA"/>
              </w:rPr>
            </w:pPr>
            <w:r>
              <w:rPr>
                <w:rFonts w:hint="eastAsia" w:cs="宋体"/>
                <w:b/>
                <w:bCs/>
                <w:sz w:val="24"/>
                <w:szCs w:val="24"/>
                <w:lang w:val="en-US" w:eastAsia="zh-CN" w:bidi="ar-SA"/>
              </w:rPr>
              <w:t>GB/T2292 焦化产品甲苯不溶物含量的测定</w:t>
            </w:r>
          </w:p>
          <w:p>
            <w:pPr>
              <w:pStyle w:val="14"/>
              <w:spacing w:before="118"/>
              <w:jc w:val="both"/>
              <w:rPr>
                <w:rFonts w:hint="eastAsia" w:ascii="宋体" w:hAnsi="宋体" w:eastAsia="宋体" w:cs="宋体"/>
                <w:b/>
                <w:bCs/>
                <w:kern w:val="2"/>
                <w:sz w:val="24"/>
                <w:szCs w:val="24"/>
                <w:lang w:val="en-US" w:eastAsia="zh-CN" w:bidi="ar-SA"/>
              </w:rPr>
            </w:pPr>
            <w:r>
              <w:rPr>
                <w:rFonts w:hint="eastAsia" w:cs="宋体"/>
                <w:b/>
                <w:bCs/>
                <w:sz w:val="24"/>
                <w:szCs w:val="24"/>
                <w:lang w:val="en-US" w:eastAsia="zh-CN" w:bidi="ar-SA"/>
              </w:rPr>
              <w:t>GB/T2293 焦化沥青类产品喹啉不溶物试验方法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pStyle w:val="14"/>
              <w:spacing w:before="118"/>
              <w:jc w:val="center"/>
              <w:rPr>
                <w:rFonts w:hint="default" w:ascii="宋体" w:hAnsi="宋体" w:eastAsia="宋体" w:cs="宋体"/>
                <w:b/>
                <w:bCs/>
                <w:sz w:val="24"/>
                <w:szCs w:val="24"/>
                <w:lang w:val="en-US" w:eastAsia="zh-CN" w:bidi="ar-SA"/>
              </w:rPr>
            </w:pPr>
            <w:r>
              <w:rPr>
                <w:rFonts w:hint="eastAsia" w:cs="宋体"/>
                <w:b/>
                <w:bCs/>
                <w:sz w:val="24"/>
                <w:szCs w:val="24"/>
                <w:lang w:val="en-US" w:eastAsia="zh-CN"/>
              </w:rPr>
              <w:t>不小于</w:t>
            </w:r>
            <w:r>
              <w:rPr>
                <w:rFonts w:hint="eastAsia" w:cs="宋体"/>
                <w:b/>
                <w:bCs/>
                <w:sz w:val="24"/>
                <w:szCs w:val="24"/>
                <w:lang w:val="en-US" w:eastAsia="zh-CN" w:bidi="ar-SA"/>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cs="宋体"/>
                <w:b/>
                <w:bCs/>
                <w:sz w:val="24"/>
                <w:szCs w:val="24"/>
                <w:lang w:val="en-US" w:eastAsia="zh-CN"/>
              </w:rPr>
              <w:t>GB/T8727煤沥青类产品结焦值的测定方法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pStyle w:val="14"/>
              <w:spacing w:before="118"/>
              <w:jc w:val="center"/>
              <w:rPr>
                <w:rFonts w:hint="default" w:ascii="宋体" w:hAnsi="宋体" w:eastAsia="宋体" w:cs="宋体"/>
                <w:b/>
                <w:bCs/>
                <w:sz w:val="24"/>
                <w:szCs w:val="24"/>
                <w:lang w:val="en-US" w:eastAsia="zh-CN" w:bidi="ar-SA"/>
              </w:rPr>
            </w:pPr>
            <w:r>
              <w:rPr>
                <w:rFonts w:hint="eastAsia" w:cs="宋体"/>
                <w:b/>
                <w:bCs/>
                <w:sz w:val="24"/>
                <w:szCs w:val="24"/>
                <w:lang w:val="en-US" w:eastAsia="zh-CN"/>
              </w:rPr>
              <w:t>不大于</w:t>
            </w:r>
            <w:r>
              <w:rPr>
                <w:rFonts w:hint="eastAsia" w:cs="宋体"/>
                <w:b/>
                <w:bCs/>
                <w:sz w:val="24"/>
                <w:szCs w:val="24"/>
                <w:lang w:val="en-US" w:eastAsia="zh-CN" w:bidi="ar-SA"/>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cs="宋体"/>
                <w:b/>
                <w:bCs/>
                <w:sz w:val="24"/>
                <w:szCs w:val="24"/>
                <w:lang w:val="en-US" w:eastAsia="zh-CN"/>
              </w:rPr>
              <w:t xml:space="preserve">GB/T2295 焦化固体类产品灰分测定方法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pStyle w:val="14"/>
              <w:spacing w:before="118"/>
              <w:jc w:val="center"/>
              <w:rPr>
                <w:rFonts w:hint="default" w:ascii="宋体" w:hAnsi="宋体" w:eastAsia="宋体" w:cs="宋体"/>
                <w:b/>
                <w:bCs/>
                <w:sz w:val="24"/>
                <w:szCs w:val="24"/>
                <w:lang w:val="en-US" w:eastAsia="zh-CN" w:bidi="ar-SA"/>
              </w:rPr>
            </w:pPr>
            <w:r>
              <w:rPr>
                <w:rFonts w:hint="eastAsia" w:cs="宋体"/>
                <w:b/>
                <w:bCs/>
                <w:sz w:val="24"/>
                <w:szCs w:val="24"/>
                <w:lang w:val="en-US" w:eastAsia="zh-CN"/>
              </w:rPr>
              <w:t>不大于</w:t>
            </w:r>
            <w:r>
              <w:rPr>
                <w:rFonts w:hint="eastAsia" w:cs="宋体"/>
                <w:b/>
                <w:bCs/>
                <w:sz w:val="24"/>
                <w:szCs w:val="24"/>
                <w:lang w:val="en-US" w:eastAsia="zh-CN" w:bidi="ar-SA"/>
              </w:rPr>
              <w:t>4.0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cs="宋体"/>
                <w:b/>
                <w:bCs/>
                <w:sz w:val="24"/>
                <w:szCs w:val="24"/>
                <w:lang w:val="en-US" w:eastAsia="zh-CN"/>
              </w:rPr>
              <w:t>GB/T2288焦化产品水分测定方法</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执行标准：固体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4</w:t>
      </w:r>
      <w:bookmarkStart w:id="16" w:name="_GoBack"/>
      <w:bookmarkEnd w:id="16"/>
      <w:r>
        <w:rPr>
          <w:rFonts w:hint="eastAsia" w:ascii="宋体" w:hAnsi="宋体" w:cs="宋体"/>
          <w:sz w:val="28"/>
          <w:szCs w:val="28"/>
          <w:lang w:val="en-US" w:eastAsia="zh-CN"/>
        </w:rPr>
        <w:t>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widowControl/>
              <w:suppressLineNumbers w:val="0"/>
              <w:ind w:left="21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扣重标准</w:t>
            </w:r>
          </w:p>
        </w:tc>
        <w:tc>
          <w:tcPr>
            <w:tcW w:w="8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top"/>
          </w:tcPr>
          <w:p>
            <w:pPr>
              <w:spacing w:before="206" w:line="222" w:lineRule="auto"/>
              <w:jc w:val="both"/>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widowControl/>
              <w:suppressLineNumbers w:val="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spacing w:before="206" w:line="220"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widowControl/>
              <w:suppressLineNumbers w:val="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spacing w:before="206" w:line="221"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widowControl/>
              <w:suppressLineNumbers w:val="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spacing w:before="207" w:line="223" w:lineRule="auto"/>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widowControl/>
              <w:suppressLineNumbers w:val="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top"/>
          </w:tcPr>
          <w:p>
            <w:pPr>
              <w:spacing w:before="198" w:line="223"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widowControl/>
              <w:suppressLineNumbers w:val="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top"/>
          </w:tcPr>
          <w:p>
            <w:pPr>
              <w:spacing w:before="206" w:line="222"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每增加0.01扣3kg/吨</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每增加0.01扣9kg/吨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top"/>
          </w:tcPr>
          <w:p>
            <w:pPr>
              <w:spacing w:before="198" w:line="228"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widowControl/>
              <w:suppressLineNumbers w:val="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spacing w:before="198" w:line="228" w:lineRule="auto"/>
              <w:ind w:left="210" w:leftChars="100"/>
              <w:rPr>
                <w:rFonts w:ascii="宋体" w:hAnsi="宋体" w:eastAsia="宋体" w:cs="宋体"/>
                <w:color w:val="auto"/>
                <w:spacing w:val="8"/>
                <w:sz w:val="21"/>
                <w:szCs w:val="21"/>
                <w:highlight w:val="none"/>
              </w:rPr>
            </w:pPr>
          </w:p>
        </w:tc>
        <w:tc>
          <w:tcPr>
            <w:tcW w:w="1215" w:type="dxa"/>
            <w:vAlign w:val="center"/>
          </w:tcPr>
          <w:p>
            <w:pPr>
              <w:pStyle w:val="2"/>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4.0＞X≤5.0</w:t>
            </w:r>
          </w:p>
        </w:tc>
        <w:tc>
          <w:tcPr>
            <w:tcW w:w="1610"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c>
          <w:tcPr>
            <w:tcW w:w="85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超一扣三</w:t>
            </w:r>
          </w:p>
        </w:tc>
      </w:tr>
    </w:tbl>
    <w:p>
      <w:pPr>
        <w:pStyle w:val="15"/>
        <w:pageBreakBefore w:val="0"/>
        <w:widowControl w:val="0"/>
        <w:tabs>
          <w:tab w:val="left" w:pos="900"/>
        </w:tabs>
        <w:kinsoku/>
        <w:wordWrap/>
        <w:overflowPunct/>
        <w:topLinePunct w:val="0"/>
        <w:bidi w:val="0"/>
        <w:snapToGrid w:val="0"/>
        <w:spacing w:line="460" w:lineRule="exact"/>
        <w:ind w:left="0" w:leftChars="0" w:firstLine="0" w:firstLineChars="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本技术任务书是必须保证田林百矿田田碳素有限公司400kt/a预焙阳极碳素项目</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28525"/>
      <w:bookmarkStart w:id="1" w:name="_Toc12141"/>
      <w:bookmarkStart w:id="2" w:name="_Toc5922_WPSOffice_Level1"/>
      <w:bookmarkStart w:id="3" w:name="_Toc25026_WPSOffice_Level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0" w:firstLineChars="200"/>
        <w:textAlignment w:val="auto"/>
        <w:rPr>
          <w:rFonts w:hint="eastAsia"/>
          <w:b/>
          <w:bCs/>
          <w:sz w:val="32"/>
          <w:szCs w:val="32"/>
        </w:rPr>
      </w:pPr>
      <w:r>
        <w:rPr>
          <w:rFonts w:hint="eastAsia"/>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31179_WPSOffice_Level1"/>
      <w:bookmarkStart w:id="6" w:name="_Toc12697_WPSOffice_Level1"/>
      <w:bookmarkStart w:id="7" w:name="_Toc29881"/>
    </w:p>
    <w:p>
      <w:pPr>
        <w:pageBreakBefore w:val="0"/>
        <w:widowControl w:val="0"/>
        <w:tabs>
          <w:tab w:val="left" w:pos="4500"/>
        </w:tabs>
        <w:kinsoku/>
        <w:wordWrap/>
        <w:overflowPunct/>
        <w:topLinePunct w:val="0"/>
        <w:bidi w:val="0"/>
        <w:adjustRightInd w:val="0"/>
        <w:snapToGrid w:val="0"/>
        <w:spacing w:line="460" w:lineRule="exact"/>
        <w:ind w:firstLine="640" w:firstLineChars="200"/>
        <w:textAlignment w:val="auto"/>
        <w:rPr>
          <w:rFonts w:hint="eastAsia" w:ascii="宋体" w:hAnsi="宋体" w:eastAsia="宋体" w:cs="宋体"/>
          <w:sz w:val="28"/>
          <w:szCs w:val="28"/>
          <w:lang w:val="en-US" w:eastAsia="zh-CN"/>
        </w:rPr>
      </w:pPr>
      <w:r>
        <w:rPr>
          <w:rFonts w:hint="eastAsia"/>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w:t>
      </w:r>
      <w:r>
        <w:rPr>
          <w:rFonts w:hint="eastAsia" w:ascii="宋体" w:hAnsi="宋体" w:eastAsia="宋体" w:cs="宋体"/>
          <w:sz w:val="28"/>
          <w:szCs w:val="28"/>
        </w:rPr>
        <w:t>运输要求装入洁净、干燥的车箱或进行合适的包装</w:t>
      </w:r>
      <w:r>
        <w:rPr>
          <w:rFonts w:hint="eastAsia" w:ascii="宋体" w:hAnsi="宋体" w:cs="宋体"/>
          <w:sz w:val="28"/>
          <w:szCs w:val="28"/>
          <w:lang w:eastAsia="zh-CN"/>
        </w:rPr>
        <w:t>，</w:t>
      </w:r>
      <w:r>
        <w:rPr>
          <w:rFonts w:hint="eastAsia" w:ascii="宋体" w:hAnsi="宋体" w:eastAsia="宋体" w:cs="宋体"/>
          <w:sz w:val="28"/>
          <w:szCs w:val="28"/>
        </w:rPr>
        <w:t>有良好的防潮、防</w:t>
      </w:r>
      <w:r>
        <w:rPr>
          <w:rFonts w:hint="eastAsia" w:ascii="宋体" w:hAnsi="宋体" w:cs="宋体"/>
          <w:sz w:val="28"/>
          <w:szCs w:val="28"/>
          <w:lang w:val="en-US" w:eastAsia="zh-CN"/>
        </w:rPr>
        <w:t>散落</w:t>
      </w:r>
      <w:r>
        <w:rPr>
          <w:rFonts w:hint="eastAsia" w:ascii="宋体" w:hAnsi="宋体" w:eastAsia="宋体" w:cs="宋体"/>
          <w:sz w:val="28"/>
          <w:szCs w:val="28"/>
        </w:rPr>
        <w:t>等保护措施</w:t>
      </w:r>
      <w:r>
        <w:rPr>
          <w:rFonts w:hint="eastAsia" w:ascii="宋体" w:hAnsi="宋体" w:cs="宋体"/>
          <w:sz w:val="28"/>
          <w:szCs w:val="28"/>
          <w:lang w:eastAsia="zh-CN"/>
        </w:rPr>
        <w:t>，</w:t>
      </w:r>
      <w:r>
        <w:rPr>
          <w:rFonts w:hint="eastAsia" w:ascii="宋体" w:hAnsi="宋体" w:eastAsia="宋体" w:cs="宋体"/>
          <w:sz w:val="28"/>
          <w:szCs w:val="28"/>
        </w:rPr>
        <w:t>运输和贮存</w:t>
      </w:r>
      <w:r>
        <w:rPr>
          <w:rFonts w:hint="eastAsia" w:ascii="宋体" w:hAnsi="宋体" w:cs="宋体"/>
          <w:sz w:val="28"/>
          <w:szCs w:val="28"/>
          <w:lang w:val="en-US" w:eastAsia="zh-CN"/>
        </w:rPr>
        <w:t>中</w:t>
      </w:r>
      <w:r>
        <w:rPr>
          <w:rFonts w:hint="eastAsia" w:ascii="宋体" w:hAnsi="宋体" w:eastAsia="宋体" w:cs="宋体"/>
          <w:sz w:val="28"/>
          <w:szCs w:val="28"/>
        </w:rPr>
        <w:t>要求隔绝火种、远离热源，防止阳光直射</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运抵现场的</w:t>
      </w:r>
      <w:r>
        <w:rPr>
          <w:rFonts w:hint="eastAsia" w:ascii="宋体" w:hAnsi="宋体" w:cs="宋体"/>
          <w:b w:val="0"/>
          <w:bCs/>
          <w:sz w:val="28"/>
          <w:szCs w:val="28"/>
          <w:lang w:val="en-US" w:eastAsia="zh-CN"/>
        </w:rPr>
        <w:t>沥青</w:t>
      </w:r>
      <w:r>
        <w:rPr>
          <w:rFonts w:hint="eastAsia" w:ascii="宋体" w:hAnsi="宋体" w:eastAsia="宋体" w:cs="宋体"/>
          <w:color w:val="auto"/>
          <w:sz w:val="28"/>
          <w:szCs w:val="28"/>
        </w:rPr>
        <w:t>不得有</w:t>
      </w:r>
      <w:r>
        <w:rPr>
          <w:rFonts w:hint="eastAsia" w:ascii="宋体" w:hAnsi="宋体" w:cs="宋体"/>
          <w:color w:val="auto"/>
          <w:sz w:val="28"/>
          <w:szCs w:val="28"/>
          <w:lang w:val="en-US" w:eastAsia="zh-CN"/>
        </w:rPr>
        <w:t>散落</w:t>
      </w:r>
      <w:r>
        <w:rPr>
          <w:rFonts w:hint="eastAsia" w:ascii="宋体" w:hAnsi="宋体" w:eastAsia="宋体" w:cs="宋体"/>
          <w:color w:val="auto"/>
          <w:sz w:val="28"/>
          <w:szCs w:val="28"/>
        </w:rPr>
        <w:t>、潮湿等现象。</w:t>
      </w:r>
      <w:bookmarkStart w:id="8" w:name="_Toc5438_WPSOffice_Level1"/>
      <w:bookmarkStart w:id="9" w:name="_Toc31538"/>
      <w:bookmarkStart w:id="10" w:name="_Toc20787"/>
      <w:bookmarkStart w:id="11" w:name="_Toc11436_WPSOffice_Level1"/>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sz w:val="28"/>
          <w:szCs w:val="28"/>
          <w:lang w:val="en-US" w:eastAsia="zh-CN"/>
        </w:rPr>
        <w:t>6.6沥青的取样检验。</w:t>
      </w:r>
      <w:r>
        <w:rPr>
          <w:rFonts w:hint="eastAsia" w:ascii="宋体" w:hAnsi="宋体" w:eastAsia="宋体" w:cs="宋体"/>
          <w:color w:val="auto"/>
          <w:sz w:val="28"/>
          <w:szCs w:val="28"/>
          <w:lang w:val="en-US" w:eastAsia="zh-CN"/>
        </w:rPr>
        <w:t>取样方法</w:t>
      </w:r>
      <w:r>
        <w:rPr>
          <w:rFonts w:hint="eastAsia" w:ascii="宋体" w:hAnsi="宋体" w:cs="宋体"/>
          <w:color w:val="auto"/>
          <w:sz w:val="28"/>
          <w:szCs w:val="28"/>
          <w:lang w:val="en-US" w:eastAsia="zh-CN"/>
        </w:rPr>
        <w:t>：</w:t>
      </w:r>
      <w:r>
        <w:rPr>
          <w:rFonts w:hint="eastAsia" w:ascii="宋体" w:hAnsi="宋体" w:cs="宋体"/>
          <w:color w:val="auto"/>
          <w:sz w:val="28"/>
          <w:szCs w:val="28"/>
          <w:highlight w:val="none"/>
          <w:lang w:val="en-US" w:eastAsia="zh-CN"/>
        </w:rPr>
        <w:t>卸车后去掉表层20cm~30cm采样，同车材料在平均间距的三至五点上采取，以保证试样具有代表性。每五车抽取的材料均匀混合检测一次常规样（检测灰分、水分），每500吨检测一次综合样(全检)</w:t>
      </w:r>
      <w:r>
        <w:rPr>
          <w:rFonts w:hint="eastAsia" w:ascii="宋体" w:hAnsi="宋体" w:cs="宋体"/>
          <w:color w:val="auto"/>
          <w:sz w:val="28"/>
          <w:szCs w:val="28"/>
          <w:lang w:val="en-US" w:eastAsia="zh-CN"/>
        </w:rPr>
        <w:t>，采集的小样集中放入干净的试样袋，以防受污染和受阳光、雨水的影响。取样后充分混匀，分成两份并密封处理，同时在试样袋上填写试样基本信息并由取样人共同骑缝签名，一份进行化验，一份作备查样，备查样保存期至少叁个月。</w:t>
      </w:r>
    </w:p>
    <w:p>
      <w:pPr>
        <w:pStyle w:val="2"/>
        <w:rPr>
          <w:rFonts w:hint="default"/>
          <w:color w:val="auto"/>
          <w:lang w:val="en-US" w:eastAsia="zh-CN"/>
        </w:rPr>
      </w:pPr>
      <w:r>
        <w:rPr>
          <w:rFonts w:hint="eastAsia" w:hAnsi="宋体" w:cs="宋体"/>
          <w:color w:val="auto"/>
          <w:sz w:val="28"/>
          <w:szCs w:val="28"/>
          <w:lang w:val="en-US" w:eastAsia="zh-CN"/>
        </w:rPr>
        <w:t xml:space="preserve">    6.7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6.8当抽检过程中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kinsoku/>
        <w:wordWrap/>
        <w:overflowPunct/>
        <w:topLinePunct w:val="0"/>
        <w:autoSpaceDE/>
        <w:autoSpaceDN/>
        <w:bidi w:val="0"/>
        <w:adjustRightInd w:val="0"/>
        <w:snapToGrid w:val="0"/>
        <w:spacing w:line="450" w:lineRule="exact"/>
        <w:ind w:firstLine="642" w:firstLineChars="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lang w:val="en-US" w:eastAsia="zh-CN" w:bidi="ar-SA"/>
        </w:rPr>
        <w:t>6.</w:t>
      </w:r>
      <w:r>
        <w:rPr>
          <w:rFonts w:hint="eastAsia" w:ascii="宋体"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en-US" w:eastAsia="zh-CN" w:bidi="ar-SA"/>
        </w:rPr>
        <w:t>复检规则：</w:t>
      </w:r>
      <w:r>
        <w:rPr>
          <w:rFonts w:hint="eastAsia" w:ascii="宋体" w:hAnsi="宋体" w:eastAsia="宋体" w:cs="宋体"/>
          <w:color w:val="auto"/>
          <w:sz w:val="28"/>
          <w:szCs w:val="28"/>
          <w:highlight w:val="none"/>
          <w:lang w:val="en-US" w:eastAsia="zh-CN"/>
        </w:rPr>
        <w:t>供需双方在验收过程中就质量问题发生争议时，3工作日内提出复检申请，按照《吉利百矿集团有限公司原辅材料复检仲裁管理办法》进行复检仲裁。复检样品采用封存样品进行仲裁</w:t>
      </w:r>
      <w:r>
        <w:rPr>
          <w:rFonts w:hint="eastAsia" w:ascii="宋体" w:hAnsi="宋体" w:eastAsia="宋体"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复验</w:t>
      </w:r>
      <w:r>
        <w:rPr>
          <w:rFonts w:hint="eastAsia" w:ascii="宋体" w:hAnsi="宋体" w:eastAsia="宋体" w:cs="宋体"/>
          <w:color w:val="auto"/>
          <w:sz w:val="28"/>
          <w:szCs w:val="28"/>
          <w:highlight w:val="none"/>
          <w:lang w:val="en-US" w:eastAsia="zh-CN"/>
        </w:rPr>
        <w:t>产生的费用由提出异议方先行支付，最终</w:t>
      </w:r>
      <w:r>
        <w:rPr>
          <w:rFonts w:hint="eastAsia" w:ascii="宋体" w:hAnsi="宋体" w:eastAsia="宋体" w:cs="宋体"/>
          <w:color w:val="auto"/>
          <w:sz w:val="28"/>
          <w:szCs w:val="28"/>
          <w:highlight w:val="none"/>
        </w:rPr>
        <w:t>复验的费用由责任方承担。即检验的结果证明产品符合本</w:t>
      </w:r>
      <w:r>
        <w:rPr>
          <w:rFonts w:hint="eastAsia" w:hAnsi="宋体" w:cs="宋体"/>
          <w:color w:val="auto"/>
          <w:sz w:val="28"/>
          <w:szCs w:val="28"/>
          <w:lang w:val="en-US" w:eastAsia="zh-CN"/>
        </w:rPr>
        <w:t>技术任务书</w:t>
      </w:r>
      <w:r>
        <w:rPr>
          <w:rFonts w:hint="eastAsia" w:ascii="宋体" w:hAnsi="宋体" w:eastAsia="宋体" w:cs="宋体"/>
          <w:color w:val="auto"/>
          <w:sz w:val="28"/>
          <w:szCs w:val="28"/>
          <w:highlight w:val="none"/>
        </w:rPr>
        <w:t>要求，则费用由</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方承担；反之由</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w:t>
      </w:r>
    </w:p>
    <w:p>
      <w:pPr>
        <w:pageBreakBefore w:val="0"/>
        <w:widowControl w:val="0"/>
        <w:tabs>
          <w:tab w:val="left" w:pos="567"/>
        </w:tabs>
        <w:kinsoku/>
        <w:wordWrap/>
        <w:overflowPunct/>
        <w:topLinePunct w:val="0"/>
        <w:bidi w:val="0"/>
        <w:snapToGrid w:val="0"/>
        <w:spacing w:line="460" w:lineRule="exact"/>
        <w:ind w:firstLine="600" w:firstLineChars="200"/>
        <w:textAlignment w:val="auto"/>
        <w:rPr>
          <w:rFonts w:hint="eastAsia"/>
          <w:b/>
          <w:bCs/>
          <w:sz w:val="30"/>
          <w:szCs w:val="30"/>
        </w:rPr>
      </w:pPr>
      <w:r>
        <w:rPr>
          <w:rFonts w:hint="eastAsia"/>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签订合同</w:t>
      </w:r>
      <w:r>
        <w:rPr>
          <w:rFonts w:hint="eastAsia" w:ascii="宋体" w:hAnsi="宋体" w:eastAsia="宋体" w:cs="宋体"/>
          <w:sz w:val="28"/>
          <w:szCs w:val="28"/>
          <w:lang w:val="en-US" w:eastAsia="zh-CN"/>
        </w:rPr>
        <w:t>后</w:t>
      </w:r>
      <w:r>
        <w:rPr>
          <w:rFonts w:hint="eastAsia" w:ascii="宋体" w:hAnsi="宋体" w:cs="宋体"/>
          <w:sz w:val="28"/>
          <w:szCs w:val="28"/>
          <w:lang w:val="en-US" w:eastAsia="zh-CN"/>
        </w:rPr>
        <w:t>开始交</w:t>
      </w:r>
      <w:r>
        <w:rPr>
          <w:rFonts w:hint="eastAsia" w:ascii="宋体" w:hAnsi="宋体" w:eastAsia="宋体" w:cs="宋体"/>
          <w:sz w:val="28"/>
          <w:szCs w:val="28"/>
          <w:lang w:val="en-US" w:eastAsia="zh-CN"/>
        </w:rPr>
        <w:t>货</w:t>
      </w:r>
      <w:r>
        <w:rPr>
          <w:rFonts w:hint="eastAsia" w:ascii="宋体" w:hAnsi="宋体" w:cs="宋体"/>
          <w:sz w:val="28"/>
          <w:szCs w:val="28"/>
          <w:lang w:val="en-US" w:eastAsia="zh-CN"/>
        </w:rPr>
        <w:t>，</w:t>
      </w:r>
      <w:r>
        <w:rPr>
          <w:rFonts w:hint="eastAsia" w:ascii="宋体" w:hAnsi="宋体" w:eastAsia="宋体" w:cs="宋体"/>
          <w:sz w:val="28"/>
          <w:szCs w:val="28"/>
          <w:lang w:eastAsia="zh-CN"/>
        </w:rPr>
        <w:t>具体交货时间</w:t>
      </w:r>
      <w:r>
        <w:rPr>
          <w:rFonts w:hint="eastAsia" w:ascii="宋体" w:hAnsi="宋体" w:eastAsia="宋体" w:cs="宋体"/>
          <w:sz w:val="28"/>
          <w:szCs w:val="28"/>
          <w:lang w:val="en-US" w:eastAsia="zh-CN"/>
        </w:rPr>
        <w:t>由招标方根据现场生产进度情况通知投标方</w:t>
      </w:r>
      <w:r>
        <w:rPr>
          <w:rFonts w:hint="eastAsia" w:ascii="宋体" w:hAnsi="宋体" w:cs="宋体"/>
          <w:sz w:val="28"/>
          <w:szCs w:val="28"/>
          <w:lang w:val="en-US"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发货前应书面通知</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，经</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书面确认后方可发货，否则因此造成损失由</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全部承担）。</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632"/>
      <w:bookmarkStart w:id="14" w:name="_Toc13087"/>
      <w:bookmarkStart w:id="15" w:name="_Toc5537_WPSOffice_Level1"/>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改质沥青供货计划表</w:t>
      </w:r>
    </w:p>
    <w:tbl>
      <w:tblPr>
        <w:tblStyle w:val="11"/>
        <w:tblW w:w="4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074"/>
        <w:gridCol w:w="107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761" w:type="dxa"/>
            <w:vAlign w:val="center"/>
          </w:tcPr>
          <w:p>
            <w:pPr>
              <w:pStyle w:val="13"/>
              <w:jc w:val="center"/>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供货时间</w:t>
            </w:r>
          </w:p>
        </w:tc>
        <w:tc>
          <w:tcPr>
            <w:tcW w:w="1074" w:type="dxa"/>
            <w:vAlign w:val="center"/>
          </w:tcPr>
          <w:p>
            <w:pPr>
              <w:jc w:val="center"/>
              <w:rPr>
                <w:rFonts w:hint="eastAsia" w:ascii="宋体" w:hAnsi="宋体" w:eastAsia="宋体" w:cs="宋体"/>
                <w:color w:val="000000" w:themeColor="text1"/>
                <w:kern w:val="2"/>
                <w:sz w:val="30"/>
                <w:szCs w:val="30"/>
                <w:vertAlign w:val="baseline"/>
                <w:lang w:val="en-US" w:eastAsia="zh-CN" w:bidi="ar-SA"/>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2024年2</w:t>
            </w:r>
            <w:r>
              <w:rPr>
                <w:rFonts w:hint="eastAsia" w:ascii="宋体" w:hAnsi="宋体" w:eastAsia="宋体" w:cs="宋体"/>
                <w:color w:val="000000" w:themeColor="text1"/>
                <w:sz w:val="30"/>
                <w:szCs w:val="30"/>
                <w:vertAlign w:val="baseline"/>
                <w:lang w:val="en-US" w:eastAsia="zh-CN"/>
                <w14:textFill>
                  <w14:solidFill>
                    <w14:schemeClr w14:val="tx1"/>
                  </w14:solidFill>
                </w14:textFill>
              </w:rPr>
              <w:t>月</w:t>
            </w:r>
          </w:p>
        </w:tc>
        <w:tc>
          <w:tcPr>
            <w:tcW w:w="1074" w:type="dxa"/>
            <w:vAlign w:val="center"/>
          </w:tcPr>
          <w:p>
            <w:pPr>
              <w:jc w:val="center"/>
              <w:rPr>
                <w:rFonts w:hint="eastAsia" w:ascii="宋体" w:hAnsi="宋体" w:eastAsia="宋体" w:cs="宋体"/>
                <w:color w:val="000000" w:themeColor="text1"/>
                <w:kern w:val="2"/>
                <w:sz w:val="30"/>
                <w:szCs w:val="30"/>
                <w:vertAlign w:val="baseline"/>
                <w:lang w:val="en-US" w:eastAsia="zh-CN" w:bidi="ar-SA"/>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2024年3</w:t>
            </w:r>
            <w:r>
              <w:rPr>
                <w:rFonts w:hint="eastAsia" w:ascii="宋体" w:hAnsi="宋体" w:eastAsia="宋体" w:cs="宋体"/>
                <w:color w:val="000000" w:themeColor="text1"/>
                <w:sz w:val="30"/>
                <w:szCs w:val="30"/>
                <w:vertAlign w:val="baseline"/>
                <w:lang w:val="en-US" w:eastAsia="zh-CN"/>
                <w14:textFill>
                  <w14:solidFill>
                    <w14:schemeClr w14:val="tx1"/>
                  </w14:solidFill>
                </w14:textFill>
              </w:rPr>
              <w:t>月</w:t>
            </w:r>
          </w:p>
        </w:tc>
        <w:tc>
          <w:tcPr>
            <w:tcW w:w="1074" w:type="dxa"/>
            <w:vAlign w:val="center"/>
          </w:tcPr>
          <w:p>
            <w:pPr>
              <w:jc w:val="center"/>
              <w:rPr>
                <w:rFonts w:hint="default" w:ascii="宋体" w:hAnsi="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61" w:type="dxa"/>
            <w:vAlign w:val="center"/>
          </w:tcPr>
          <w:p>
            <w:pPr>
              <w:pStyle w:val="13"/>
              <w:jc w:val="center"/>
              <w:rPr>
                <w:rFonts w:hint="default" w:ascii="宋体" w:hAnsi="宋体" w:eastAsia="宋体" w:cs="宋体"/>
                <w:color w:val="000000" w:themeColor="text1"/>
                <w:sz w:val="30"/>
                <w:szCs w:val="30"/>
                <w:vertAlign w:val="baseline"/>
                <w:lang w:val="en-US"/>
                <w14:textFill>
                  <w14:solidFill>
                    <w14:schemeClr w14:val="tx1"/>
                  </w14:solidFill>
                </w14:textFill>
              </w:rPr>
            </w:pPr>
            <w:r>
              <w:rPr>
                <w:rFonts w:hint="eastAsia" w:ascii="宋体" w:hAnsi="宋体" w:eastAsia="宋体" w:cs="宋体"/>
                <w:color w:val="000000" w:themeColor="text1"/>
                <w:sz w:val="30"/>
                <w:szCs w:val="30"/>
                <w:vertAlign w:val="baseline"/>
                <w:lang w:val="en-US" w:eastAsia="zh-CN"/>
                <w14:textFill>
                  <w14:solidFill>
                    <w14:schemeClr w14:val="tx1"/>
                  </w14:solidFill>
                </w14:textFill>
              </w:rPr>
              <w:t>供货量</w:t>
            </w:r>
            <w:r>
              <w:rPr>
                <w:rFonts w:hint="eastAsia" w:hAnsi="宋体" w:cs="宋体"/>
                <w:color w:val="000000" w:themeColor="text1"/>
                <w:sz w:val="30"/>
                <w:szCs w:val="30"/>
                <w:vertAlign w:val="baseline"/>
                <w:lang w:val="en-US" w:eastAsia="zh-CN"/>
                <w14:textFill>
                  <w14:solidFill>
                    <w14:schemeClr w14:val="tx1"/>
                  </w14:solidFill>
                </w14:textFill>
              </w:rPr>
              <w:t>/吨</w:t>
            </w:r>
          </w:p>
        </w:tc>
        <w:tc>
          <w:tcPr>
            <w:tcW w:w="1074" w:type="dxa"/>
            <w:vAlign w:val="center"/>
          </w:tcPr>
          <w:p>
            <w:pPr>
              <w:keepNext w:val="0"/>
              <w:keepLines w:val="0"/>
              <w:widowControl/>
              <w:suppressLineNumbers w:val="0"/>
              <w:jc w:val="center"/>
              <w:textAlignment w:val="center"/>
              <w:rPr>
                <w:rFonts w:hint="default"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2000</w:t>
            </w:r>
          </w:p>
        </w:tc>
        <w:tc>
          <w:tcPr>
            <w:tcW w:w="1074" w:type="dxa"/>
            <w:vAlign w:val="center"/>
          </w:tcPr>
          <w:p>
            <w:pPr>
              <w:keepNext w:val="0"/>
              <w:keepLines w:val="0"/>
              <w:widowControl/>
              <w:suppressLineNumbers w:val="0"/>
              <w:jc w:val="center"/>
              <w:textAlignment w:val="center"/>
              <w:rPr>
                <w:rFonts w:hint="default"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cs="宋体"/>
                <w:color w:val="000000" w:themeColor="text1"/>
                <w:sz w:val="30"/>
                <w:szCs w:val="30"/>
                <w:vertAlign w:val="baseline"/>
                <w:lang w:val="en-US" w:eastAsia="zh-CN"/>
                <w14:textFill>
                  <w14:solidFill>
                    <w14:schemeClr w14:val="tx1"/>
                  </w14:solidFill>
                </w14:textFill>
              </w:rPr>
              <w:t>2000</w:t>
            </w:r>
          </w:p>
        </w:tc>
        <w:tc>
          <w:tcPr>
            <w:tcW w:w="1074"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cs="宋体"/>
                <w:i w:val="0"/>
                <w:iCs w:val="0"/>
                <w:color w:val="000000" w:themeColor="text1"/>
                <w:kern w:val="0"/>
                <w:sz w:val="30"/>
                <w:szCs w:val="30"/>
                <w:u w:val="none"/>
                <w:lang w:val="en-US" w:eastAsia="zh-CN" w:bidi="ar"/>
                <w14:textFill>
                  <w14:solidFill>
                    <w14:schemeClr w14:val="tx1"/>
                  </w14:solidFill>
                </w14:textFill>
              </w:rPr>
              <w:t>4000</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00000000"/>
    <w:rsid w:val="00EA20E0"/>
    <w:rsid w:val="01DA6F41"/>
    <w:rsid w:val="041F2E83"/>
    <w:rsid w:val="0636392C"/>
    <w:rsid w:val="0A9651AE"/>
    <w:rsid w:val="0B846419"/>
    <w:rsid w:val="11617CB9"/>
    <w:rsid w:val="12E521BD"/>
    <w:rsid w:val="15872E2B"/>
    <w:rsid w:val="168C204E"/>
    <w:rsid w:val="178F5A12"/>
    <w:rsid w:val="18517A1D"/>
    <w:rsid w:val="190216C2"/>
    <w:rsid w:val="19744211"/>
    <w:rsid w:val="197733D3"/>
    <w:rsid w:val="1A11262D"/>
    <w:rsid w:val="1AD51BFD"/>
    <w:rsid w:val="1AD57E8C"/>
    <w:rsid w:val="1CEB590F"/>
    <w:rsid w:val="1E870438"/>
    <w:rsid w:val="1F0450C3"/>
    <w:rsid w:val="1FB27AA3"/>
    <w:rsid w:val="22794E74"/>
    <w:rsid w:val="249F1276"/>
    <w:rsid w:val="2788422F"/>
    <w:rsid w:val="28692F8C"/>
    <w:rsid w:val="28FD0E9E"/>
    <w:rsid w:val="2D665B14"/>
    <w:rsid w:val="2D875B8D"/>
    <w:rsid w:val="30255274"/>
    <w:rsid w:val="323D10C0"/>
    <w:rsid w:val="33526AFA"/>
    <w:rsid w:val="33A139DB"/>
    <w:rsid w:val="36980F17"/>
    <w:rsid w:val="38560336"/>
    <w:rsid w:val="3B715D54"/>
    <w:rsid w:val="3C074E47"/>
    <w:rsid w:val="3F4545D4"/>
    <w:rsid w:val="41945E2E"/>
    <w:rsid w:val="41C1797D"/>
    <w:rsid w:val="49B735B5"/>
    <w:rsid w:val="4B0B04B0"/>
    <w:rsid w:val="4CEF0B89"/>
    <w:rsid w:val="4E0B0E0C"/>
    <w:rsid w:val="4F0667CE"/>
    <w:rsid w:val="52DE46FC"/>
    <w:rsid w:val="53A854CE"/>
    <w:rsid w:val="54477A38"/>
    <w:rsid w:val="54D650AE"/>
    <w:rsid w:val="54FF3E15"/>
    <w:rsid w:val="55853555"/>
    <w:rsid w:val="56D91034"/>
    <w:rsid w:val="59F40CA9"/>
    <w:rsid w:val="5BBE4C34"/>
    <w:rsid w:val="5E6C4538"/>
    <w:rsid w:val="5EA16433"/>
    <w:rsid w:val="5F29558B"/>
    <w:rsid w:val="5F462CC8"/>
    <w:rsid w:val="60672B03"/>
    <w:rsid w:val="62397EC1"/>
    <w:rsid w:val="627D7FA1"/>
    <w:rsid w:val="665723A3"/>
    <w:rsid w:val="66A06104"/>
    <w:rsid w:val="67144CA8"/>
    <w:rsid w:val="68BC03E5"/>
    <w:rsid w:val="6A0D390C"/>
    <w:rsid w:val="6C744C87"/>
    <w:rsid w:val="6CBA7B30"/>
    <w:rsid w:val="704E7C26"/>
    <w:rsid w:val="72203F91"/>
    <w:rsid w:val="72861147"/>
    <w:rsid w:val="72BB4868"/>
    <w:rsid w:val="75C80BC8"/>
    <w:rsid w:val="76366583"/>
    <w:rsid w:val="76D50061"/>
    <w:rsid w:val="771A01B8"/>
    <w:rsid w:val="795E437C"/>
    <w:rsid w:val="79BD4545"/>
    <w:rsid w:val="79EC7590"/>
    <w:rsid w:val="7B2368A0"/>
    <w:rsid w:val="7BA64990"/>
    <w:rsid w:val="7D530830"/>
    <w:rsid w:val="7D596400"/>
    <w:rsid w:val="7DB94E07"/>
    <w:rsid w:val="7E6232E6"/>
    <w:rsid w:val="7EDC393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1</TotalTime>
  <ScaleCrop>false</ScaleCrop>
  <LinksUpToDate>false</LinksUpToDate>
  <CharactersWithSpaces>3511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2024-01-10T10:49:48Z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BD5BB551BEDA480892C08A541F38A90D_13</vt:lpwstr>
  </property>
</Properties>
</file>