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附件3</w:t>
      </w:r>
    </w:p>
    <w:p>
      <w:pPr>
        <w:ind w:firstLine="1760" w:firstLineChars="400"/>
        <w:jc w:val="both"/>
        <w:rPr>
          <w:rFonts w:hint="eastAsia" w:ascii="宋体" w:hAnsi="宋体" w:eastAsia="宋体" w:cs="宋体"/>
          <w:sz w:val="44"/>
          <w:szCs w:val="44"/>
          <w:lang w:eastAsia="zh-CN"/>
        </w:rPr>
      </w:pPr>
      <w:r>
        <w:rPr>
          <w:rFonts w:hint="eastAsia" w:ascii="宋体" w:hAnsi="宋体" w:eastAsia="宋体" w:cs="宋体"/>
          <w:sz w:val="44"/>
          <w:szCs w:val="44"/>
          <w:lang w:eastAsia="zh-CN"/>
        </w:rPr>
        <w:t>田林百矿田田碳素有限公司</w:t>
      </w:r>
    </w:p>
    <w:p>
      <w:pPr>
        <w:jc w:val="center"/>
        <w:rPr>
          <w:rFonts w:hint="eastAsia" w:ascii="宋体" w:hAnsi="宋体" w:eastAsia="宋体" w:cs="宋体"/>
          <w:sz w:val="44"/>
          <w:szCs w:val="44"/>
          <w:lang w:val="en-US" w:eastAsia="zh-CN"/>
        </w:rPr>
      </w:pPr>
      <w:r>
        <w:rPr>
          <w:rFonts w:hint="eastAsia" w:ascii="宋体" w:hAnsi="宋体" w:eastAsia="宋体" w:cs="宋体"/>
          <w:i w:val="0"/>
          <w:iCs w:val="0"/>
          <w:spacing w:val="0"/>
          <w:sz w:val="44"/>
          <w:szCs w:val="44"/>
          <w:shd w:val="clear"/>
          <w:lang w:eastAsia="zh-CN"/>
        </w:rPr>
        <w:t>沥青</w:t>
      </w:r>
      <w:r>
        <w:rPr>
          <w:rFonts w:hint="eastAsia" w:ascii="宋体" w:hAnsi="宋体" w:eastAsia="宋体" w:cs="宋体"/>
          <w:i w:val="0"/>
          <w:iCs w:val="0"/>
          <w:spacing w:val="0"/>
          <w:sz w:val="44"/>
          <w:szCs w:val="44"/>
          <w:shd w:val="clear"/>
        </w:rPr>
        <w:t>采购</w:t>
      </w:r>
      <w:r>
        <w:rPr>
          <w:rFonts w:hint="eastAsia" w:ascii="宋体" w:hAnsi="宋体" w:eastAsia="宋体" w:cs="宋体"/>
          <w:sz w:val="44"/>
          <w:szCs w:val="44"/>
          <w:lang w:eastAsia="zh-CN"/>
        </w:rPr>
        <w:t>合同</w:t>
      </w:r>
    </w:p>
    <w:p>
      <w:pPr>
        <w:jc w:val="center"/>
        <w:rPr>
          <w:rFonts w:hint="eastAsia" w:ascii="宋体" w:hAnsi="宋体" w:eastAsia="宋体" w:cs="宋体"/>
          <w:sz w:val="44"/>
          <w:szCs w:val="44"/>
          <w:lang w:eastAsia="zh-CN"/>
        </w:rPr>
      </w:pPr>
    </w:p>
    <w:p>
      <w:pPr>
        <w:autoSpaceDE w:val="0"/>
        <w:autoSpaceDN w:val="0"/>
        <w:adjustRightInd w:val="0"/>
        <w:snapToGrid w:val="0"/>
        <w:spacing w:before="156" w:beforeLines="50" w:beforeAutospacing="0" w:after="156" w:afterLines="50" w:afterAutospacing="0" w:line="440" w:lineRule="exact"/>
        <w:ind w:right="420" w:rightChars="200"/>
        <w:rPr>
          <w:rFonts w:hint="eastAsia" w:ascii="宋体" w:hAnsi="宋体" w:eastAsia="宋体" w:cs="宋体"/>
          <w:b/>
          <w:bCs/>
          <w:color w:val="000000"/>
          <w:sz w:val="72"/>
          <w:szCs w:val="72"/>
          <w:highlight w:val="none"/>
        </w:rPr>
      </w:pPr>
    </w:p>
    <w:p>
      <w:pPr>
        <w:autoSpaceDE w:val="0"/>
        <w:autoSpaceDN w:val="0"/>
        <w:adjustRightInd w:val="0"/>
        <w:snapToGrid w:val="0"/>
        <w:spacing w:before="156" w:beforeLines="50" w:beforeAutospacing="0" w:after="156" w:afterLines="50" w:afterAutospacing="0" w:line="440" w:lineRule="exact"/>
        <w:ind w:right="420" w:rightChars="200"/>
        <w:rPr>
          <w:rFonts w:hint="eastAsia" w:ascii="宋体" w:hAnsi="宋体" w:eastAsia="宋体" w:cs="宋体"/>
          <w:b/>
          <w:bCs/>
          <w:color w:val="000000"/>
          <w:sz w:val="72"/>
          <w:szCs w:val="72"/>
          <w:highlight w:val="none"/>
        </w:rPr>
      </w:pPr>
    </w:p>
    <w:p>
      <w:pPr>
        <w:autoSpaceDE w:val="0"/>
        <w:autoSpaceDN w:val="0"/>
        <w:adjustRightInd w:val="0"/>
        <w:snapToGrid w:val="0"/>
        <w:spacing w:before="156" w:beforeLines="50" w:beforeAutospacing="0" w:after="156" w:afterLines="50" w:afterAutospacing="0" w:line="440" w:lineRule="exact"/>
        <w:ind w:right="420" w:rightChars="200"/>
        <w:rPr>
          <w:rFonts w:hint="eastAsia" w:ascii="宋体" w:hAnsi="宋体" w:eastAsia="宋体" w:cs="宋体"/>
          <w:b/>
          <w:bCs/>
          <w:color w:val="000000"/>
          <w:sz w:val="72"/>
          <w:szCs w:val="72"/>
          <w:highlight w:val="none"/>
        </w:rPr>
      </w:pPr>
    </w:p>
    <w:p>
      <w:pPr>
        <w:autoSpaceDE w:val="0"/>
        <w:autoSpaceDN w:val="0"/>
        <w:adjustRightInd w:val="0"/>
        <w:snapToGrid w:val="0"/>
        <w:spacing w:before="156" w:beforeLines="50" w:beforeAutospacing="0" w:after="156" w:afterLines="50" w:afterAutospacing="0" w:line="440" w:lineRule="exact"/>
        <w:ind w:right="420" w:rightChars="200"/>
        <w:rPr>
          <w:rFonts w:hint="eastAsia" w:ascii="宋体" w:hAnsi="宋体" w:eastAsia="宋体" w:cs="宋体"/>
          <w:b/>
          <w:bCs/>
          <w:sz w:val="72"/>
          <w:szCs w:val="72"/>
          <w:highlight w:val="none"/>
        </w:rPr>
      </w:pPr>
    </w:p>
    <w:p>
      <w:pPr>
        <w:pStyle w:val="2"/>
        <w:rPr>
          <w:rFonts w:hint="eastAsia" w:ascii="宋体" w:hAnsi="宋体" w:eastAsia="宋体" w:cs="宋体"/>
          <w:b/>
          <w:bCs/>
          <w:sz w:val="72"/>
          <w:szCs w:val="72"/>
          <w:highlight w:val="none"/>
        </w:rPr>
      </w:pPr>
    </w:p>
    <w:p>
      <w:pPr>
        <w:pStyle w:val="2"/>
        <w:rPr>
          <w:rFonts w:hint="eastAsia" w:ascii="宋体" w:hAnsi="宋体" w:eastAsia="宋体" w:cs="宋体"/>
          <w:b/>
          <w:bCs/>
          <w:sz w:val="72"/>
          <w:szCs w:val="72"/>
          <w:highlight w:val="none"/>
        </w:rPr>
      </w:pPr>
    </w:p>
    <w:p>
      <w:pPr>
        <w:tabs>
          <w:tab w:val="left" w:pos="567"/>
        </w:tabs>
        <w:snapToGrid w:val="0"/>
        <w:spacing w:before="156" w:beforeLines="50" w:beforeAutospacing="0" w:after="156" w:afterLines="50" w:afterAutospacing="0" w:line="440" w:lineRule="exact"/>
        <w:ind w:left="2960" w:leftChars="480" w:hanging="1952" w:hangingChars="400"/>
        <w:rPr>
          <w:rFonts w:hint="eastAsia" w:ascii="宋体" w:hAnsi="宋体" w:eastAsia="宋体" w:cs="宋体"/>
          <w:sz w:val="32"/>
          <w:szCs w:val="32"/>
          <w:highlight w:val="none"/>
          <w:u w:val="single"/>
          <w:lang w:eastAsia="zh-CN"/>
        </w:rPr>
      </w:pPr>
      <w:r>
        <w:rPr>
          <w:rFonts w:hint="eastAsia" w:ascii="宋体" w:hAnsi="宋体" w:eastAsia="宋体" w:cs="宋体"/>
          <w:spacing w:val="84"/>
          <w:sz w:val="32"/>
          <w:szCs w:val="32"/>
          <w:highlight w:val="none"/>
        </w:rPr>
        <w:t>项目名称</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eastAsia="zh-CN"/>
        </w:rPr>
        <w:t>田林百矿田田碳素有限公司</w:t>
      </w:r>
    </w:p>
    <w:p>
      <w:pPr>
        <w:tabs>
          <w:tab w:val="left" w:pos="567"/>
        </w:tabs>
        <w:snapToGrid w:val="0"/>
        <w:spacing w:before="156" w:beforeLines="50" w:beforeAutospacing="0" w:after="156" w:afterLines="50" w:afterAutospacing="0" w:line="440" w:lineRule="exact"/>
        <w:ind w:left="2352" w:leftChars="1120" w:firstLine="960" w:firstLineChars="300"/>
        <w:rPr>
          <w:rFonts w:hint="eastAsia" w:ascii="宋体" w:hAnsi="宋体" w:eastAsia="宋体" w:cs="宋体"/>
          <w:sz w:val="32"/>
          <w:szCs w:val="32"/>
          <w:highlight w:val="none"/>
          <w:u w:val="single"/>
          <w:lang w:val="en-US"/>
        </w:rPr>
      </w:pPr>
      <w:r>
        <w:rPr>
          <w:rFonts w:hint="eastAsia" w:ascii="宋体" w:hAnsi="宋体" w:eastAsia="宋体" w:cs="宋体"/>
          <w:sz w:val="32"/>
          <w:szCs w:val="32"/>
          <w:highlight w:val="none"/>
          <w:u w:val="single"/>
          <w:lang w:eastAsia="zh-CN"/>
        </w:rPr>
        <w:t>沥青采购项目</w:t>
      </w:r>
      <w:r>
        <w:rPr>
          <w:rFonts w:hint="eastAsia" w:ascii="宋体" w:hAnsi="宋体" w:eastAsia="宋体" w:cs="宋体"/>
          <w:sz w:val="32"/>
          <w:szCs w:val="32"/>
          <w:highlight w:val="none"/>
          <w:u w:val="single"/>
          <w:lang w:val="en-US" w:eastAsia="zh-CN"/>
        </w:rPr>
        <w:t xml:space="preserve">           </w:t>
      </w:r>
    </w:p>
    <w:p>
      <w:pPr>
        <w:snapToGrid w:val="0"/>
        <w:spacing w:before="156" w:beforeLines="50" w:beforeAutospacing="0" w:after="156" w:afterLines="50" w:afterAutospacing="0" w:line="440" w:lineRule="exact"/>
        <w:ind w:firstLine="976" w:firstLineChars="200"/>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合同编号</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none"/>
        </w:rPr>
        <w:t xml:space="preserve">   </w:t>
      </w:r>
    </w:p>
    <w:p>
      <w:pPr>
        <w:snapToGrid w:val="0"/>
        <w:spacing w:before="156" w:beforeLines="50" w:beforeAutospacing="0" w:after="156" w:afterLines="50" w:afterAutospacing="0" w:line="440" w:lineRule="exact"/>
        <w:ind w:firstLine="976" w:firstLineChars="200"/>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签订地点</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eastAsia="zh-CN"/>
        </w:rPr>
        <w:t>广西田林县旧州镇</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none"/>
        </w:rPr>
        <w:t xml:space="preserve">           </w:t>
      </w:r>
      <w:r>
        <w:rPr>
          <w:rFonts w:hint="eastAsia" w:ascii="宋体" w:hAnsi="宋体" w:eastAsia="宋体" w:cs="宋体"/>
          <w:sz w:val="32"/>
          <w:szCs w:val="32"/>
          <w:highlight w:val="none"/>
          <w:u w:val="single"/>
        </w:rPr>
        <w:t xml:space="preserve">        </w:t>
      </w:r>
    </w:p>
    <w:p>
      <w:pPr>
        <w:snapToGrid w:val="0"/>
        <w:spacing w:before="156" w:beforeLines="50" w:beforeAutospacing="0" w:after="156" w:afterLines="50" w:afterAutospacing="0" w:line="440" w:lineRule="exact"/>
        <w:ind w:firstLine="976" w:firstLineChars="200"/>
        <w:rPr>
          <w:rFonts w:hint="eastAsia" w:ascii="宋体" w:hAnsi="宋体" w:eastAsia="宋体" w:cs="宋体"/>
          <w:sz w:val="32"/>
          <w:szCs w:val="32"/>
          <w:highlight w:val="none"/>
          <w:u w:val="single"/>
          <w:lang w:val="en-US" w:eastAsia="zh-CN"/>
        </w:rPr>
      </w:pPr>
      <w:r>
        <w:rPr>
          <w:rFonts w:hint="eastAsia" w:ascii="宋体" w:hAnsi="宋体" w:eastAsia="宋体" w:cs="宋体"/>
          <w:spacing w:val="84"/>
          <w:sz w:val="32"/>
          <w:szCs w:val="32"/>
          <w:highlight w:val="none"/>
        </w:rPr>
        <w:t>签订时间</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val="en-US" w:eastAsia="zh-CN"/>
        </w:rPr>
        <w:t>2024</w:t>
      </w:r>
      <w:r>
        <w:rPr>
          <w:rFonts w:hint="eastAsia" w:ascii="宋体" w:hAnsi="宋体" w:eastAsia="宋体" w:cs="宋体"/>
          <w:sz w:val="32"/>
          <w:szCs w:val="32"/>
          <w:highlight w:val="none"/>
          <w:u w:val="single"/>
        </w:rPr>
        <w:t>年</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月   日        </w:t>
      </w:r>
      <w:r>
        <w:rPr>
          <w:rFonts w:hint="eastAsia" w:ascii="宋体" w:hAnsi="宋体" w:eastAsia="宋体" w:cs="宋体"/>
          <w:sz w:val="32"/>
          <w:szCs w:val="32"/>
          <w:highlight w:val="none"/>
          <w:u w:val="single"/>
          <w:lang w:val="en-US" w:eastAsia="zh-CN"/>
        </w:rPr>
        <w:t xml:space="preserve"> </w:t>
      </w:r>
    </w:p>
    <w:p>
      <w:pPr>
        <w:jc w:val="center"/>
        <w:rPr>
          <w:rFonts w:hint="eastAsia" w:ascii="宋体" w:hAnsi="宋体" w:eastAsia="宋体" w:cs="宋体"/>
          <w:sz w:val="44"/>
          <w:szCs w:val="44"/>
          <w:lang w:eastAsia="zh-CN"/>
        </w:rPr>
        <w:sectPr>
          <w:footerReference r:id="rId3" w:type="default"/>
          <w:pgSz w:w="11906" w:h="16838"/>
          <w:pgMar w:top="1440" w:right="1800" w:bottom="1440" w:left="1800" w:header="851" w:footer="992" w:gutter="0"/>
          <w:pgNumType w:fmt="decimal" w:start="7"/>
          <w:cols w:space="425" w:num="1"/>
          <w:docGrid w:type="lines" w:linePitch="312" w:charSpace="0"/>
        </w:sectPr>
      </w:pPr>
    </w:p>
    <w:p>
      <w:pPr>
        <w:pStyle w:val="2"/>
        <w:rPr>
          <w:rFonts w:hint="eastAsia" w:ascii="宋体" w:hAnsi="宋体" w:eastAsia="宋体" w:cs="宋体"/>
          <w:lang w:eastAsia="zh-CN"/>
        </w:rPr>
      </w:pPr>
    </w:p>
    <w:p>
      <w:pPr>
        <w:ind w:firstLine="720" w:firstLineChars="200"/>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沥青采购合同</w:t>
      </w:r>
    </w:p>
    <w:p>
      <w:pPr>
        <w:ind w:firstLine="0" w:firstLineChars="0"/>
        <w:jc w:val="both"/>
        <w:rPr>
          <w:rFonts w:hint="eastAsia" w:ascii="宋体" w:hAnsi="宋体" w:eastAsia="宋体" w:cs="宋体"/>
          <w:sz w:val="24"/>
          <w:szCs w:val="24"/>
          <w:lang w:eastAsia="zh-CN"/>
        </w:rPr>
      </w:pPr>
    </w:p>
    <w:p>
      <w:pPr>
        <w:ind w:firstLine="0" w:firstLineChars="0"/>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买方（甲方）：</w:t>
      </w:r>
      <w:r>
        <w:rPr>
          <w:rFonts w:hint="eastAsia" w:ascii="宋体" w:hAnsi="宋体" w:eastAsia="宋体" w:cs="宋体"/>
          <w:sz w:val="24"/>
          <w:szCs w:val="24"/>
          <w:u w:val="single"/>
          <w:lang w:eastAsia="zh-CN"/>
        </w:rPr>
        <w:t>田林百矿田田碳素有限公司</w:t>
      </w:r>
      <w:r>
        <w:rPr>
          <w:rFonts w:hint="eastAsia" w:ascii="宋体" w:hAnsi="宋体" w:eastAsia="宋体" w:cs="宋体"/>
          <w:sz w:val="24"/>
          <w:szCs w:val="24"/>
          <w:u w:val="single"/>
          <w:lang w:val="en-US" w:eastAsia="zh-CN"/>
        </w:rPr>
        <w:t xml:space="preserve">     </w:t>
      </w:r>
    </w:p>
    <w:p>
      <w:pPr>
        <w:pStyle w:val="2"/>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bidi="ar-SA"/>
        </w:rPr>
        <w:t>统一社会信用代码：</w:t>
      </w:r>
      <w:r>
        <w:rPr>
          <w:rFonts w:hint="eastAsia" w:ascii="宋体" w:hAnsi="宋体" w:eastAsia="宋体" w:cs="宋体"/>
          <w:bCs/>
          <w:color w:val="auto"/>
          <w:sz w:val="24"/>
          <w:szCs w:val="24"/>
          <w:u w:val="single"/>
        </w:rPr>
        <w:t>91451029MA5LC22339</w:t>
      </w:r>
      <w:r>
        <w:rPr>
          <w:rFonts w:hint="eastAsia" w:ascii="宋体" w:hAnsi="宋体" w:eastAsia="宋体" w:cs="宋体"/>
          <w:bCs/>
          <w:color w:val="auto"/>
          <w:sz w:val="24"/>
          <w:szCs w:val="24"/>
          <w:u w:val="single"/>
          <w:lang w:val="en-US" w:eastAsia="zh-CN"/>
        </w:rPr>
        <w:t xml:space="preserve">       </w:t>
      </w:r>
    </w:p>
    <w:p>
      <w:pPr>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卖</w:t>
      </w:r>
      <w:r>
        <w:rPr>
          <w:rFonts w:hint="eastAsia" w:ascii="宋体" w:hAnsi="宋体" w:eastAsia="宋体" w:cs="宋体"/>
          <w:sz w:val="24"/>
          <w:szCs w:val="24"/>
          <w:lang w:eastAsia="zh-CN"/>
        </w:rPr>
        <w:t>方（乙方）：</w:t>
      </w:r>
      <w:r>
        <w:rPr>
          <w:rFonts w:hint="eastAsia" w:ascii="宋体" w:hAnsi="宋体" w:eastAsia="宋体" w:cs="宋体"/>
          <w:sz w:val="24"/>
          <w:szCs w:val="24"/>
          <w:u w:val="single"/>
          <w:lang w:val="en-US" w:eastAsia="zh-CN"/>
        </w:rPr>
        <w:t xml:space="preserve">                             </w:t>
      </w:r>
    </w:p>
    <w:p>
      <w:pPr>
        <w:pStyle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统一社会信用代码：</w:t>
      </w:r>
      <w:r>
        <w:rPr>
          <w:rFonts w:hint="eastAsia" w:ascii="宋体" w:hAnsi="宋体" w:eastAsia="宋体" w:cs="宋体"/>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为明确买卖双方权利、义务和责任，根据《中华人民共和国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》及相关法律法规的规定，</w:t>
      </w:r>
      <w:r>
        <w:rPr>
          <w:rFonts w:hint="eastAsia" w:ascii="宋体" w:hAnsi="宋体" w:eastAsia="宋体" w:cs="宋体"/>
          <w:color w:val="auto"/>
          <w:sz w:val="24"/>
          <w:szCs w:val="24"/>
          <w:lang w:val="en-US" w:eastAsia="zh-CN"/>
        </w:rPr>
        <w:t>本着自愿公平、诚实信用原则，</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买卖</w:t>
      </w:r>
      <w:r>
        <w:rPr>
          <w:rFonts w:hint="eastAsia" w:ascii="宋体" w:hAnsi="宋体" w:eastAsia="宋体" w:cs="宋体"/>
          <w:color w:val="auto"/>
          <w:sz w:val="24"/>
          <w:szCs w:val="24"/>
          <w:lang w:val="en-US" w:eastAsia="zh-CN"/>
        </w:rPr>
        <w:t>事宜，</w:t>
      </w:r>
      <w:r>
        <w:rPr>
          <w:rFonts w:hint="eastAsia" w:ascii="宋体" w:hAnsi="宋体" w:eastAsia="宋体" w:cs="宋体"/>
          <w:color w:val="auto"/>
          <w:sz w:val="24"/>
          <w:szCs w:val="24"/>
        </w:rPr>
        <w:t>经双方</w:t>
      </w:r>
      <w:r>
        <w:rPr>
          <w:rFonts w:hint="eastAsia" w:ascii="宋体" w:hAnsi="宋体" w:eastAsia="宋体" w:cs="宋体"/>
          <w:color w:val="auto"/>
          <w:sz w:val="24"/>
          <w:szCs w:val="24"/>
          <w:lang w:val="en-US" w:eastAsia="zh-CN"/>
        </w:rPr>
        <w:t>充分、</w:t>
      </w:r>
      <w:r>
        <w:rPr>
          <w:rFonts w:hint="eastAsia" w:ascii="宋体" w:hAnsi="宋体" w:eastAsia="宋体" w:cs="宋体"/>
          <w:color w:val="auto"/>
          <w:sz w:val="24"/>
          <w:szCs w:val="24"/>
        </w:rPr>
        <w:t>友好协商，</w:t>
      </w:r>
      <w:r>
        <w:rPr>
          <w:rFonts w:hint="eastAsia" w:ascii="宋体" w:hAnsi="宋体" w:eastAsia="宋体" w:cs="宋体"/>
          <w:color w:val="auto"/>
          <w:sz w:val="24"/>
          <w:szCs w:val="24"/>
          <w:lang w:eastAsia="zh-CN"/>
        </w:rPr>
        <w:t>特订立本合同，双方共同遵守。</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48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沥青技术指标</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1.1货物名称：</w:t>
      </w:r>
      <w:r>
        <w:rPr>
          <w:rFonts w:hint="eastAsia" w:ascii="宋体" w:hAnsi="宋体" w:eastAsia="宋体" w:cs="宋体"/>
          <w:color w:val="auto"/>
          <w:sz w:val="24"/>
          <w:szCs w:val="24"/>
          <w:lang w:val="en-US" w:eastAsia="zh-CN"/>
        </w:rPr>
        <w:t>沥青</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质量指标要求：</w:t>
      </w:r>
    </w:p>
    <w:tbl>
      <w:tblPr>
        <w:tblStyle w:val="12"/>
        <w:tblpPr w:leftFromText="180" w:rightFromText="180" w:vertAnchor="text" w:horzAnchor="page" w:tblpXSpec="center" w:tblpY="263"/>
        <w:tblOverlap w:val="never"/>
        <w:tblW w:w="9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08"/>
        <w:gridCol w:w="2738"/>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restart"/>
            <w:tcBorders>
              <w:bottom w:val="nil"/>
            </w:tcBorders>
            <w:vAlign w:val="top"/>
          </w:tcPr>
          <w:p>
            <w:pPr>
              <w:spacing w:line="249" w:lineRule="auto"/>
              <w:ind w:left="210" w:leftChars="100"/>
              <w:rPr>
                <w:rFonts w:hint="eastAsia" w:ascii="宋体" w:hAnsi="宋体" w:eastAsia="宋体" w:cs="宋体"/>
                <w:b/>
                <w:bCs/>
                <w:sz w:val="24"/>
                <w:szCs w:val="24"/>
              </w:rPr>
            </w:pPr>
          </w:p>
          <w:p>
            <w:pPr>
              <w:spacing w:line="249" w:lineRule="auto"/>
              <w:ind w:left="210" w:leftChars="100"/>
              <w:rPr>
                <w:rFonts w:hint="eastAsia" w:ascii="宋体" w:hAnsi="宋体" w:eastAsia="宋体" w:cs="宋体"/>
                <w:b/>
                <w:bCs/>
                <w:sz w:val="24"/>
                <w:szCs w:val="24"/>
              </w:rPr>
            </w:pPr>
          </w:p>
          <w:p>
            <w:pPr>
              <w:spacing w:before="91" w:line="222" w:lineRule="auto"/>
              <w:ind w:firstLine="1816" w:firstLineChars="800"/>
              <w:jc w:val="both"/>
              <w:rPr>
                <w:rFonts w:hint="eastAsia" w:ascii="宋体" w:hAnsi="宋体" w:eastAsia="宋体" w:cs="宋体"/>
                <w:b/>
                <w:bCs/>
                <w:sz w:val="24"/>
                <w:szCs w:val="24"/>
              </w:rPr>
            </w:pPr>
            <w:r>
              <w:rPr>
                <w:rFonts w:hint="eastAsia" w:ascii="宋体" w:hAnsi="宋体" w:eastAsia="宋体" w:cs="宋体"/>
                <w:b/>
                <w:bCs/>
                <w:spacing w:val="-7"/>
                <w:sz w:val="24"/>
                <w:szCs w:val="24"/>
              </w:rPr>
              <w:t>项</w:t>
            </w:r>
            <w:r>
              <w:rPr>
                <w:rFonts w:hint="eastAsia" w:ascii="宋体" w:hAnsi="宋体" w:eastAsia="宋体" w:cs="宋体"/>
                <w:b/>
                <w:bCs/>
                <w:spacing w:val="68"/>
                <w:sz w:val="24"/>
                <w:szCs w:val="24"/>
              </w:rPr>
              <w:t xml:space="preserve">  </w:t>
            </w:r>
            <w:r>
              <w:rPr>
                <w:rFonts w:hint="eastAsia" w:ascii="宋体" w:hAnsi="宋体" w:eastAsia="宋体" w:cs="宋体"/>
                <w:b/>
                <w:bCs/>
                <w:spacing w:val="-7"/>
                <w:sz w:val="24"/>
                <w:szCs w:val="24"/>
              </w:rPr>
              <w:t>目</w:t>
            </w: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24"/>
                <w:szCs w:val="24"/>
              </w:rPr>
            </w:pPr>
            <w:r>
              <w:rPr>
                <w:rFonts w:hint="eastAsia" w:ascii="宋体" w:hAnsi="宋体" w:eastAsia="宋体" w:cs="宋体"/>
                <w:b/>
                <w:bCs/>
                <w:spacing w:val="-6"/>
                <w:sz w:val="24"/>
                <w:szCs w:val="24"/>
              </w:rPr>
              <w:t>指</w:t>
            </w:r>
            <w:r>
              <w:rPr>
                <w:rFonts w:hint="eastAsia" w:ascii="宋体" w:hAnsi="宋体" w:eastAsia="宋体" w:cs="宋体"/>
                <w:b/>
                <w:bCs/>
                <w:spacing w:val="38"/>
                <w:sz w:val="24"/>
                <w:szCs w:val="24"/>
              </w:rPr>
              <w:t xml:space="preserve"> </w:t>
            </w:r>
            <w:r>
              <w:rPr>
                <w:rFonts w:hint="eastAsia" w:ascii="宋体" w:hAnsi="宋体" w:eastAsia="宋体" w:cs="宋体"/>
                <w:b/>
                <w:bCs/>
                <w:spacing w:val="-6"/>
                <w:sz w:val="24"/>
                <w:szCs w:val="24"/>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bottom w:val="nil"/>
            </w:tcBorders>
            <w:vAlign w:val="top"/>
          </w:tcPr>
          <w:p>
            <w:pPr>
              <w:ind w:left="210" w:leftChars="100"/>
              <w:rPr>
                <w:rFonts w:hint="eastAsia" w:ascii="宋体" w:hAnsi="宋体" w:eastAsia="宋体" w:cs="宋体"/>
                <w:b/>
                <w:bCs/>
                <w:sz w:val="24"/>
                <w:szCs w:val="24"/>
              </w:rPr>
            </w:pP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b/>
                <w:bCs/>
                <w:spacing w:val="4"/>
                <w:sz w:val="24"/>
                <w:szCs w:val="24"/>
              </w:rPr>
              <w:t>改质沥青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tcBorders>
            <w:vAlign w:val="top"/>
          </w:tcPr>
          <w:p>
            <w:pPr>
              <w:ind w:left="210" w:leftChars="100"/>
              <w:rPr>
                <w:rFonts w:hint="eastAsia" w:ascii="宋体" w:hAnsi="宋体" w:eastAsia="宋体" w:cs="宋体"/>
                <w:b/>
                <w:bCs/>
                <w:sz w:val="24"/>
                <w:szCs w:val="24"/>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固 体</w:t>
            </w:r>
          </w:p>
        </w:tc>
        <w:tc>
          <w:tcPr>
            <w:tcW w:w="234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液 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hint="eastAsia" w:ascii="宋体" w:hAnsi="宋体" w:eastAsia="宋体" w:cs="宋体"/>
                <w:sz w:val="24"/>
                <w:szCs w:val="24"/>
              </w:rPr>
            </w:pPr>
            <w:r>
              <w:rPr>
                <w:rFonts w:hint="eastAsia" w:ascii="宋体" w:hAnsi="宋体" w:eastAsia="宋体" w:cs="宋体"/>
                <w:spacing w:val="6"/>
                <w:sz w:val="24"/>
                <w:szCs w:val="24"/>
              </w:rPr>
              <w:t>软化点(环球法)/℃</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105～112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3"/>
                <w:sz w:val="24"/>
                <w:szCs w:val="24"/>
              </w:rPr>
              <w:t>105～112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50" w:firstLineChars="100"/>
              <w:jc w:val="both"/>
              <w:textAlignment w:val="auto"/>
              <w:rPr>
                <w:rFonts w:hint="eastAsia" w:ascii="宋体" w:hAnsi="宋体" w:eastAsia="宋体" w:cs="宋体"/>
                <w:sz w:val="24"/>
                <w:szCs w:val="24"/>
              </w:rPr>
            </w:pPr>
            <w:r>
              <w:rPr>
                <w:rFonts w:hint="eastAsia" w:ascii="宋体" w:hAnsi="宋体" w:eastAsia="宋体" w:cs="宋体"/>
                <w:spacing w:val="5"/>
                <w:sz w:val="24"/>
                <w:szCs w:val="24"/>
              </w:rPr>
              <w:t>甲苯不溶物含量(抽提法)/%(质量分数)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26～32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pacing w:val="-3"/>
                <w:kern w:val="2"/>
                <w:sz w:val="24"/>
                <w:szCs w:val="24"/>
                <w:lang w:val="en-US" w:eastAsia="zh-CN" w:bidi="ar-SA"/>
              </w:rPr>
            </w:pPr>
            <w:r>
              <w:rPr>
                <w:rFonts w:hint="eastAsia" w:ascii="宋体" w:hAnsi="宋体" w:eastAsia="宋体" w:cs="宋体"/>
                <w:spacing w:val="-3"/>
                <w:sz w:val="24"/>
                <w:szCs w:val="24"/>
              </w:rPr>
              <w:t>26～32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喹啉不溶物含量/%(质量分数)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6～12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2"/>
                <w:sz w:val="24"/>
                <w:szCs w:val="24"/>
              </w:rPr>
              <w:t>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hint="eastAsia" w:ascii="宋体" w:hAnsi="宋体" w:eastAsia="宋体" w:cs="宋体"/>
                <w:sz w:val="24"/>
                <w:szCs w:val="24"/>
              </w:rPr>
            </w:pPr>
            <w:r>
              <w:rPr>
                <w:rFonts w:hint="eastAsia" w:ascii="宋体" w:hAnsi="宋体" w:eastAsia="宋体" w:cs="宋体"/>
                <w:spacing w:val="7"/>
                <w:sz w:val="24"/>
                <w:szCs w:val="24"/>
                <w:highlight w:val="none"/>
              </w:rPr>
              <w:t>β树脂</w:t>
            </w:r>
            <w:r>
              <w:rPr>
                <w:rFonts w:hint="eastAsia" w:ascii="宋体" w:hAnsi="宋体" w:eastAsia="宋体" w:cs="宋体"/>
                <w:spacing w:val="7"/>
                <w:sz w:val="24"/>
                <w:szCs w:val="24"/>
              </w:rPr>
              <w:t>含量/%(质量分数)</w:t>
            </w:r>
            <w:r>
              <w:rPr>
                <w:rFonts w:hint="eastAsia" w:ascii="宋体" w:hAnsi="宋体" w:eastAsia="宋体" w:cs="宋体"/>
                <w:spacing w:val="5"/>
                <w:sz w:val="24"/>
                <w:szCs w:val="24"/>
              </w:rPr>
              <w:t xml:space="preserve">  </w:t>
            </w:r>
            <w:r>
              <w:rPr>
                <w:rFonts w:hint="eastAsia" w:ascii="宋体" w:hAnsi="宋体" w:eastAsia="宋体" w:cs="宋体"/>
                <w:spacing w:val="7"/>
                <w:sz w:val="24"/>
                <w:szCs w:val="24"/>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18</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8"/>
                <w:sz w:val="24"/>
                <w:szCs w:val="24"/>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hint="eastAsia" w:ascii="宋体" w:hAnsi="宋体" w:eastAsia="宋体" w:cs="宋体"/>
                <w:sz w:val="24"/>
                <w:szCs w:val="24"/>
              </w:rPr>
            </w:pPr>
            <w:r>
              <w:rPr>
                <w:rFonts w:hint="eastAsia" w:ascii="宋体" w:hAnsi="宋体" w:eastAsia="宋体" w:cs="宋体"/>
                <w:spacing w:val="7"/>
                <w:sz w:val="24"/>
                <w:szCs w:val="24"/>
              </w:rPr>
              <w:t>结焦值/%(质量分数)</w:t>
            </w:r>
            <w:r>
              <w:rPr>
                <w:rFonts w:hint="eastAsia" w:ascii="宋体" w:hAnsi="宋体" w:eastAsia="宋体" w:cs="宋体"/>
                <w:spacing w:val="6"/>
                <w:sz w:val="24"/>
                <w:szCs w:val="24"/>
              </w:rPr>
              <w:t xml:space="preserve">      </w:t>
            </w:r>
            <w:r>
              <w:rPr>
                <w:rFonts w:hint="eastAsia" w:ascii="宋体" w:hAnsi="宋体" w:eastAsia="宋体" w:cs="宋体"/>
                <w:spacing w:val="7"/>
                <w:sz w:val="24"/>
                <w:szCs w:val="24"/>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56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4"/>
                <w:sz w:val="24"/>
                <w:szCs w:val="24"/>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hint="eastAsia" w:ascii="宋体" w:hAnsi="宋体" w:eastAsia="宋体" w:cs="宋体"/>
                <w:sz w:val="24"/>
                <w:szCs w:val="24"/>
              </w:rPr>
            </w:pPr>
            <w:r>
              <w:rPr>
                <w:rFonts w:hint="eastAsia" w:ascii="宋体" w:hAnsi="宋体" w:eastAsia="宋体" w:cs="宋体"/>
                <w:spacing w:val="8"/>
                <w:sz w:val="24"/>
                <w:szCs w:val="24"/>
              </w:rPr>
              <w:t>灰分/%(质量分数)</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lang w:val="en-US" w:eastAsia="zh-CN"/>
              </w:rPr>
              <w:t xml:space="preserve"> </w:t>
            </w:r>
            <w:r>
              <w:rPr>
                <w:rFonts w:hint="eastAsia" w:ascii="宋体" w:hAnsi="宋体" w:eastAsia="宋体" w:cs="宋体"/>
                <w:spacing w:val="8"/>
                <w:sz w:val="24"/>
                <w:szCs w:val="24"/>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0.30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2"/>
                <w:sz w:val="24"/>
                <w:szCs w:val="24"/>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hint="eastAsia" w:ascii="宋体" w:hAnsi="宋体" w:eastAsia="宋体" w:cs="宋体"/>
                <w:sz w:val="24"/>
                <w:szCs w:val="24"/>
              </w:rPr>
            </w:pPr>
            <w:r>
              <w:rPr>
                <w:rFonts w:hint="eastAsia" w:ascii="宋体" w:hAnsi="宋体" w:eastAsia="宋体" w:cs="宋体"/>
                <w:spacing w:val="8"/>
                <w:sz w:val="24"/>
                <w:szCs w:val="24"/>
              </w:rPr>
              <w:t>水分/%(质量分数)</w:t>
            </w:r>
            <w:r>
              <w:rPr>
                <w:rFonts w:hint="eastAsia" w:ascii="宋体" w:hAnsi="宋体" w:eastAsia="宋体" w:cs="宋体"/>
                <w:spacing w:val="5"/>
                <w:sz w:val="24"/>
                <w:szCs w:val="24"/>
              </w:rPr>
              <w:t xml:space="preserve">       </w:t>
            </w:r>
            <w:r>
              <w:rPr>
                <w:rFonts w:hint="eastAsia" w:ascii="宋体" w:hAnsi="宋体" w:eastAsia="宋体" w:cs="宋体"/>
                <w:spacing w:val="8"/>
                <w:sz w:val="24"/>
                <w:szCs w:val="24"/>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4.0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2"/>
                <w:sz w:val="24"/>
                <w:szCs w:val="24"/>
                <w:lang w:val="en-US" w:eastAsia="zh-CN"/>
              </w:rPr>
              <w:t>0.2</w:t>
            </w:r>
          </w:p>
        </w:tc>
      </w:tr>
    </w:tbl>
    <w:p>
      <w:pPr>
        <w:keepNext w:val="0"/>
        <w:keepLines w:val="0"/>
        <w:pageBreakBefore w:val="0"/>
        <w:widowControl w:val="0"/>
        <w:kinsoku/>
        <w:wordWrap/>
        <w:overflowPunct/>
        <w:topLinePunct w:val="0"/>
        <w:bidi w:val="0"/>
        <w:snapToGrid/>
        <w:spacing w:beforeAutospacing="0" w:afterAutospacing="0" w:line="480" w:lineRule="exact"/>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2.数量及交货期限</w:t>
      </w:r>
    </w:p>
    <w:p>
      <w:pPr>
        <w:keepNext w:val="0"/>
        <w:keepLines w:val="0"/>
        <w:pageBreakBefore w:val="0"/>
        <w:widowControl w:val="0"/>
        <w:kinsoku/>
        <w:wordWrap/>
        <w:overflowPunct/>
        <w:topLinePunct w:val="0"/>
        <w:bidi w:val="0"/>
        <w:snapToGrid/>
        <w:spacing w:before="156" w:beforeLines="50" w:beforeAutospacing="0" w:after="156" w:afterLines="50" w:afterAutospacing="0"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总数量：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上下浮动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before="156" w:beforeLines="50" w:beforeAutospacing="0" w:after="156" w:afterLines="50" w:afterAutospacing="0" w:line="48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2.2 交货期</w:t>
      </w:r>
      <w:r>
        <w:rPr>
          <w:rFonts w:hint="eastAsia" w:ascii="宋体" w:hAnsi="宋体" w:eastAsia="宋体" w:cs="宋体"/>
          <w:color w:val="auto"/>
          <w:sz w:val="24"/>
          <w:szCs w:val="24"/>
          <w:lang w:val="en-US" w:eastAsia="zh-CN"/>
        </w:rPr>
        <w:t>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年  月   日至   年  月  日</w:t>
      </w:r>
    </w:p>
    <w:p>
      <w:pPr>
        <w:pStyle w:val="2"/>
        <w:keepNext w:val="0"/>
        <w:keepLines w:val="0"/>
        <w:pageBreakBefore w:val="0"/>
        <w:widowControl w:val="0"/>
        <w:kinsoku/>
        <w:wordWrap/>
        <w:overflowPunct/>
        <w:topLinePunct w:val="0"/>
        <w:bidi w:val="0"/>
        <w:snapToGrid/>
        <w:spacing w:beforeAutospacing="0" w:afterAutospacing="0"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2.2.1交货时间表：</w:t>
      </w:r>
    </w:p>
    <w:tbl>
      <w:tblPr>
        <w:tblStyle w:val="9"/>
        <w:tblpPr w:leftFromText="180" w:rightFromText="180" w:vertAnchor="text" w:horzAnchor="page" w:tblpXSpec="center" w:tblpY="403"/>
        <w:tblOverlap w:val="never"/>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3593"/>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179" w:type="dxa"/>
            <w:vAlign w:val="center"/>
          </w:tcPr>
          <w:p>
            <w:pPr>
              <w:pStyle w:val="13"/>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供货时间</w:t>
            </w:r>
          </w:p>
        </w:tc>
        <w:tc>
          <w:tcPr>
            <w:tcW w:w="3593" w:type="dxa"/>
            <w:vAlign w:val="center"/>
          </w:tcPr>
          <w:p>
            <w:pPr>
              <w:pStyle w:val="13"/>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年 月 日-</w:t>
            </w:r>
          </w:p>
          <w:p>
            <w:pPr>
              <w:pStyle w:val="13"/>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月 日</w:t>
            </w:r>
          </w:p>
        </w:tc>
        <w:tc>
          <w:tcPr>
            <w:tcW w:w="3593" w:type="dxa"/>
            <w:vAlign w:val="center"/>
          </w:tcPr>
          <w:p>
            <w:pPr>
              <w:pStyle w:val="13"/>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年 月 日-</w:t>
            </w:r>
          </w:p>
          <w:p>
            <w:pPr>
              <w:pStyle w:val="13"/>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179" w:type="dxa"/>
            <w:vAlign w:val="center"/>
          </w:tcPr>
          <w:p>
            <w:pPr>
              <w:pStyle w:val="13"/>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供货量（吨）</w:t>
            </w:r>
          </w:p>
        </w:tc>
        <w:tc>
          <w:tcPr>
            <w:tcW w:w="3593" w:type="dxa"/>
            <w:vAlign w:val="center"/>
          </w:tcPr>
          <w:p>
            <w:pPr>
              <w:pStyle w:val="13"/>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吨</w:t>
            </w:r>
          </w:p>
        </w:tc>
        <w:tc>
          <w:tcPr>
            <w:tcW w:w="3593" w:type="dxa"/>
            <w:vAlign w:val="center"/>
          </w:tcPr>
          <w:p>
            <w:pPr>
              <w:pStyle w:val="13"/>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吨</w:t>
            </w:r>
          </w:p>
        </w:tc>
      </w:tr>
    </w:tbl>
    <w:p>
      <w:pPr>
        <w:keepNext w:val="0"/>
        <w:keepLines w:val="0"/>
        <w:pageBreakBefore w:val="0"/>
        <w:widowControl w:val="0"/>
        <w:kinsoku/>
        <w:wordWrap/>
        <w:overflowPunct/>
        <w:topLinePunct w:val="0"/>
        <w:bidi w:val="0"/>
        <w:spacing w:beforeAutospacing="0" w:afterAutospacing="0" w:line="486"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最终以双方书面确认的交货数量为准，结算数量以实际过磅到货量为准。卖方按买方要求数量交货，</w:t>
      </w:r>
      <w:r>
        <w:rPr>
          <w:rFonts w:hint="eastAsia" w:ascii="宋体" w:hAnsi="宋体" w:eastAsia="宋体" w:cs="宋体"/>
          <w:color w:val="auto"/>
          <w:sz w:val="24"/>
          <w:szCs w:val="24"/>
          <w:highlight w:val="none"/>
          <w:lang w:val="en-US" w:eastAsia="zh-CN"/>
        </w:rPr>
        <w:t>当月</w:t>
      </w:r>
      <w:r>
        <w:rPr>
          <w:rFonts w:hint="eastAsia" w:ascii="宋体" w:hAnsi="宋体" w:eastAsia="宋体" w:cs="宋体"/>
          <w:color w:val="auto"/>
          <w:sz w:val="24"/>
          <w:szCs w:val="24"/>
          <w:highlight w:val="none"/>
        </w:rPr>
        <w:t>正常交货时交货误差值为正误差，如改变交货差额正负差额由买方提前30天发函确认。</w:t>
      </w:r>
    </w:p>
    <w:p>
      <w:pPr>
        <w:keepNext w:val="0"/>
        <w:keepLines w:val="0"/>
        <w:pageBreakBefore w:val="0"/>
        <w:widowControl w:val="0"/>
        <w:kinsoku/>
        <w:wordWrap/>
        <w:overflowPunct/>
        <w:topLinePunct w:val="0"/>
        <w:bidi w:val="0"/>
        <w:spacing w:beforeAutospacing="0" w:afterAutospacing="0" w:line="486"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卖方应满足买方确定的需求量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每月足额交付合同项下标的物</w:t>
      </w:r>
      <w:r>
        <w:rPr>
          <w:rFonts w:hint="eastAsia" w:ascii="宋体" w:hAnsi="宋体" w:eastAsia="宋体" w:cs="宋体"/>
          <w:color w:val="auto"/>
          <w:sz w:val="24"/>
          <w:szCs w:val="24"/>
          <w:highlight w:val="none"/>
        </w:rPr>
        <w:t>。如因自身问题不能满足需求时，卖方应提前30天以书面方式通知买方并取得书面同意；如因买方自身问题减少需求量时，买方应提前30天以书面方式通知卖方。</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3.运输方式及目的地</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3.1 </w:t>
      </w:r>
      <w:r>
        <w:rPr>
          <w:rFonts w:hint="eastAsia" w:ascii="宋体" w:hAnsi="宋体" w:eastAsia="宋体" w:cs="宋体"/>
          <w:bCs/>
          <w:color w:val="auto"/>
          <w:sz w:val="24"/>
          <w:szCs w:val="24"/>
        </w:rPr>
        <w:t>运输方式：</w:t>
      </w:r>
      <w:r>
        <w:rPr>
          <w:rFonts w:hint="eastAsia" w:ascii="宋体" w:hAnsi="宋体" w:eastAsia="宋体" w:cs="宋体"/>
          <w:bCs/>
          <w:color w:val="auto"/>
          <w:sz w:val="24"/>
          <w:szCs w:val="24"/>
          <w:lang w:eastAsia="zh-CN"/>
        </w:rPr>
        <w:t>产品运输由卖方负责，</w:t>
      </w:r>
      <w:r>
        <w:rPr>
          <w:rFonts w:hint="eastAsia" w:ascii="宋体" w:hAnsi="宋体" w:eastAsia="宋体" w:cs="宋体"/>
          <w:color w:val="auto"/>
          <w:sz w:val="24"/>
          <w:szCs w:val="24"/>
          <w:lang w:eastAsia="zh-CN"/>
        </w:rPr>
        <w:t>卖方自行决定采用何种运输方式，</w:t>
      </w:r>
      <w:r>
        <w:rPr>
          <w:rFonts w:hint="eastAsia" w:ascii="宋体" w:hAnsi="宋体" w:eastAsia="宋体" w:cs="宋体"/>
          <w:color w:val="auto"/>
          <w:sz w:val="24"/>
          <w:szCs w:val="24"/>
          <w:lang w:val="en-US" w:eastAsia="zh-CN"/>
        </w:rPr>
        <w:t>但运输工具必须符合国家法定要求。</w:t>
      </w:r>
    </w:p>
    <w:p>
      <w:pPr>
        <w:pStyle w:val="2"/>
        <w:keepNext w:val="0"/>
        <w:keepLines w:val="0"/>
        <w:pageBreakBefore w:val="0"/>
        <w:widowControl w:val="0"/>
        <w:kinsoku/>
        <w:wordWrap/>
        <w:overflowPunct/>
        <w:topLinePunct w:val="0"/>
        <w:bidi w:val="0"/>
        <w:spacing w:beforeAutospacing="0" w:afterAutospacing="0" w:line="486" w:lineRule="exact"/>
        <w:ind w:firstLine="64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 xml:space="preserve">3.2 </w:t>
      </w:r>
      <w:r>
        <w:rPr>
          <w:rFonts w:hint="eastAsia" w:ascii="宋体" w:hAnsi="宋体" w:eastAsia="宋体" w:cs="宋体"/>
          <w:color w:val="auto"/>
          <w:kern w:val="2"/>
          <w:sz w:val="24"/>
          <w:szCs w:val="24"/>
        </w:rPr>
        <w:t>货物运输要求有良好的防潮、防</w:t>
      </w:r>
      <w:r>
        <w:rPr>
          <w:rFonts w:hint="eastAsia" w:ascii="宋体" w:hAnsi="宋体" w:eastAsia="宋体" w:cs="宋体"/>
          <w:color w:val="auto"/>
          <w:kern w:val="2"/>
          <w:sz w:val="24"/>
          <w:szCs w:val="24"/>
          <w:lang w:val="en-US" w:eastAsia="zh-CN"/>
        </w:rPr>
        <w:t>散落、防污染</w:t>
      </w:r>
      <w:r>
        <w:rPr>
          <w:rFonts w:hint="eastAsia" w:ascii="宋体" w:hAnsi="宋体" w:eastAsia="宋体" w:cs="宋体"/>
          <w:color w:val="auto"/>
          <w:kern w:val="2"/>
          <w:sz w:val="24"/>
          <w:szCs w:val="24"/>
        </w:rPr>
        <w:t>等保护措施。</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。运输过程中必须有防雨措施，务使货物在运输途中不受雨淋水浸。</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486" w:lineRule="exact"/>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交付地点</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卖方将货物运至买方</w:t>
      </w:r>
      <w:r>
        <w:rPr>
          <w:rFonts w:hint="eastAsia" w:ascii="宋体" w:hAnsi="宋体" w:eastAsia="宋体" w:cs="宋体"/>
          <w:color w:val="auto"/>
          <w:sz w:val="24"/>
          <w:szCs w:val="24"/>
        </w:rPr>
        <w:t>广西田林县旧州镇板坚村桂黔（田林）经济合作产业园区田林百矿田田碳素有限公司</w:t>
      </w:r>
      <w:r>
        <w:rPr>
          <w:rFonts w:hint="eastAsia" w:ascii="宋体" w:hAnsi="宋体" w:eastAsia="宋体" w:cs="宋体"/>
          <w:color w:val="auto"/>
          <w:sz w:val="24"/>
          <w:szCs w:val="24"/>
          <w:lang w:val="en-US" w:eastAsia="zh-CN"/>
        </w:rPr>
        <w:t>煅烧车间生产</w:t>
      </w:r>
      <w:r>
        <w:rPr>
          <w:rFonts w:hint="eastAsia" w:ascii="宋体" w:hAnsi="宋体" w:eastAsia="宋体" w:cs="宋体"/>
          <w:color w:val="auto"/>
          <w:sz w:val="24"/>
          <w:szCs w:val="24"/>
        </w:rPr>
        <w:t>现场</w:t>
      </w:r>
      <w:r>
        <w:rPr>
          <w:rFonts w:hint="eastAsia" w:ascii="宋体" w:hAnsi="宋体" w:eastAsia="宋体" w:cs="宋体"/>
          <w:color w:val="auto"/>
          <w:sz w:val="24"/>
          <w:szCs w:val="24"/>
          <w:lang w:val="en-US" w:eastAsia="zh-CN"/>
        </w:rPr>
        <w:t>。</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486"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 交货方式：</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全部配送到</w:t>
      </w:r>
      <w:r>
        <w:rPr>
          <w:rFonts w:hint="eastAsia" w:ascii="宋体" w:hAnsi="宋体" w:eastAsia="宋体" w:cs="宋体"/>
          <w:color w:val="auto"/>
          <w:sz w:val="24"/>
          <w:szCs w:val="24"/>
          <w:lang w:eastAsia="zh-CN"/>
        </w:rPr>
        <w:t>买方</w:t>
      </w:r>
      <w:r>
        <w:rPr>
          <w:rFonts w:hint="eastAsia" w:ascii="宋体" w:hAnsi="宋体" w:eastAsia="宋体" w:cs="宋体"/>
          <w:color w:val="auto"/>
          <w:sz w:val="24"/>
          <w:szCs w:val="24"/>
          <w:lang w:val="en-US" w:eastAsia="zh-CN"/>
        </w:rPr>
        <w:t>生产</w:t>
      </w:r>
      <w:r>
        <w:rPr>
          <w:rFonts w:hint="eastAsia" w:ascii="宋体" w:hAnsi="宋体" w:eastAsia="宋体" w:cs="宋体"/>
          <w:color w:val="auto"/>
          <w:sz w:val="24"/>
          <w:szCs w:val="24"/>
        </w:rPr>
        <w:t>现场，并根据本</w:t>
      </w:r>
      <w:r>
        <w:rPr>
          <w:rFonts w:hint="eastAsia" w:ascii="宋体" w:hAnsi="宋体" w:eastAsia="宋体" w:cs="宋体"/>
          <w:color w:val="auto"/>
          <w:sz w:val="24"/>
          <w:szCs w:val="24"/>
          <w:lang w:eastAsia="zh-CN"/>
        </w:rPr>
        <w:t>技术任务书</w:t>
      </w:r>
      <w:r>
        <w:rPr>
          <w:rFonts w:hint="eastAsia" w:ascii="宋体" w:hAnsi="宋体" w:eastAsia="宋体" w:cs="宋体"/>
          <w:color w:val="auto"/>
          <w:sz w:val="24"/>
          <w:szCs w:val="24"/>
        </w:rPr>
        <w:t>规定的标准、规程、规范进行验收，</w:t>
      </w:r>
      <w:r>
        <w:rPr>
          <w:rFonts w:hint="eastAsia" w:ascii="宋体" w:hAnsi="宋体" w:eastAsia="宋体" w:cs="宋体"/>
          <w:color w:val="auto"/>
          <w:sz w:val="24"/>
          <w:szCs w:val="24"/>
          <w:lang w:val="en-US" w:eastAsia="zh-CN"/>
        </w:rPr>
        <w:t>验收合格后</w:t>
      </w:r>
      <w:r>
        <w:rPr>
          <w:rFonts w:hint="eastAsia" w:ascii="宋体" w:hAnsi="宋体" w:eastAsia="宋体" w:cs="宋体"/>
          <w:color w:val="auto"/>
          <w:sz w:val="24"/>
          <w:szCs w:val="24"/>
        </w:rPr>
        <w:t>货物的所有权及货物损毁灭失风险</w:t>
      </w:r>
      <w:r>
        <w:rPr>
          <w:rFonts w:hint="eastAsia" w:ascii="宋体" w:hAnsi="宋体" w:eastAsia="宋体" w:cs="宋体"/>
          <w:color w:val="auto"/>
          <w:sz w:val="24"/>
          <w:szCs w:val="24"/>
          <w:lang w:val="en-US" w:eastAsia="zh-CN"/>
        </w:rPr>
        <w:t>才</w:t>
      </w:r>
      <w:r>
        <w:rPr>
          <w:rFonts w:hint="eastAsia" w:ascii="宋体" w:hAnsi="宋体" w:eastAsia="宋体" w:cs="宋体"/>
          <w:color w:val="auto"/>
          <w:sz w:val="24"/>
          <w:szCs w:val="24"/>
        </w:rPr>
        <w:t>转移给买方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在货物交付完成前，</w:t>
      </w:r>
      <w:r>
        <w:rPr>
          <w:rFonts w:hint="eastAsia" w:ascii="宋体" w:hAnsi="宋体" w:eastAsia="宋体" w:cs="宋体"/>
          <w:color w:val="auto"/>
          <w:sz w:val="24"/>
          <w:szCs w:val="24"/>
        </w:rPr>
        <w:t>货物</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损毁灭失风险</w:t>
      </w:r>
      <w:r>
        <w:rPr>
          <w:rFonts w:hint="eastAsia" w:ascii="宋体" w:hAnsi="宋体" w:eastAsia="宋体" w:cs="宋体"/>
          <w:color w:val="auto"/>
          <w:sz w:val="24"/>
          <w:szCs w:val="24"/>
          <w:lang w:val="en-US" w:eastAsia="zh-CN"/>
        </w:rPr>
        <w:t>由卖方自行承担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4.价格</w:t>
      </w:r>
    </w:p>
    <w:p>
      <w:pPr>
        <w:keepNext w:val="0"/>
        <w:keepLines w:val="0"/>
        <w:pageBreakBefore w:val="0"/>
        <w:widowControl w:val="0"/>
        <w:kinsoku/>
        <w:wordWrap/>
        <w:overflowPunct/>
        <w:topLinePunct w:val="0"/>
        <w:bidi w:val="0"/>
        <w:adjustRightInd w:val="0"/>
        <w:snapToGrid w:val="0"/>
        <w:spacing w:before="93" w:beforeLines="30" w:beforeAutospacing="0" w:after="93" w:afterLines="30" w:afterAutospacing="0" w:line="486"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en-US" w:eastAsia="zh-CN"/>
        </w:rPr>
        <w:t>4.1沥青</w:t>
      </w:r>
      <w:r>
        <w:rPr>
          <w:rFonts w:hint="eastAsia" w:ascii="宋体" w:hAnsi="宋体" w:eastAsia="宋体" w:cs="宋体"/>
          <w:color w:val="auto"/>
          <w:sz w:val="24"/>
          <w:szCs w:val="24"/>
          <w:u w:val="none"/>
          <w:lang w:val="en-US" w:eastAsia="zh-CN"/>
        </w:rPr>
        <w:t>基准价格为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元/吨</w:t>
      </w:r>
      <w:r>
        <w:rPr>
          <w:rFonts w:hint="eastAsia" w:ascii="宋体" w:hAnsi="宋体" w:eastAsia="宋体" w:cs="宋体"/>
          <w:color w:val="auto"/>
          <w:sz w:val="24"/>
          <w:szCs w:val="24"/>
          <w:lang w:eastAsia="zh-CN"/>
        </w:rPr>
        <w:t>。</w:t>
      </w:r>
    </w:p>
    <w:p>
      <w:pPr>
        <w:keepNext w:val="0"/>
        <w:keepLines w:val="0"/>
        <w:pageBreakBefore w:val="0"/>
        <w:widowControl w:val="0"/>
        <w:tabs>
          <w:tab w:val="left" w:pos="567"/>
        </w:tabs>
        <w:kinsoku/>
        <w:wordWrap/>
        <w:overflowPunct/>
        <w:topLinePunct w:val="0"/>
        <w:bidi w:val="0"/>
        <w:snapToGrid w:val="0"/>
        <w:spacing w:before="0" w:beforeLines="-2147483648" w:beforeAutospacing="0" w:after="0" w:afterLines="-2147483648" w:afterAutospacing="0" w:line="486"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4.2本价格包含13%的增值税，若遇国家税率调整，应按调整后的最新税率计付合同款项，即合同不含税价格不受国家税率调整的影响。</w:t>
      </w:r>
    </w:p>
    <w:p>
      <w:pPr>
        <w:pStyle w:val="14"/>
        <w:keepNext w:val="0"/>
        <w:keepLines w:val="0"/>
        <w:pageBreakBefore w:val="0"/>
        <w:widowControl w:val="0"/>
        <w:kinsoku/>
        <w:wordWrap/>
        <w:overflowPunct/>
        <w:topLinePunct w:val="0"/>
        <w:bidi w:val="0"/>
        <w:spacing w:before="93" w:beforeAutospacing="0" w:after="93" w:afterAutospacing="0" w:line="486" w:lineRule="exac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5.数量及重量核</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双方同意以买方指定收货地磅单的实际重量为结算依据，合理磅差为±3</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，差额超过时协商处理。卖方必须是在符合国家规定的地磅进行过磅，并且提供机打榜单，如因卖方在不符合规定的地磅过磅从而导致差额的，按轻的重量结算。</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.结算与付款</w:t>
      </w:r>
    </w:p>
    <w:p>
      <w:pPr>
        <w:pStyle w:val="2"/>
        <w:keepNext w:val="0"/>
        <w:keepLines w:val="0"/>
        <w:pageBreakBefore w:val="0"/>
        <w:kinsoku/>
        <w:wordWrap/>
        <w:overflowPunct/>
        <w:topLinePunct w:val="0"/>
        <w:bidi w:val="0"/>
        <w:spacing w:line="49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bidi="ar-SA"/>
        </w:rPr>
        <w:t>6.1本合同支付方式：</w:t>
      </w:r>
      <w:r>
        <w:rPr>
          <w:rFonts w:hint="eastAsia" w:ascii="宋体" w:hAnsi="宋体" w:eastAsia="宋体" w:cs="宋体"/>
          <w:color w:val="auto"/>
          <w:kern w:val="2"/>
          <w:sz w:val="24"/>
          <w:szCs w:val="24"/>
          <w:u w:val="single"/>
          <w:lang w:val="en-US" w:eastAsia="zh-CN" w:bidi="ar-SA"/>
        </w:rPr>
        <w:t>电汇</w:t>
      </w:r>
      <w:r>
        <w:rPr>
          <w:rFonts w:hint="eastAsia" w:ascii="宋体" w:hAnsi="宋体" w:eastAsia="宋体" w:cs="宋体"/>
          <w:color w:val="auto"/>
          <w:kern w:val="2"/>
          <w:sz w:val="24"/>
          <w:szCs w:val="24"/>
          <w:lang w:val="en-US" w:eastAsia="zh-CN" w:bidi="ar-SA"/>
        </w:rPr>
        <w:t>。</w:t>
      </w:r>
    </w:p>
    <w:p>
      <w:pPr>
        <w:keepNext w:val="0"/>
        <w:keepLines w:val="0"/>
        <w:pageBreakBefore w:val="0"/>
        <w:kinsoku/>
        <w:wordWrap/>
        <w:overflowPunct/>
        <w:topLinePunct w:val="0"/>
        <w:bidi w:val="0"/>
        <w:spacing w:line="49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6.</w:t>
      </w:r>
      <w:r>
        <w:rPr>
          <w:rFonts w:hint="eastAsia" w:ascii="宋体" w:hAnsi="宋体" w:eastAsia="宋体" w:cs="宋体"/>
          <w:sz w:val="24"/>
          <w:szCs w:val="24"/>
          <w:lang w:val="en-US" w:eastAsia="zh-CN"/>
        </w:rPr>
        <w:t>2</w:t>
      </w:r>
      <w:r>
        <w:rPr>
          <w:rFonts w:hint="eastAsia" w:ascii="宋体" w:hAnsi="宋体" w:eastAsia="宋体" w:cs="宋体"/>
          <w:sz w:val="24"/>
          <w:szCs w:val="24"/>
        </w:rPr>
        <w:t>结算方式：先货后款，签订合同后按约定的月交货量开始供货，到货量按当月验收合格的实际交货量及考核指标化验结果进行结算；卖方按约定时间交货后，买卖双方应于5个工作日内核定该批数量、价格及质量并确认（存在质量异议除外），以买方化验结果和磅单的实际收货重量作为结算依据办理结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吨结算一次</w:t>
      </w:r>
    </w:p>
    <w:p>
      <w:pPr>
        <w:pStyle w:val="14"/>
        <w:keepNext w:val="0"/>
        <w:keepLines w:val="0"/>
        <w:pageBreakBefore w:val="0"/>
        <w:kinsoku/>
        <w:wordWrap/>
        <w:overflowPunct/>
        <w:topLinePunct w:val="0"/>
        <w:bidi w:val="0"/>
        <w:spacing w:before="156" w:beforeLines="50" w:after="156" w:afterLines="50" w:line="4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卖方按本批次结算金额向买方开具增值税专用发票，买方在收增值税专用发票后</w:t>
      </w:r>
      <w:r>
        <w:rPr>
          <w:rFonts w:hint="eastAsia" w:ascii="宋体" w:hAnsi="宋体" w:eastAsia="宋体" w:cs="宋体"/>
          <w:color w:val="auto"/>
          <w:sz w:val="24"/>
          <w:szCs w:val="24"/>
          <w:u w:val="single"/>
          <w:lang w:val="en-US" w:eastAsia="zh-CN"/>
        </w:rPr>
        <w:t>45</w:t>
      </w:r>
      <w:r>
        <w:rPr>
          <w:rFonts w:hint="eastAsia" w:ascii="宋体" w:hAnsi="宋体" w:eastAsia="宋体" w:cs="宋体"/>
          <w:color w:val="auto"/>
          <w:sz w:val="24"/>
          <w:szCs w:val="24"/>
        </w:rPr>
        <w:t>天付款，如遇节假日相应顺延。</w:t>
      </w:r>
    </w:p>
    <w:p>
      <w:pPr>
        <w:pStyle w:val="14"/>
        <w:keepNext w:val="0"/>
        <w:keepLines w:val="0"/>
        <w:pageBreakBefore w:val="0"/>
        <w:kinsoku/>
        <w:wordWrap/>
        <w:overflowPunct/>
        <w:topLinePunct w:val="0"/>
        <w:bidi w:val="0"/>
        <w:spacing w:before="156" w:beforeLines="50" w:after="156" w:afterLines="50" w:line="49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买方每次付款前，卖方均应向买方开具13%增值税专用发票，否则买方有权拒绝付款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并不承担</w:t>
      </w:r>
      <w:r>
        <w:rPr>
          <w:rFonts w:hint="eastAsia" w:ascii="宋体" w:hAnsi="宋体" w:eastAsia="宋体" w:cs="宋体"/>
          <w:color w:val="auto"/>
          <w:sz w:val="24"/>
          <w:szCs w:val="24"/>
          <w:lang w:val="en-US" w:eastAsia="zh-CN"/>
        </w:rPr>
        <w:t>违约</w:t>
      </w:r>
      <w:r>
        <w:rPr>
          <w:rFonts w:hint="eastAsia" w:ascii="宋体" w:hAnsi="宋体" w:eastAsia="宋体" w:cs="宋体"/>
          <w:color w:val="auto"/>
          <w:sz w:val="24"/>
          <w:szCs w:val="24"/>
        </w:rPr>
        <w:t>责任。</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.质量要求</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沥青的质量要求以第</w:t>
      </w:r>
      <w:r>
        <w:rPr>
          <w:rFonts w:hint="eastAsia" w:ascii="宋体" w:hAnsi="宋体" w:eastAsia="宋体" w:cs="宋体"/>
          <w:color w:val="auto"/>
          <w:sz w:val="24"/>
          <w:szCs w:val="24"/>
          <w:lang w:val="en-US" w:eastAsia="zh-CN"/>
        </w:rPr>
        <w:t>1.2条为准。</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.2卖方</w:t>
      </w:r>
      <w:r>
        <w:rPr>
          <w:rFonts w:hint="eastAsia" w:ascii="宋体" w:hAnsi="宋体" w:eastAsia="宋体" w:cs="宋体"/>
          <w:color w:val="auto"/>
          <w:sz w:val="24"/>
          <w:szCs w:val="24"/>
          <w:lang w:eastAsia="zh-CN"/>
        </w:rPr>
        <w:t>所供产品</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第</w:t>
      </w:r>
      <w:r>
        <w:rPr>
          <w:rFonts w:hint="eastAsia" w:ascii="宋体" w:hAnsi="宋体" w:eastAsia="宋体" w:cs="宋体"/>
          <w:color w:val="auto"/>
          <w:sz w:val="24"/>
          <w:szCs w:val="24"/>
          <w:lang w:val="en-US" w:eastAsia="zh-CN"/>
        </w:rPr>
        <w:t>1.2条</w:t>
      </w:r>
      <w:r>
        <w:rPr>
          <w:rFonts w:hint="eastAsia" w:ascii="宋体" w:hAnsi="宋体" w:eastAsia="宋体" w:cs="宋体"/>
          <w:color w:val="auto"/>
          <w:sz w:val="24"/>
          <w:szCs w:val="24"/>
          <w:lang w:eastAsia="zh-CN"/>
        </w:rPr>
        <w:t>质量要求</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可选择以下任一办法执行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买方同意降低标准使用，</w:t>
      </w:r>
      <w:r>
        <w:rPr>
          <w:rFonts w:hint="eastAsia" w:ascii="宋体" w:hAnsi="宋体" w:eastAsia="宋体" w:cs="宋体"/>
          <w:color w:val="auto"/>
          <w:sz w:val="24"/>
          <w:szCs w:val="24"/>
          <w:lang w:val="en-US" w:eastAsia="zh-CN"/>
        </w:rPr>
        <w:t>但应</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附件2</w:t>
      </w: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（沥青）理化性能质量考核细则</w:t>
      </w:r>
      <w:r>
        <w:rPr>
          <w:rFonts w:hint="eastAsia" w:ascii="宋体" w:hAnsi="宋体" w:eastAsia="宋体" w:cs="宋体"/>
          <w:color w:val="auto"/>
          <w:sz w:val="24"/>
          <w:szCs w:val="24"/>
        </w:rPr>
        <w:t>》规定</w:t>
      </w:r>
      <w:r>
        <w:rPr>
          <w:rFonts w:hint="eastAsia" w:ascii="宋体" w:hAnsi="宋体" w:eastAsia="宋体" w:cs="宋体"/>
          <w:color w:val="auto"/>
          <w:sz w:val="24"/>
          <w:szCs w:val="24"/>
          <w:lang w:eastAsia="zh-CN"/>
        </w:rPr>
        <w:t>进行扣款。</w:t>
      </w:r>
    </w:p>
    <w:p>
      <w:pPr>
        <w:keepNext w:val="0"/>
        <w:keepLines w:val="0"/>
        <w:pageBreakBefore w:val="0"/>
        <w:widowControl w:val="0"/>
        <w:kinsoku/>
        <w:wordWrap/>
        <w:overflowPunct/>
        <w:topLinePunct w:val="0"/>
        <w:bidi w:val="0"/>
        <w:spacing w:before="156" w:beforeLines="50" w:after="156" w:afterLines="50" w:line="486"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某一批产品化验结果有一项指标达到退货标准的，该批产品按退货处理，</w:t>
      </w:r>
      <w:r>
        <w:rPr>
          <w:rFonts w:hint="eastAsia" w:ascii="宋体" w:hAnsi="宋体" w:eastAsia="宋体" w:cs="宋体"/>
          <w:color w:val="auto"/>
          <w:sz w:val="24"/>
          <w:szCs w:val="24"/>
          <w:highlight w:val="none"/>
          <w:lang w:val="en-US" w:eastAsia="zh-CN"/>
        </w:rPr>
        <w:t>由卖方承担退货费用。（退货标准详见附件2《（沥青）理化性能质量考核细则》）</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w:t>
      </w:r>
      <w:r>
        <w:rPr>
          <w:rFonts w:hint="eastAsia" w:ascii="宋体" w:hAnsi="宋体" w:eastAsia="宋体" w:cs="宋体"/>
          <w:color w:val="auto"/>
          <w:sz w:val="24"/>
          <w:szCs w:val="24"/>
          <w:lang w:eastAsia="zh-CN"/>
        </w:rPr>
        <w:t>化验结果</w:t>
      </w:r>
      <w:r>
        <w:rPr>
          <w:rFonts w:hint="eastAsia" w:ascii="宋体" w:hAnsi="宋体" w:eastAsia="宋体" w:cs="宋体"/>
          <w:color w:val="auto"/>
          <w:sz w:val="24"/>
          <w:szCs w:val="24"/>
          <w:lang w:val="en-US" w:eastAsia="zh-CN"/>
        </w:rPr>
        <w:t>存在</w:t>
      </w:r>
      <w:r>
        <w:rPr>
          <w:rFonts w:hint="eastAsia" w:ascii="宋体" w:hAnsi="宋体" w:eastAsia="宋体" w:cs="宋体"/>
          <w:color w:val="auto"/>
          <w:sz w:val="24"/>
          <w:szCs w:val="24"/>
          <w:lang w:eastAsia="zh-CN"/>
        </w:rPr>
        <w:t>不符合项但未达到退货标准，</w:t>
      </w:r>
      <w:r>
        <w:rPr>
          <w:rFonts w:hint="eastAsia" w:ascii="宋体" w:hAnsi="宋体" w:eastAsia="宋体" w:cs="宋体"/>
          <w:color w:val="auto"/>
          <w:sz w:val="24"/>
          <w:szCs w:val="24"/>
        </w:rPr>
        <w:t>卖方不同意</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买方有权</w:t>
      </w:r>
      <w:r>
        <w:rPr>
          <w:rFonts w:hint="eastAsia" w:ascii="宋体" w:hAnsi="宋体" w:eastAsia="宋体" w:cs="宋体"/>
          <w:color w:val="auto"/>
          <w:sz w:val="24"/>
          <w:szCs w:val="24"/>
        </w:rPr>
        <w:t>退货</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adjustRightInd/>
        <w:spacing w:before="156" w:beforeLines="50" w:beforeAutospacing="0" w:after="156" w:afterLines="50" w:afterAutospacing="0" w:line="486" w:lineRule="exac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.质量验收及异议期限</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卖</w:t>
      </w:r>
      <w:r>
        <w:rPr>
          <w:rFonts w:hint="eastAsia" w:ascii="宋体" w:hAnsi="宋体" w:eastAsia="宋体" w:cs="宋体"/>
          <w:color w:val="auto"/>
          <w:sz w:val="24"/>
          <w:szCs w:val="24"/>
        </w:rPr>
        <w:t>方所供</w:t>
      </w:r>
      <w:r>
        <w:rPr>
          <w:rFonts w:hint="eastAsia" w:ascii="宋体" w:hAnsi="宋体" w:eastAsia="宋体" w:cs="宋体"/>
          <w:color w:val="auto"/>
          <w:sz w:val="24"/>
          <w:szCs w:val="24"/>
          <w:lang w:val="en-US" w:eastAsia="zh-CN"/>
        </w:rPr>
        <w:t>合同标的产品</w:t>
      </w:r>
      <w:r>
        <w:rPr>
          <w:rFonts w:hint="eastAsia" w:ascii="宋体" w:hAnsi="宋体" w:eastAsia="宋体" w:cs="宋体"/>
          <w:color w:val="auto"/>
          <w:sz w:val="24"/>
          <w:szCs w:val="24"/>
        </w:rPr>
        <w:t>由买方按国家有关规定的标准进行采样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化验，并以化验的数据作为</w:t>
      </w:r>
      <w:r>
        <w:rPr>
          <w:rFonts w:hint="eastAsia" w:ascii="宋体" w:hAnsi="宋体" w:eastAsia="宋体" w:cs="宋体"/>
          <w:color w:val="auto"/>
          <w:sz w:val="24"/>
          <w:szCs w:val="24"/>
          <w:lang w:val="en-US" w:eastAsia="zh-CN"/>
        </w:rPr>
        <w:t>本合同</w:t>
      </w:r>
      <w:r>
        <w:rPr>
          <w:rFonts w:hint="eastAsia" w:ascii="宋体" w:hAnsi="宋体" w:eastAsia="宋体" w:cs="宋体"/>
          <w:color w:val="auto"/>
          <w:sz w:val="24"/>
          <w:szCs w:val="24"/>
        </w:rPr>
        <w:t>结算</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依据。买方自卖方所供</w:t>
      </w:r>
      <w:r>
        <w:rPr>
          <w:rFonts w:hint="eastAsia" w:ascii="宋体" w:hAnsi="宋体" w:eastAsia="宋体" w:cs="宋体"/>
          <w:color w:val="auto"/>
          <w:sz w:val="24"/>
          <w:szCs w:val="24"/>
          <w:lang w:val="en-US" w:eastAsia="zh-CN"/>
        </w:rPr>
        <w:t>产品</w:t>
      </w:r>
      <w:r>
        <w:rPr>
          <w:rFonts w:hint="eastAsia" w:ascii="宋体" w:hAnsi="宋体" w:eastAsia="宋体" w:cs="宋体"/>
          <w:color w:val="auto"/>
          <w:sz w:val="24"/>
          <w:szCs w:val="24"/>
        </w:rPr>
        <w:t>到厂之日起保留备用样品25天。如卖方对化验结果有异议，应书面提出复检，由双方将买方保存的备用样品送交具有国家认定资质的第三方化验或者鉴定机构复检（广西壮族自治区安全生产检验检测中心）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复检过程需卖方全程参与并签字确认，若卖方无法参与，应向买方提供书面说明，且复检结果视为卖方完全认可。</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8.2当复检结果超出原化验结果时则按复检结果进行结算。已开发票结算的批次，不得申请复检。</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3每批次产品出厂前卖方应取样自检，检验报告随货发出。</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8.4</w:t>
      </w:r>
      <w:r>
        <w:rPr>
          <w:rFonts w:hint="eastAsia" w:ascii="宋体" w:hAnsi="宋体" w:eastAsia="宋体" w:cs="宋体"/>
          <w:color w:val="auto"/>
          <w:sz w:val="24"/>
          <w:szCs w:val="24"/>
        </w:rPr>
        <w:t>复检费用由提出异议方承担，</w:t>
      </w:r>
      <w:r>
        <w:rPr>
          <w:rFonts w:hint="eastAsia" w:ascii="宋体" w:hAnsi="宋体" w:eastAsia="宋体" w:cs="宋体"/>
          <w:color w:val="auto"/>
          <w:sz w:val="24"/>
          <w:szCs w:val="24"/>
          <w:lang w:eastAsia="zh-CN"/>
        </w:rPr>
        <w:t>检验的结果证明产品符合本合同</w:t>
      </w:r>
      <w:r>
        <w:rPr>
          <w:rFonts w:hint="eastAsia" w:ascii="宋体" w:hAnsi="宋体" w:eastAsia="宋体" w:cs="宋体"/>
          <w:color w:val="auto"/>
          <w:sz w:val="24"/>
          <w:szCs w:val="24"/>
          <w:lang w:val="en-US" w:eastAsia="zh-CN"/>
        </w:rPr>
        <w:t>1.2条质量指标</w:t>
      </w:r>
      <w:r>
        <w:rPr>
          <w:rFonts w:hint="eastAsia" w:ascii="宋体" w:hAnsi="宋体" w:eastAsia="宋体" w:cs="宋体"/>
          <w:color w:val="auto"/>
          <w:sz w:val="24"/>
          <w:szCs w:val="24"/>
          <w:lang w:eastAsia="zh-CN"/>
        </w:rPr>
        <w:t>要求时，则费用由买方承担；反之由卖方承担。</w:t>
      </w:r>
    </w:p>
    <w:p>
      <w:pPr>
        <w:pStyle w:val="2"/>
        <w:keepNext w:val="0"/>
        <w:keepLines w:val="0"/>
        <w:pageBreakBefore w:val="0"/>
        <w:widowControl w:val="0"/>
        <w:kinsoku/>
        <w:wordWrap/>
        <w:overflowPunct/>
        <w:topLinePunct w:val="0"/>
        <w:bidi w:val="0"/>
        <w:spacing w:beforeAutospacing="0" w:afterAutospacing="0" w:line="486" w:lineRule="exact"/>
        <w:ind w:firstLine="480" w:firstLineChars="200"/>
        <w:textAlignment w:val="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8.</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zh-CN" w:eastAsia="zh-CN"/>
        </w:rPr>
        <w:t xml:space="preserve"> 沥青的取样检验</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8.5.1 取样方法:卸车后</w:t>
      </w:r>
      <w:r>
        <w:rPr>
          <w:rFonts w:hint="eastAsia" w:ascii="宋体" w:hAnsi="宋体" w:eastAsia="宋体" w:cs="宋体"/>
          <w:color w:val="auto"/>
          <w:sz w:val="24"/>
          <w:szCs w:val="24"/>
          <w:lang w:val="en-US" w:eastAsia="zh-CN"/>
        </w:rPr>
        <w:t>去掉表层20cm~30cm后采样，在同一车上须至少在平均间距的三至五点上采取，以保证试样具有代表性。每五车抽取的材料均匀混合检测一个常规样（检测灰分、水分），每500吨检测一次综合样(全检，包括但不限于喹啉不溶物含量、甲苯不溶物含量、软化点、结焦值、β-树脂含量、灰分、水分)采集的小样集中放入干净的试样袋，以防受污染和受阳光、雨水的影响。取样后充分混匀，分成两份并密封处理，同时在试样袋上填写试样基本信息并由取样人共同骑缝签名，一份进行化验，一份作备查样，备查样保存期至少叁个月。</w:t>
      </w:r>
    </w:p>
    <w:p>
      <w:pPr>
        <w:keepNext w:val="0"/>
        <w:keepLines w:val="0"/>
        <w:pageBreakBefore w:val="0"/>
        <w:widowControl w:val="0"/>
        <w:tabs>
          <w:tab w:val="left" w:pos="567"/>
        </w:tabs>
        <w:kinsoku/>
        <w:wordWrap/>
        <w:overflowPunct/>
        <w:topLinePunct w:val="0"/>
        <w:bidi w:val="0"/>
        <w:snapToGrid w:val="0"/>
        <w:spacing w:beforeAutospacing="0" w:afterAutospacing="0" w:line="486"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8.5.2 当抽检过程中出现一次样品某一指标超出规定范围时，由买方及时通知卖方，由买卖双方协商解决，如卖方有异议时，可以由买卖双方共同取样复查。如复查仍不合格，按沥青</w:t>
      </w:r>
      <w:r>
        <w:rPr>
          <w:rFonts w:hint="eastAsia" w:ascii="宋体" w:hAnsi="宋体" w:eastAsia="宋体" w:cs="宋体"/>
          <w:color w:val="auto"/>
          <w:sz w:val="24"/>
          <w:szCs w:val="24"/>
          <w:lang w:eastAsia="zh-CN"/>
        </w:rPr>
        <w:t>理化性能细则进行考核。</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8.6 </w:t>
      </w:r>
      <w:r>
        <w:rPr>
          <w:rFonts w:hint="eastAsia" w:ascii="宋体" w:hAnsi="宋体" w:eastAsia="宋体" w:cs="宋体"/>
          <w:b w:val="0"/>
          <w:bCs w:val="0"/>
          <w:color w:val="auto"/>
          <w:kern w:val="2"/>
          <w:sz w:val="24"/>
          <w:szCs w:val="24"/>
          <w:lang w:val="en-US" w:eastAsia="zh-CN" w:bidi="ar-SA"/>
        </w:rPr>
        <w:t>复检规则：卖</w:t>
      </w:r>
      <w:r>
        <w:rPr>
          <w:rFonts w:hint="eastAsia" w:ascii="宋体" w:hAnsi="宋体" w:eastAsia="宋体" w:cs="宋体"/>
          <w:color w:val="auto"/>
          <w:sz w:val="24"/>
          <w:szCs w:val="24"/>
        </w:rPr>
        <w:t>方在接到</w:t>
      </w:r>
      <w:r>
        <w:rPr>
          <w:rFonts w:hint="eastAsia" w:ascii="宋体" w:hAnsi="宋体" w:eastAsia="宋体" w:cs="宋体"/>
          <w:color w:val="auto"/>
          <w:sz w:val="24"/>
          <w:szCs w:val="24"/>
          <w:lang w:eastAsia="zh-CN"/>
        </w:rPr>
        <w:t>买</w:t>
      </w:r>
      <w:r>
        <w:rPr>
          <w:rFonts w:hint="eastAsia" w:ascii="宋体" w:hAnsi="宋体" w:eastAsia="宋体" w:cs="宋体"/>
          <w:color w:val="auto"/>
          <w:sz w:val="24"/>
          <w:szCs w:val="24"/>
        </w:rPr>
        <w:t>方的</w:t>
      </w:r>
      <w:r>
        <w:rPr>
          <w:rFonts w:hint="eastAsia" w:ascii="宋体" w:hAnsi="宋体" w:eastAsia="宋体" w:cs="宋体"/>
          <w:color w:val="auto"/>
          <w:sz w:val="24"/>
          <w:szCs w:val="24"/>
          <w:lang w:val="en-US" w:eastAsia="zh-CN"/>
        </w:rPr>
        <w:t>质量</w:t>
      </w:r>
      <w:r>
        <w:rPr>
          <w:rFonts w:hint="eastAsia" w:ascii="宋体" w:hAnsi="宋体" w:eastAsia="宋体" w:cs="宋体"/>
          <w:color w:val="auto"/>
          <w:sz w:val="24"/>
          <w:szCs w:val="24"/>
        </w:rPr>
        <w:t>异议后，应在</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个工作日内</w:t>
      </w:r>
      <w:r>
        <w:rPr>
          <w:rFonts w:hint="eastAsia" w:ascii="宋体" w:hAnsi="宋体" w:eastAsia="宋体" w:cs="宋体"/>
          <w:color w:val="auto"/>
          <w:sz w:val="24"/>
          <w:szCs w:val="24"/>
          <w:lang w:val="en-US" w:eastAsia="zh-CN"/>
        </w:rPr>
        <w:t>到场确认并</w:t>
      </w:r>
      <w:r>
        <w:rPr>
          <w:rFonts w:hint="eastAsia" w:ascii="宋体" w:hAnsi="宋体" w:eastAsia="宋体" w:cs="宋体"/>
          <w:color w:val="auto"/>
          <w:sz w:val="24"/>
          <w:szCs w:val="24"/>
        </w:rPr>
        <w:t>处理，否则视为</w:t>
      </w:r>
      <w:r>
        <w:rPr>
          <w:rFonts w:hint="eastAsia" w:ascii="宋体" w:hAnsi="宋体" w:eastAsia="宋体" w:cs="宋体"/>
          <w:color w:val="auto"/>
          <w:sz w:val="24"/>
          <w:szCs w:val="24"/>
          <w:lang w:val="en-US" w:eastAsia="zh-CN"/>
        </w:rPr>
        <w:t>接受买</w:t>
      </w:r>
      <w:r>
        <w:rPr>
          <w:rFonts w:hint="eastAsia" w:ascii="宋体" w:hAnsi="宋体" w:eastAsia="宋体" w:cs="宋体"/>
          <w:color w:val="auto"/>
          <w:sz w:val="24"/>
          <w:szCs w:val="24"/>
        </w:rPr>
        <w:t>方提出的异议和处理意见。</w:t>
      </w:r>
      <w:r>
        <w:rPr>
          <w:rFonts w:hint="eastAsia" w:ascii="宋体" w:hAnsi="宋体" w:eastAsia="宋体" w:cs="宋体"/>
          <w:color w:val="auto"/>
          <w:sz w:val="24"/>
          <w:szCs w:val="24"/>
          <w:lang w:val="en-US" w:eastAsia="zh-CN"/>
        </w:rPr>
        <w:t>如卖</w:t>
      </w:r>
      <w:r>
        <w:rPr>
          <w:rFonts w:hint="eastAsia" w:ascii="宋体" w:hAnsi="宋体" w:eastAsia="宋体" w:cs="宋体"/>
          <w:color w:val="auto"/>
          <w:sz w:val="24"/>
          <w:szCs w:val="24"/>
        </w:rPr>
        <w:t>方不同意</w:t>
      </w:r>
      <w:r>
        <w:rPr>
          <w:rFonts w:hint="eastAsia" w:ascii="宋体" w:hAnsi="宋体" w:eastAsia="宋体" w:cs="宋体"/>
          <w:color w:val="auto"/>
          <w:sz w:val="24"/>
          <w:szCs w:val="24"/>
          <w:lang w:eastAsia="zh-CN"/>
        </w:rPr>
        <w:t>买</w:t>
      </w:r>
      <w:r>
        <w:rPr>
          <w:rFonts w:hint="eastAsia" w:ascii="宋体" w:hAnsi="宋体" w:eastAsia="宋体" w:cs="宋体"/>
          <w:color w:val="auto"/>
          <w:sz w:val="24"/>
          <w:szCs w:val="24"/>
        </w:rPr>
        <w:t>方</w:t>
      </w:r>
      <w:r>
        <w:rPr>
          <w:rFonts w:hint="eastAsia" w:ascii="宋体" w:hAnsi="宋体" w:eastAsia="宋体" w:cs="宋体"/>
          <w:color w:val="auto"/>
          <w:sz w:val="24"/>
          <w:szCs w:val="24"/>
          <w:lang w:val="en-US" w:eastAsia="zh-CN"/>
        </w:rPr>
        <w:t>提出的</w:t>
      </w:r>
      <w:r>
        <w:rPr>
          <w:rFonts w:hint="eastAsia" w:ascii="宋体" w:hAnsi="宋体" w:eastAsia="宋体" w:cs="宋体"/>
          <w:color w:val="auto"/>
          <w:sz w:val="24"/>
          <w:szCs w:val="24"/>
        </w:rPr>
        <w:t>异议的，</w:t>
      </w:r>
      <w:r>
        <w:rPr>
          <w:rFonts w:hint="eastAsia" w:ascii="宋体" w:hAnsi="宋体" w:eastAsia="宋体" w:cs="宋体"/>
          <w:color w:val="auto"/>
          <w:sz w:val="24"/>
          <w:szCs w:val="24"/>
          <w:lang w:val="en-US" w:eastAsia="zh-CN"/>
        </w:rPr>
        <w:t>双方</w:t>
      </w:r>
      <w:r>
        <w:rPr>
          <w:rFonts w:hint="eastAsia" w:ascii="宋体" w:hAnsi="宋体" w:eastAsia="宋体" w:cs="宋体"/>
          <w:color w:val="auto"/>
          <w:sz w:val="24"/>
          <w:szCs w:val="24"/>
        </w:rPr>
        <w:t>可进行1次复检，复检机构为双方认可的第三方检验机构，复检结果为最终质量验收结果。</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退货</w:t>
      </w:r>
    </w:p>
    <w:p>
      <w:pPr>
        <w:keepNext w:val="0"/>
        <w:keepLines w:val="0"/>
        <w:pageBreakBefore w:val="0"/>
        <w:widowControl w:val="0"/>
        <w:kinsoku/>
        <w:wordWrap/>
        <w:overflowPunct/>
        <w:topLinePunct w:val="0"/>
        <w:bidi w:val="0"/>
        <w:adjustRightInd/>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买方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进行监督检查，凡被买方检查发现</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有掺假、</w:t>
      </w:r>
      <w:r>
        <w:rPr>
          <w:rFonts w:hint="eastAsia" w:ascii="宋体" w:hAnsi="宋体" w:eastAsia="宋体" w:cs="宋体"/>
          <w:color w:val="auto"/>
          <w:sz w:val="24"/>
          <w:szCs w:val="24"/>
          <w:lang w:val="en-US" w:eastAsia="zh-CN"/>
        </w:rPr>
        <w:t>杂质、</w:t>
      </w:r>
      <w:r>
        <w:rPr>
          <w:rFonts w:hint="eastAsia" w:ascii="宋体" w:hAnsi="宋体" w:eastAsia="宋体" w:cs="宋体"/>
          <w:color w:val="auto"/>
          <w:sz w:val="24"/>
          <w:szCs w:val="24"/>
        </w:rPr>
        <w:t>夹层的车辆，买方有权拒绝其进厂，已进厂卸车的，买方有权对该车不予结算。</w:t>
      </w:r>
      <w:r>
        <w:rPr>
          <w:rFonts w:hint="eastAsia" w:ascii="宋体" w:hAnsi="宋体" w:eastAsia="宋体" w:cs="宋体"/>
          <w:color w:val="auto"/>
          <w:sz w:val="24"/>
          <w:szCs w:val="24"/>
          <w:lang w:eastAsia="zh-CN"/>
        </w:rPr>
        <w:t>因质量不符合要求造成退货的，退货必须在</w:t>
      </w:r>
      <w:r>
        <w:rPr>
          <w:rFonts w:hint="eastAsia" w:ascii="宋体" w:hAnsi="宋体" w:eastAsia="宋体" w:cs="宋体"/>
          <w:color w:val="auto"/>
          <w:sz w:val="24"/>
          <w:szCs w:val="24"/>
          <w:lang w:val="en-US" w:eastAsia="zh-CN"/>
        </w:rPr>
        <w:t>3天内完成，若因卖方原因3天内不能退货造成买方损失的一切费用由卖方负责赔偿</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退货所产生的包装、运输等费用由卖方自行承担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0.沥青</w:t>
      </w:r>
      <w:r>
        <w:rPr>
          <w:rFonts w:hint="eastAsia" w:ascii="宋体" w:hAnsi="宋体" w:eastAsia="宋体" w:cs="宋体"/>
          <w:b/>
          <w:bCs/>
          <w:color w:val="auto"/>
          <w:sz w:val="24"/>
          <w:szCs w:val="24"/>
        </w:rPr>
        <w:t>质量仲裁结果处理办法</w:t>
      </w:r>
    </w:p>
    <w:p>
      <w:pPr>
        <w:keepNext w:val="0"/>
        <w:keepLines w:val="0"/>
        <w:pageBreakBefore w:val="0"/>
        <w:widowControl w:val="0"/>
        <w:kinsoku/>
        <w:wordWrap/>
        <w:overflowPunct/>
        <w:topLinePunct w:val="0"/>
        <w:bidi w:val="0"/>
        <w:adjustRightInd/>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所供</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无掺假和无夹层但对化验结果有异议时，可提出由有资质的第</w:t>
      </w:r>
      <w:r>
        <w:rPr>
          <w:rFonts w:hint="eastAsia" w:ascii="宋体" w:hAnsi="宋体" w:eastAsia="宋体" w:cs="宋体"/>
          <w:color w:val="auto"/>
          <w:sz w:val="24"/>
          <w:szCs w:val="24"/>
          <w:lang w:eastAsia="zh-CN"/>
        </w:rPr>
        <w:t>三方</w:t>
      </w:r>
      <w:r>
        <w:rPr>
          <w:rFonts w:hint="eastAsia" w:ascii="宋体" w:hAnsi="宋体" w:eastAsia="宋体" w:cs="宋体"/>
          <w:color w:val="auto"/>
          <w:sz w:val="24"/>
          <w:szCs w:val="24"/>
        </w:rPr>
        <w:t>化验或者鉴定机构仲裁。仲裁过程需</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全程参与，若</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无法参与，应向买方提供书面说明予以确认，仲裁流程和仲裁结果</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将视为完全认可。当仲裁结果与原化验结果</w:t>
      </w:r>
      <w:r>
        <w:rPr>
          <w:rFonts w:hint="eastAsia" w:ascii="宋体" w:hAnsi="宋体" w:eastAsia="宋体" w:cs="宋体"/>
          <w:color w:val="auto"/>
          <w:sz w:val="24"/>
          <w:szCs w:val="24"/>
          <w:lang w:eastAsia="zh-CN"/>
        </w:rPr>
        <w:t>符合第</w:t>
      </w:r>
      <w:r>
        <w:rPr>
          <w:rFonts w:hint="eastAsia" w:ascii="宋体" w:hAnsi="宋体" w:eastAsia="宋体" w:cs="宋体"/>
          <w:color w:val="auto"/>
          <w:sz w:val="24"/>
          <w:szCs w:val="24"/>
          <w:lang w:val="en-US" w:eastAsia="zh-CN"/>
        </w:rPr>
        <w:t>1.2条要求的则</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合同单价</w:t>
      </w:r>
      <w:r>
        <w:rPr>
          <w:rFonts w:hint="eastAsia" w:ascii="宋体" w:hAnsi="宋体" w:eastAsia="宋体" w:cs="宋体"/>
          <w:color w:val="auto"/>
          <w:sz w:val="24"/>
          <w:szCs w:val="24"/>
        </w:rPr>
        <w:t>进行结算，</w:t>
      </w:r>
      <w:r>
        <w:rPr>
          <w:rFonts w:hint="eastAsia" w:ascii="宋体" w:hAnsi="宋体" w:eastAsia="宋体" w:cs="宋体"/>
          <w:color w:val="auto"/>
          <w:sz w:val="24"/>
          <w:szCs w:val="24"/>
          <w:lang w:eastAsia="zh-CN"/>
        </w:rPr>
        <w:t>不符合要求</w:t>
      </w:r>
      <w:r>
        <w:rPr>
          <w:rFonts w:hint="eastAsia" w:ascii="宋体" w:hAnsi="宋体" w:eastAsia="宋体" w:cs="宋体"/>
          <w:color w:val="auto"/>
          <w:sz w:val="24"/>
          <w:szCs w:val="24"/>
        </w:rPr>
        <w:t>则按</w:t>
      </w:r>
      <w:r>
        <w:rPr>
          <w:rFonts w:hint="eastAsia" w:ascii="宋体" w:hAnsi="宋体" w:eastAsia="宋体" w:cs="宋体"/>
          <w:color w:val="auto"/>
          <w:sz w:val="24"/>
          <w:szCs w:val="24"/>
          <w:lang w:val="en-US" w:eastAsia="zh-CN"/>
        </w:rPr>
        <w:t>附件2《（沥青）理化性能质量考核细则》</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结算</w:t>
      </w:r>
      <w:r>
        <w:rPr>
          <w:rFonts w:hint="eastAsia" w:ascii="宋体" w:hAnsi="宋体" w:eastAsia="宋体" w:cs="宋体"/>
          <w:color w:val="auto"/>
          <w:sz w:val="24"/>
          <w:szCs w:val="24"/>
          <w:lang w:eastAsia="zh-CN"/>
        </w:rPr>
        <w:t>或退货处理，</w:t>
      </w:r>
      <w:r>
        <w:rPr>
          <w:rFonts w:hint="eastAsia" w:ascii="宋体" w:hAnsi="宋体" w:eastAsia="宋体" w:cs="宋体"/>
          <w:color w:val="auto"/>
          <w:sz w:val="24"/>
          <w:szCs w:val="24"/>
        </w:rPr>
        <w:t>仲裁费由提出仲裁方负责</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.违约责任</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.1卖方未能按供货计划如期交货，迟延交货超过5日不足15日的，应按照迟延交付供应量*基准单价（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元/吨）的2%每天向买方支付违约金。如果迟延交货超过15日的，卖方应支付未供应量*基准单价（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元/吨）的30%违约金。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若因卖方设备故障等原因造成不能如期交货的延后交付，卖方不承担违约责任。）</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因卖方原因实际供货量不足</w:t>
      </w:r>
      <w:r>
        <w:rPr>
          <w:rFonts w:hint="eastAsia" w:ascii="宋体" w:hAnsi="宋体" w:eastAsia="宋体" w:cs="宋体"/>
          <w:color w:val="auto"/>
          <w:sz w:val="24"/>
          <w:szCs w:val="24"/>
          <w:lang w:val="en-US" w:eastAsia="zh-CN"/>
        </w:rPr>
        <w:t>每阶段</w:t>
      </w:r>
      <w:r>
        <w:rPr>
          <w:rFonts w:hint="eastAsia" w:ascii="宋体" w:hAnsi="宋体" w:eastAsia="宋体" w:cs="宋体"/>
          <w:color w:val="auto"/>
          <w:sz w:val="24"/>
          <w:szCs w:val="24"/>
        </w:rPr>
        <w:t>供货计划的60%的，买方有权解除合同并另行寻源。买方按照本合同第1.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条约定向第三方寻源采购，数量为卖方未完成的合同总量，卖方则应按照以下计算方式向买方承担违约金：（买方采购价格-本合同约定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 卖方未完成的合同总量。（取绝对值）</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3签订合同后，除买方书面同意外，卖方单方面不履行合同或中途擅自中止/终止履行合同或任何形式的转包、分包行为，均视为违约，买方有权解除合同，卖方应向买方支付本合同总金额（合同基准单价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元/吨*本合同第2.1条约定的数量）30%的违约金。</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11.4卖方提供的沥青品质应符合1.2条规格要求，如果达不到合同约定的质量要求的，买方有权按照第7.2条、第九条处理直至退货。</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11.5买方对卖方供应的沥青进行监督检查，凡被买方检查发现卖方供应的沥青有掺假、杂质、夹层的车辆，买方有权拒绝其进厂，已进厂卸车的，买方有权对该车不予结算。因退货造成的损失，由卖方承担。本合同履行期间，买方累计发现卖方供应的沥青有掺假、夹层的次数达到3次的，买方有权解除合同并另行寻源。买方按照本合同第1.2条约定向第三方寻源采购，数量为卖方未完成的合同总量，卖方则应按照以下计算方式向买方承担违约金：（买方采购价格-本合同约定的基准价）* 卖方未完成的合同总量。（取绝对值）</w:t>
      </w:r>
    </w:p>
    <w:p>
      <w:pPr>
        <w:pStyle w:val="14"/>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b w:val="0"/>
          <w:bCs w:val="0"/>
          <w:i w:val="0"/>
          <w:iCs w:val="0"/>
          <w:color w:val="auto"/>
          <w:spacing w:val="0"/>
          <w:sz w:val="24"/>
          <w:szCs w:val="24"/>
          <w:highlight w:val="none"/>
          <w:shd w:val="clear"/>
          <w:lang w:val="en-US" w:eastAsia="zh-CN"/>
        </w:rPr>
      </w:pPr>
      <w:r>
        <w:rPr>
          <w:rFonts w:hint="eastAsia" w:ascii="宋体" w:hAnsi="宋体" w:eastAsia="宋体" w:cs="宋体"/>
          <w:color w:val="auto"/>
          <w:sz w:val="24"/>
          <w:szCs w:val="24"/>
          <w:highlight w:val="none"/>
          <w:lang w:val="en-US" w:eastAsia="zh-CN"/>
        </w:rPr>
        <w:t>11.6</w:t>
      </w:r>
      <w:r>
        <w:rPr>
          <w:rFonts w:hint="eastAsia" w:ascii="宋体" w:hAnsi="宋体" w:eastAsia="宋体" w:cs="宋体"/>
          <w:color w:val="auto"/>
          <w:sz w:val="24"/>
          <w:szCs w:val="24"/>
          <w:highlight w:val="none"/>
        </w:rPr>
        <w:t>若买方不能按照本合同第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条的约定付款的，</w:t>
      </w:r>
      <w:r>
        <w:rPr>
          <w:rFonts w:hint="eastAsia" w:ascii="宋体" w:hAnsi="宋体" w:eastAsia="宋体" w:cs="宋体"/>
          <w:b w:val="0"/>
          <w:bCs w:val="0"/>
          <w:i w:val="0"/>
          <w:iCs w:val="0"/>
          <w:color w:val="auto"/>
          <w:spacing w:val="0"/>
          <w:sz w:val="24"/>
          <w:szCs w:val="24"/>
          <w:highlight w:val="none"/>
          <w:shd w:val="clear" w:color="auto" w:fill="auto"/>
          <w:lang w:val="en-US" w:eastAsia="zh-CN"/>
        </w:rPr>
        <w:t>如超期付款超过5日的，按应付余额的2%支付卖方违约金，超期付款超过15日的，按应付余额的30%支付卖方违约金。</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11.7</w:t>
      </w:r>
      <w:r>
        <w:rPr>
          <w:rFonts w:hint="eastAsia" w:ascii="宋体" w:hAnsi="宋体" w:eastAsia="宋体" w:cs="宋体"/>
          <w:color w:val="auto"/>
          <w:sz w:val="24"/>
          <w:szCs w:val="24"/>
          <w:lang w:eastAsia="zh-CN"/>
        </w:rPr>
        <w:t>买方可依据本合同规定，直接从卖方的应付账款及履约保证金中扣除卖方因索赔、违约责任与相关事宜所应当承担的款项。不足部分卖方应继续支付。</w:t>
      </w:r>
    </w:p>
    <w:p>
      <w:pPr>
        <w:keepNext w:val="0"/>
        <w:keepLines w:val="0"/>
        <w:pageBreakBefore w:val="0"/>
        <w:widowControl w:val="0"/>
        <w:kinsoku/>
        <w:wordWrap/>
        <w:overflowPunct/>
        <w:topLinePunct w:val="0"/>
        <w:bidi w:val="0"/>
        <w:adjustRightInd/>
        <w:snapToGrid w:val="0"/>
        <w:spacing w:before="156" w:beforeLines="50" w:beforeAutospacing="0" w:after="156" w:afterLines="50" w:afterAutospacing="0" w:line="486" w:lineRule="exact"/>
        <w:ind w:firstLine="0" w:firstLineChars="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诚信自律</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kern w:val="2"/>
          <w:sz w:val="24"/>
          <w:szCs w:val="24"/>
          <w:lang w:eastAsia="zh-CN"/>
        </w:rPr>
        <w:t>买卖</w:t>
      </w:r>
      <w:r>
        <w:rPr>
          <w:rFonts w:hint="eastAsia" w:ascii="宋体" w:hAnsi="宋体" w:eastAsia="宋体" w:cs="宋体"/>
          <w:bCs w:val="0"/>
          <w:color w:val="auto"/>
          <w:kern w:val="2"/>
          <w:sz w:val="24"/>
          <w:szCs w:val="24"/>
        </w:rPr>
        <w:t>双方承诺在业务往来期间严格遵守诚信自律协议约定，具体详见附件</w:t>
      </w:r>
      <w:r>
        <w:rPr>
          <w:rFonts w:hint="eastAsia" w:ascii="宋体" w:hAnsi="宋体" w:eastAsia="宋体" w:cs="宋体"/>
          <w:bCs w:val="0"/>
          <w:color w:val="auto"/>
          <w:kern w:val="2"/>
          <w:sz w:val="24"/>
          <w:szCs w:val="24"/>
          <w:lang w:val="en-US" w:eastAsia="zh-CN"/>
        </w:rPr>
        <w:t>1</w:t>
      </w:r>
      <w:r>
        <w:rPr>
          <w:rFonts w:hint="eastAsia" w:ascii="宋体" w:hAnsi="宋体" w:eastAsia="宋体" w:cs="宋体"/>
          <w:bCs w:val="0"/>
          <w:color w:val="auto"/>
          <w:kern w:val="2"/>
          <w:sz w:val="24"/>
          <w:szCs w:val="24"/>
        </w:rPr>
        <w:t>《诚信自律特别协议》。</w:t>
      </w:r>
    </w:p>
    <w:p>
      <w:pPr>
        <w:spacing w:before="145" w:beforeLines="50" w:after="145" w:afterLines="50" w:line="44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 xml:space="preserve"> 安全条款 </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.1乙方派往甲方送货的人员，进厂前，有责任了解甲方的入厂（矿区）需知，遵守甲方有关的安全和环保要求；乙方有关办事人员或受雇于乙方的人员在甲方厂区（矿区）内应遵守甲方所有厂规厂纪。</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2乙方相关人员进入甲方厂区（矿区），要严格遵守甲方公司管理制度配戴劳保用品并服从甲方管理。如发现乙方人员未按要求穿戴安全防护用品，甲方有权对其行为进行罚款200元/人次。因乙方自身防护不当造成人身伤亡事故的，由乙方承担全部经济和法律责任。</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.3因乙方工作人员的过错造成对甲方或第三方人身伤害及财产的损失，由乙方承担全部法律责任。</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.4未经甲方允许，乙方人员不能随意进入甲方厂区（矿区）。</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.不可抗力事件</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由于地震、台风、水灾、战争</w:t>
      </w:r>
      <w:r>
        <w:rPr>
          <w:rFonts w:hint="eastAsia" w:ascii="宋体" w:hAnsi="宋体" w:eastAsia="宋体" w:cs="宋体"/>
          <w:color w:val="auto"/>
          <w:sz w:val="24"/>
          <w:szCs w:val="24"/>
          <w:lang w:eastAsia="zh-CN"/>
        </w:rPr>
        <w:t>、因疫情防控原因造成的无法供货情况</w:t>
      </w:r>
      <w:r>
        <w:rPr>
          <w:rFonts w:hint="eastAsia" w:ascii="宋体" w:hAnsi="宋体" w:eastAsia="宋体" w:cs="宋体"/>
          <w:color w:val="auto"/>
          <w:sz w:val="24"/>
          <w:szCs w:val="24"/>
        </w:rPr>
        <w:t>和国家宏观调控政策影响等以及其它不能预见并且对其发生或后果不能防或避免的不可抗力事件，致使直接影响到本合同的履行或者无法按约定条件履行，遇不可抗力事件的一方应在15日内书面通知另一方，并提交由当地公证机关出具的不可抗力事件发生的有效证明。</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在受不可抗力事件影响的范围内，当事人可免除履行本合同的责任。</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14.3</w:t>
      </w:r>
      <w:r>
        <w:rPr>
          <w:rFonts w:hint="eastAsia" w:ascii="宋体" w:hAnsi="宋体" w:eastAsia="宋体" w:cs="宋体"/>
          <w:color w:val="auto"/>
          <w:sz w:val="24"/>
          <w:szCs w:val="24"/>
        </w:rPr>
        <w:t>不可抗力解除后，买、卖双方是否延期履行、部分履行或取消履行本合同，双方应本着相互谅解、互惠互利原则协商确定。</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.争议的解决</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凡因本合同或与本合同有关而发生的争议，</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应友好协商解决。协商不成的，可向</w:t>
      </w:r>
      <w:r>
        <w:rPr>
          <w:rFonts w:hint="eastAsia" w:ascii="宋体" w:hAnsi="宋体" w:eastAsia="宋体" w:cs="宋体"/>
          <w:color w:val="auto"/>
          <w:sz w:val="24"/>
          <w:szCs w:val="24"/>
          <w:highlight w:val="none"/>
        </w:rPr>
        <w:t>买方所在</w:t>
      </w:r>
      <w:r>
        <w:rPr>
          <w:rFonts w:hint="eastAsia" w:ascii="宋体" w:hAnsi="宋体" w:eastAsia="宋体" w:cs="宋体"/>
          <w:color w:val="auto"/>
          <w:sz w:val="24"/>
          <w:szCs w:val="24"/>
        </w:rPr>
        <w:t>地有管辖权的人民法院提起诉讼。</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.生效及其它</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 本合同经买卖双方法定代表人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授权代表人签字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盖法人代表姓名章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并加盖合同专用章或公章后生效。</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.2 在本合同履行期间，</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应根据买方通知的时间和数量来进行</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发运。本合同项下价格除非特别说明，否则均应为含税价。</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 在本合同履行期间，买方可根据生产及库存情况，提前2日以书面或电话、微信等形式通知</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因买方原因导致交货期延迟的，合同交货期顺延。</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.4 </w:t>
      </w:r>
      <w:r>
        <w:rPr>
          <w:rFonts w:hint="eastAsia" w:ascii="宋体" w:hAnsi="宋体" w:eastAsia="宋体" w:cs="宋体"/>
          <w:color w:val="auto"/>
          <w:kern w:val="2"/>
          <w:sz w:val="24"/>
          <w:szCs w:val="24"/>
          <w:lang w:val="en-US"/>
        </w:rPr>
        <w:t>合同一经生效，任何一方不得擅自变更、修改和终止。如一方需要变更、修改和终止合同的，应当以书面形式向对方提出建议，经双方协商达成一致意见的，应订立补充协议或解除协议</w:t>
      </w:r>
      <w:r>
        <w:rPr>
          <w:rFonts w:hint="eastAsia" w:ascii="宋体" w:hAnsi="宋体" w:eastAsia="宋体" w:cs="宋体"/>
          <w:color w:val="auto"/>
          <w:kern w:val="2"/>
          <w:sz w:val="24"/>
          <w:szCs w:val="24"/>
          <w:lang w:val="en-US" w:eastAsia="zh-CN"/>
        </w:rPr>
        <w:t>并</w:t>
      </w:r>
      <w:r>
        <w:rPr>
          <w:rFonts w:hint="eastAsia" w:ascii="宋体" w:hAnsi="宋体" w:eastAsia="宋体" w:cs="宋体"/>
          <w:color w:val="auto"/>
          <w:kern w:val="2"/>
          <w:sz w:val="24"/>
          <w:szCs w:val="24"/>
          <w:lang w:val="en-US"/>
        </w:rPr>
        <w:t>经双方加盖合同印章确认</w:t>
      </w:r>
      <w:r>
        <w:rPr>
          <w:rFonts w:hint="eastAsia" w:ascii="宋体" w:hAnsi="宋体" w:eastAsia="宋体" w:cs="宋体"/>
          <w:color w:val="auto"/>
          <w:kern w:val="2"/>
          <w:sz w:val="24"/>
          <w:szCs w:val="24"/>
          <w:lang w:val="en-US" w:eastAsia="zh-CN"/>
        </w:rPr>
        <w:t>或公章印章确认</w:t>
      </w:r>
      <w:r>
        <w:rPr>
          <w:rFonts w:hint="eastAsia" w:ascii="宋体" w:hAnsi="宋体" w:eastAsia="宋体" w:cs="宋体"/>
          <w:color w:val="auto"/>
          <w:kern w:val="2"/>
          <w:sz w:val="24"/>
          <w:szCs w:val="24"/>
          <w:lang w:val="en-US"/>
        </w:rPr>
        <w:t>，视为本合同有效组成部分，与本合同具有同等效力。</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rPr>
        <w:t>16.5</w:t>
      </w:r>
      <w:r>
        <w:rPr>
          <w:rFonts w:hint="eastAsia" w:ascii="宋体" w:hAnsi="宋体" w:eastAsia="宋体" w:cs="宋体"/>
          <w:color w:val="auto"/>
          <w:kern w:val="2"/>
          <w:sz w:val="24"/>
          <w:szCs w:val="24"/>
          <w:lang w:val="en-US"/>
        </w:rPr>
        <w:t xml:space="preserve"> 买方履行本合同需以当面交付、邮寄、电子邮件将相关声明、资料、文件通知</w:t>
      </w:r>
      <w:r>
        <w:rPr>
          <w:rFonts w:hint="eastAsia" w:ascii="宋体" w:hAnsi="宋体" w:eastAsia="宋体" w:cs="宋体"/>
          <w:color w:val="auto"/>
          <w:kern w:val="2"/>
          <w:sz w:val="24"/>
          <w:szCs w:val="24"/>
          <w:lang w:val="en-US" w:eastAsia="zh-CN"/>
        </w:rPr>
        <w:t>卖方</w:t>
      </w:r>
      <w:r>
        <w:rPr>
          <w:rFonts w:hint="eastAsia" w:ascii="宋体" w:hAnsi="宋体" w:eastAsia="宋体" w:cs="宋体"/>
          <w:color w:val="auto"/>
          <w:kern w:val="2"/>
          <w:sz w:val="24"/>
          <w:szCs w:val="24"/>
          <w:lang w:val="en-US"/>
        </w:rPr>
        <w:t>，卖方同意以下方式进行：</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.1买方以当面交付方式通知卖方的，卖方联系人为：</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rPr>
        <w:t>，联系电话：</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rPr>
        <w:t>，自卖方联系人签字确认之时视为卖方已获悉该通知内容。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.2买方以邮寄方式通知卖方的，卖方邮寄地址为：</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rPr>
        <w:t>自买方按本条约定地址快递寄出后5日视为卖方已获悉该通知内容。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.3买方以电子邮件方式通知卖方的，卖方电子邮箱地址为：</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rPr>
        <w:t>，自买方向本条约定</w:t>
      </w:r>
      <w:r>
        <w:rPr>
          <w:rFonts w:hint="eastAsia" w:ascii="宋体" w:hAnsi="宋体" w:eastAsia="宋体" w:cs="宋体"/>
          <w:color w:val="auto"/>
          <w:kern w:val="2"/>
          <w:sz w:val="24"/>
          <w:szCs w:val="24"/>
          <w:lang w:val="en-US"/>
        </w:rPr>
        <w:t>邮箱发出邮件之时视为卖方已获悉该通知内容。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.4买方有权选择以上任意一种方式，卖方在接到买方通知后应在 7日内作出书面答复；卖方未按本条约定进行答复的，视为承认并接受该通知内容，并承担由此产生的责任。</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.5卖方联系人、邮寄地址、电子邮箱地址发生变更的，应在三日内以本合同约定方式通知买方；若卖方未履行上述义务，应承担由此产生的责任。</w:t>
      </w:r>
    </w:p>
    <w:p>
      <w:pPr>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本合同正本壹式</w:t>
      </w:r>
      <w:r>
        <w:rPr>
          <w:rFonts w:hint="eastAsia" w:ascii="宋体" w:hAnsi="宋体" w:eastAsia="宋体" w:cs="宋体"/>
          <w:color w:val="auto"/>
          <w:sz w:val="24"/>
          <w:szCs w:val="24"/>
          <w:lang w:eastAsia="zh-CN"/>
        </w:rPr>
        <w:t>肆</w:t>
      </w:r>
      <w:r>
        <w:rPr>
          <w:rFonts w:hint="eastAsia" w:ascii="宋体" w:hAnsi="宋体" w:eastAsia="宋体" w:cs="宋体"/>
          <w:color w:val="auto"/>
          <w:sz w:val="24"/>
          <w:szCs w:val="24"/>
        </w:rPr>
        <w:t>份，买方执贰份，卖方执贰份。</w:t>
      </w:r>
      <w:r>
        <w:rPr>
          <w:rFonts w:hint="eastAsia" w:ascii="宋体" w:hAnsi="宋体" w:eastAsia="宋体" w:cs="宋体"/>
          <w:color w:val="auto"/>
          <w:kern w:val="2"/>
          <w:sz w:val="24"/>
          <w:szCs w:val="24"/>
          <w:lang w:val="en-US" w:eastAsia="zh-CN"/>
        </w:rPr>
        <w:t>具有同等法律效力</w:t>
      </w:r>
      <w:r>
        <w:rPr>
          <w:rFonts w:hint="eastAsia" w:ascii="宋体" w:hAnsi="宋体" w:eastAsia="宋体" w:cs="宋体"/>
          <w:color w:val="auto"/>
          <w:kern w:val="2"/>
          <w:sz w:val="24"/>
          <w:szCs w:val="24"/>
          <w:lang w:val="en-US"/>
        </w:rPr>
        <w:t>。</w:t>
      </w:r>
    </w:p>
    <w:p>
      <w:pPr>
        <w:snapToGrid w:val="0"/>
        <w:spacing w:before="156" w:beforeLines="50" w:after="156" w:afterLines="50" w:line="360" w:lineRule="auto"/>
        <w:ind w:firstLine="480" w:firstLineChars="200"/>
        <w:rPr>
          <w:rFonts w:hint="eastAsia" w:ascii="宋体" w:hAnsi="宋体" w:eastAsia="宋体" w:cs="宋体"/>
        </w:rPr>
      </w:pPr>
      <w:r>
        <w:rPr>
          <w:rFonts w:hint="eastAsia" w:ascii="宋体" w:hAnsi="宋体" w:eastAsia="宋体" w:cs="宋体"/>
          <w:color w:val="auto"/>
          <w:kern w:val="2"/>
          <w:sz w:val="24"/>
          <w:szCs w:val="24"/>
          <w:lang w:val="en-US" w:eastAsia="zh-CN" w:bidi="ar-SA"/>
        </w:rPr>
        <w:t>16.7买卖双方签署了本合同意味着同意本合同及其附件的全部条款约定。</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486"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附件：一.《诚信自律特别协议》</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486" w:lineRule="exact"/>
        <w:ind w:left="638" w:leftChars="304"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二.《（沥青）理化性能质量考核细则》</w:t>
      </w:r>
    </w:p>
    <w:p>
      <w:pPr>
        <w:pStyle w:val="2"/>
        <w:rPr>
          <w:rFonts w:hint="eastAsia" w:ascii="宋体" w:hAnsi="宋体" w:eastAsia="宋体" w:cs="宋体"/>
          <w:sz w:val="24"/>
          <w:szCs w:val="24"/>
          <w:lang w:val="en-US" w:eastAsia="zh-CN"/>
        </w:rPr>
      </w:pPr>
    </w:p>
    <w:p>
      <w:pPr>
        <w:pStyle w:val="13"/>
        <w:rPr>
          <w:rFonts w:hint="eastAsia" w:ascii="宋体" w:hAnsi="宋体" w:eastAsia="宋体" w:cs="宋体"/>
          <w:b/>
          <w:color w:val="auto"/>
          <w:kern w:val="2"/>
          <w:sz w:val="24"/>
          <w:szCs w:val="24"/>
          <w:lang w:eastAsia="zh-CN"/>
        </w:rPr>
      </w:pPr>
    </w:p>
    <w:tbl>
      <w:tblPr>
        <w:tblStyle w:val="9"/>
        <w:tblpPr w:leftFromText="180" w:rightFromText="180" w:vertAnchor="text" w:horzAnchor="page" w:tblpX="1029" w:tblpY="302"/>
        <w:tblOverlap w:val="never"/>
        <w:tblW w:w="96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7"/>
        <w:gridCol w:w="4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7" w:hRule="atLeast"/>
        </w:trPr>
        <w:tc>
          <w:tcPr>
            <w:tcW w:w="49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rPr>
              <w:t>甲方：</w:t>
            </w:r>
            <w:r>
              <w:rPr>
                <w:rFonts w:hint="eastAsia" w:ascii="宋体" w:hAnsi="宋体" w:eastAsia="宋体" w:cs="宋体"/>
                <w:color w:val="auto"/>
                <w:sz w:val="24"/>
                <w:szCs w:val="24"/>
                <w:lang w:eastAsia="zh-CN"/>
              </w:rPr>
              <w:t>田林百矿田田碳素有限公司</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(印章）</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w:t>
            </w:r>
            <w:r>
              <w:rPr>
                <w:rFonts w:hint="eastAsia" w:ascii="宋体" w:hAnsi="宋体" w:eastAsia="宋体" w:cs="宋体"/>
                <w:bCs/>
                <w:color w:val="auto"/>
                <w:sz w:val="24"/>
                <w:szCs w:val="24"/>
                <w:lang w:eastAsia="zh-CN"/>
              </w:rPr>
              <w:t>人或</w:t>
            </w:r>
            <w:r>
              <w:rPr>
                <w:rFonts w:hint="eastAsia" w:ascii="宋体" w:hAnsi="宋体" w:eastAsia="宋体" w:cs="宋体"/>
                <w:bCs/>
                <w:color w:val="auto"/>
                <w:sz w:val="24"/>
                <w:szCs w:val="24"/>
              </w:rPr>
              <w:t>授权代表人：</w:t>
            </w:r>
          </w:p>
          <w:p>
            <w:pPr>
              <w:keepNext w:val="0"/>
              <w:keepLines w:val="0"/>
              <w:pageBreakBefore w:val="0"/>
              <w:widowControl w:val="0"/>
              <w:kinsoku/>
              <w:overflowPunct/>
              <w:topLinePunct w:val="0"/>
              <w:bidi w:val="0"/>
              <w:adjustRightInd/>
              <w:spacing w:beforeAutospacing="0" w:afterAutospacing="0" w:line="360" w:lineRule="auto"/>
              <w:ind w:left="941" w:hanging="940" w:hangingChars="392"/>
              <w:textAlignment w:val="auto"/>
              <w:rPr>
                <w:rFonts w:hint="eastAsia" w:ascii="宋体" w:hAnsi="宋体" w:eastAsia="宋体" w:cs="宋体"/>
                <w:bCs/>
                <w:color w:val="auto"/>
                <w:sz w:val="24"/>
                <w:szCs w:val="24"/>
              </w:rPr>
            </w:pPr>
          </w:p>
          <w:p>
            <w:pPr>
              <w:keepNext w:val="0"/>
              <w:keepLines w:val="0"/>
              <w:pageBreakBefore w:val="0"/>
              <w:widowControl w:val="0"/>
              <w:kinsoku/>
              <w:overflowPunct/>
              <w:topLinePunct w:val="0"/>
              <w:bidi w:val="0"/>
              <w:adjustRightInd/>
              <w:spacing w:beforeAutospacing="0" w:afterAutospacing="0" w:line="360" w:lineRule="auto"/>
              <w:ind w:left="941" w:hanging="940" w:hangingChars="392"/>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电 话</w:t>
            </w:r>
            <w:r>
              <w:rPr>
                <w:rFonts w:hint="eastAsia" w:ascii="宋体" w:hAnsi="宋体" w:eastAsia="宋体" w:cs="宋体"/>
                <w:b/>
                <w:bCs w:val="0"/>
                <w:color w:val="auto"/>
                <w:sz w:val="24"/>
                <w:szCs w:val="24"/>
              </w:rPr>
              <w:t>：</w:t>
            </w:r>
            <w:r>
              <w:rPr>
                <w:rFonts w:hint="eastAsia" w:ascii="宋体" w:hAnsi="宋体" w:eastAsia="宋体" w:cs="宋体"/>
                <w:bCs/>
                <w:color w:val="auto"/>
                <w:sz w:val="24"/>
                <w:szCs w:val="24"/>
              </w:rPr>
              <w:t>0776-7310600</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开户行：广西北部湾银行百色市中山支行</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账 号：800114239688883</w:t>
            </w:r>
            <w:r>
              <w:rPr>
                <w:rFonts w:hint="eastAsia" w:ascii="宋体" w:hAnsi="宋体" w:eastAsia="宋体" w:cs="宋体"/>
                <w:bCs/>
                <w:color w:val="auto"/>
                <w:sz w:val="24"/>
                <w:szCs w:val="24"/>
                <w:lang w:val="en-US" w:eastAsia="zh-CN"/>
              </w:rPr>
              <w:t xml:space="preserve">  </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税 号：91451029MA5LC22339</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地 址：田林县旧州镇板坚工业园区内（广西田林百矿铝业有限公司内</w:t>
            </w:r>
            <w:r>
              <w:rPr>
                <w:rFonts w:hint="eastAsia" w:ascii="宋体" w:hAnsi="宋体" w:eastAsia="宋体" w:cs="宋体"/>
                <w:bCs/>
                <w:color w:val="auto"/>
                <w:sz w:val="24"/>
                <w:szCs w:val="24"/>
                <w:lang w:eastAsia="zh-CN"/>
              </w:rPr>
              <w:t>）</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bCs/>
                <w:color w:val="auto"/>
                <w:sz w:val="24"/>
                <w:szCs w:val="24"/>
                <w:lang w:val="en-US" w:eastAsia="zh-CN"/>
              </w:rPr>
              <w:t>2023年   月   日</w:t>
            </w:r>
          </w:p>
        </w:tc>
        <w:tc>
          <w:tcPr>
            <w:tcW w:w="4695" w:type="dxa"/>
            <w:tcBorders>
              <w:top w:val="single" w:color="auto" w:sz="4" w:space="0"/>
              <w:left w:val="single" w:color="auto" w:sz="4" w:space="0"/>
              <w:bottom w:val="single" w:color="auto" w:sz="4" w:space="0"/>
              <w:right w:val="single" w:color="auto" w:sz="4" w:space="0"/>
            </w:tcBorders>
            <w:vAlign w:val="top"/>
          </w:tcPr>
          <w:p>
            <w:pPr>
              <w:spacing w:beforeAutospacing="0" w:afterAutospacing="0" w:line="360" w:lineRule="auto"/>
              <w:ind w:firstLine="0" w:firstLineChars="0"/>
              <w:jc w:val="left"/>
              <w:rPr>
                <w:rFonts w:hint="eastAsia" w:ascii="宋体" w:hAnsi="宋体" w:eastAsia="宋体" w:cs="宋体"/>
                <w:sz w:val="24"/>
                <w:szCs w:val="24"/>
                <w:u w:val="none"/>
                <w:lang w:val="en-US" w:eastAsia="zh-CN"/>
              </w:rPr>
            </w:pPr>
            <w:r>
              <w:rPr>
                <w:rFonts w:hint="eastAsia" w:ascii="宋体" w:hAnsi="宋体" w:eastAsia="宋体" w:cs="宋体"/>
                <w:bCs w:val="0"/>
                <w:color w:val="auto"/>
                <w:sz w:val="24"/>
                <w:szCs w:val="24"/>
              </w:rPr>
              <w:t>乙方</w:t>
            </w:r>
            <w:r>
              <w:rPr>
                <w:rFonts w:hint="eastAsia" w:ascii="宋体" w:hAnsi="宋体" w:eastAsia="宋体" w:cs="宋体"/>
                <w:bCs w:val="0"/>
                <w:color w:val="auto"/>
                <w:sz w:val="24"/>
                <w:szCs w:val="24"/>
                <w:lang w:eastAsia="zh-CN"/>
              </w:rPr>
              <w:t>：</w:t>
            </w:r>
            <w:r>
              <w:rPr>
                <w:rFonts w:hint="eastAsia" w:ascii="宋体" w:hAnsi="宋体" w:eastAsia="宋体" w:cs="宋体"/>
                <w:sz w:val="24"/>
                <w:szCs w:val="24"/>
                <w:u w:val="none"/>
                <w:lang w:val="en-US" w:eastAsia="zh-CN"/>
              </w:rPr>
              <w:t xml:space="preserve">     </w:t>
            </w:r>
          </w:p>
          <w:p>
            <w:pPr>
              <w:spacing w:beforeAutospacing="0" w:afterAutospacing="0" w:line="360" w:lineRule="auto"/>
              <w:ind w:firstLine="0" w:firstLineChars="0"/>
              <w:jc w:val="left"/>
              <w:rPr>
                <w:rFonts w:hint="eastAsia" w:ascii="宋体" w:hAnsi="宋体" w:eastAsia="宋体" w:cs="宋体"/>
                <w:color w:val="auto"/>
                <w:sz w:val="24"/>
                <w:szCs w:val="24"/>
                <w:u w:val="none"/>
                <w:lang w:val="en-US" w:eastAsia="zh-CN"/>
              </w:rPr>
            </w:pPr>
            <w:r>
              <w:rPr>
                <w:rFonts w:hint="eastAsia" w:ascii="宋体" w:hAnsi="宋体" w:eastAsia="宋体" w:cs="宋体"/>
                <w:b w:val="0"/>
                <w:bCs w:val="0"/>
                <w:i w:val="0"/>
                <w:iCs w:val="0"/>
                <w:color w:val="auto"/>
                <w:spacing w:val="0"/>
                <w:sz w:val="24"/>
                <w:szCs w:val="24"/>
                <w:u w:val="none"/>
                <w:shd w:val="clear"/>
                <w:lang w:val="en-US" w:eastAsia="zh-CN"/>
              </w:rPr>
              <w:t xml:space="preserve">       </w:t>
            </w:r>
          </w:p>
          <w:p>
            <w:pPr>
              <w:keepNext w:val="0"/>
              <w:keepLines w:val="0"/>
              <w:pageBreakBefore w:val="0"/>
              <w:kinsoku/>
              <w:overflowPunct/>
              <w:topLinePunct w:val="0"/>
              <w:bidi w:val="0"/>
              <w:adjustRightInd/>
              <w:spacing w:beforeAutospacing="0" w:afterAutospacing="0" w:line="360" w:lineRule="auto"/>
              <w:jc w:val="left"/>
              <w:textAlignment w:val="auto"/>
              <w:rPr>
                <w:rFonts w:hint="eastAsia" w:ascii="宋体" w:hAnsi="宋体" w:eastAsia="宋体" w:cs="宋体"/>
                <w:bCs w:val="0"/>
                <w:color w:val="auto"/>
                <w:sz w:val="24"/>
                <w:szCs w:val="24"/>
                <w:u w:val="none"/>
                <w:lang w:eastAsia="zh-CN"/>
              </w:rPr>
            </w:pPr>
            <w:r>
              <w:rPr>
                <w:rFonts w:hint="eastAsia" w:ascii="宋体" w:hAnsi="宋体" w:eastAsia="宋体" w:cs="宋体"/>
                <w:color w:val="auto"/>
                <w:sz w:val="24"/>
                <w:szCs w:val="24"/>
                <w:u w:val="none"/>
                <w:lang w:eastAsia="zh-CN"/>
              </w:rPr>
              <w:t>（印章）</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val="0"/>
                <w:color w:val="auto"/>
                <w:sz w:val="24"/>
                <w:szCs w:val="24"/>
                <w:lang w:eastAsia="zh-CN"/>
              </w:rPr>
            </w:pPr>
            <w:r>
              <w:rPr>
                <w:rFonts w:hint="eastAsia" w:ascii="宋体" w:hAnsi="宋体" w:eastAsia="宋体" w:cs="宋体"/>
                <w:bCs w:val="0"/>
                <w:color w:val="auto"/>
                <w:sz w:val="24"/>
                <w:szCs w:val="24"/>
              </w:rPr>
              <w:t>法定代表人或授权代表人：</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val="0"/>
                <w:color w:val="auto"/>
                <w:sz w:val="24"/>
                <w:szCs w:val="24"/>
              </w:rPr>
            </w:pP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rPr>
              <w:t>电话：</w:t>
            </w:r>
            <w:r>
              <w:rPr>
                <w:rFonts w:hint="eastAsia" w:ascii="宋体" w:hAnsi="宋体" w:eastAsia="宋体" w:cs="宋体"/>
                <w:bCs w:val="0"/>
                <w:color w:val="auto"/>
                <w:sz w:val="24"/>
                <w:szCs w:val="24"/>
                <w:lang w:val="en-US" w:eastAsia="zh-CN"/>
              </w:rPr>
              <w:t xml:space="preserve">        </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rPr>
              <w:t>开户行：</w:t>
            </w:r>
            <w:r>
              <w:rPr>
                <w:rFonts w:hint="eastAsia" w:ascii="宋体" w:hAnsi="宋体" w:eastAsia="宋体" w:cs="宋体"/>
                <w:bCs w:val="0"/>
                <w:color w:val="auto"/>
                <w:sz w:val="24"/>
                <w:szCs w:val="24"/>
                <w:lang w:val="en-US" w:eastAsia="zh-CN"/>
              </w:rPr>
              <w:t>中</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rPr>
              <w:t>账 号：</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val="0"/>
                <w:color w:val="auto"/>
                <w:sz w:val="24"/>
                <w:szCs w:val="24"/>
                <w:lang w:eastAsia="zh-CN"/>
              </w:rPr>
            </w:pPr>
            <w:r>
              <w:rPr>
                <w:rFonts w:hint="eastAsia" w:ascii="宋体" w:hAnsi="宋体" w:eastAsia="宋体" w:cs="宋体"/>
                <w:bCs w:val="0"/>
                <w:color w:val="auto"/>
                <w:sz w:val="24"/>
                <w:szCs w:val="24"/>
              </w:rPr>
              <w:t>税 号：</w:t>
            </w:r>
            <w:r>
              <w:rPr>
                <w:rFonts w:hint="eastAsia" w:ascii="宋体" w:hAnsi="宋体" w:eastAsia="宋体" w:cs="宋体"/>
                <w:bCs w:val="0"/>
                <w:color w:val="auto"/>
                <w:sz w:val="24"/>
                <w:szCs w:val="24"/>
                <w:lang w:val="en-US" w:eastAsia="zh-CN"/>
              </w:rPr>
              <w:t xml:space="preserve"> </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地 址：</w:t>
            </w:r>
          </w:p>
          <w:p>
            <w:pPr>
              <w:pStyle w:val="2"/>
              <w:rPr>
                <w:rFonts w:hint="eastAsia" w:ascii="宋体" w:hAnsi="宋体" w:eastAsia="宋体" w:cs="宋体"/>
                <w:bCs w:val="0"/>
                <w:color w:val="auto"/>
                <w:sz w:val="24"/>
                <w:szCs w:val="24"/>
              </w:rPr>
            </w:pPr>
          </w:p>
          <w:p>
            <w:pPr>
              <w:pStyle w:val="13"/>
              <w:rPr>
                <w:rFonts w:hint="eastAsia" w:ascii="宋体" w:hAnsi="宋体" w:eastAsia="宋体" w:cs="宋体"/>
                <w:bCs w:val="0"/>
                <w:color w:val="auto"/>
                <w:sz w:val="24"/>
                <w:szCs w:val="24"/>
                <w:lang w:val="en-US" w:eastAsia="zh-CN"/>
              </w:rPr>
            </w:pP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val="0"/>
                <w:color w:val="auto"/>
                <w:sz w:val="24"/>
                <w:szCs w:val="24"/>
                <w:lang w:eastAsia="zh-CN"/>
              </w:rPr>
              <w:t>签订日期：</w:t>
            </w:r>
            <w:r>
              <w:rPr>
                <w:rFonts w:hint="eastAsia" w:ascii="宋体" w:hAnsi="宋体" w:eastAsia="宋体" w:cs="宋体"/>
                <w:bCs w:val="0"/>
                <w:color w:val="auto"/>
                <w:sz w:val="24"/>
                <w:szCs w:val="24"/>
                <w:lang w:val="en-US" w:eastAsia="zh-CN"/>
              </w:rPr>
              <w:t>2023年  月  日</w:t>
            </w:r>
          </w:p>
        </w:tc>
      </w:tr>
    </w:tbl>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sz w:val="36"/>
          <w:szCs w:val="36"/>
        </w:rPr>
      </w:pPr>
      <w:r>
        <w:rPr>
          <w:rFonts w:hint="eastAsia" w:ascii="宋体" w:hAnsi="宋体" w:eastAsia="宋体" w:cs="宋体"/>
          <w:b/>
          <w:color w:val="auto"/>
          <w:kern w:val="2"/>
          <w:sz w:val="24"/>
          <w:szCs w:val="24"/>
          <w:lang w:eastAsia="zh-CN"/>
        </w:rPr>
        <w:t>附件</w:t>
      </w:r>
      <w:r>
        <w:rPr>
          <w:rFonts w:hint="eastAsia" w:ascii="宋体" w:hAnsi="宋体" w:eastAsia="宋体" w:cs="宋体"/>
          <w:b/>
          <w:color w:val="auto"/>
          <w:kern w:val="2"/>
          <w:sz w:val="24"/>
          <w:szCs w:val="24"/>
          <w:lang w:val="en-US" w:eastAsia="zh-CN"/>
        </w:rPr>
        <w:t>一</w:t>
      </w:r>
    </w:p>
    <w:p>
      <w:pPr>
        <w:spacing w:beforeAutospacing="0" w:afterAutospacing="0" w:line="440" w:lineRule="exact"/>
        <w:jc w:val="center"/>
        <w:rPr>
          <w:rFonts w:hint="eastAsia" w:ascii="宋体" w:hAnsi="宋体" w:eastAsia="宋体" w:cs="宋体"/>
          <w:sz w:val="24"/>
          <w:szCs w:val="24"/>
        </w:rPr>
      </w:pPr>
      <w:r>
        <w:rPr>
          <w:rFonts w:hint="eastAsia" w:ascii="宋体" w:hAnsi="宋体" w:eastAsia="宋体" w:cs="宋体"/>
          <w:b/>
          <w:sz w:val="36"/>
          <w:szCs w:val="36"/>
        </w:rPr>
        <w:t>诚信自律特别协议</w:t>
      </w:r>
    </w:p>
    <w:p>
      <w:pPr>
        <w:spacing w:beforeAutospacing="0" w:afterAutospacing="0" w:line="440" w:lineRule="exact"/>
        <w:rPr>
          <w:rFonts w:hint="eastAsia" w:ascii="宋体" w:hAnsi="宋体" w:eastAsia="宋体" w:cs="宋体"/>
          <w:sz w:val="24"/>
          <w:szCs w:val="24"/>
          <w:u w:val="none"/>
        </w:rPr>
      </w:pPr>
      <w:r>
        <w:rPr>
          <w:rFonts w:hint="eastAsia" w:ascii="宋体" w:hAnsi="宋体" w:eastAsia="宋体" w:cs="宋体"/>
          <w:sz w:val="24"/>
          <w:szCs w:val="24"/>
        </w:rPr>
        <w:t>甲方：</w:t>
      </w:r>
      <w:r>
        <w:rPr>
          <w:rFonts w:hint="eastAsia" w:ascii="宋体" w:hAnsi="宋体" w:eastAsia="宋体" w:cs="宋体"/>
          <w:sz w:val="24"/>
          <w:szCs w:val="24"/>
          <w:u w:val="single"/>
          <w:lang w:eastAsia="zh-CN"/>
        </w:rPr>
        <w:t>田林百矿田田碳素有限公司</w:t>
      </w:r>
      <w:r>
        <w:rPr>
          <w:rFonts w:hint="eastAsia" w:ascii="宋体" w:hAnsi="宋体" w:eastAsia="宋体" w:cs="宋体"/>
          <w:sz w:val="24"/>
          <w:szCs w:val="24"/>
          <w:u w:val="none"/>
        </w:rPr>
        <w:t xml:space="preserve">                </w:t>
      </w:r>
    </w:p>
    <w:p>
      <w:pPr>
        <w:spacing w:beforeAutospacing="0" w:afterAutospacing="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i w:val="0"/>
          <w:iCs w:val="0"/>
          <w:color w:val="auto"/>
          <w:spacing w:val="0"/>
          <w:sz w:val="32"/>
          <w:szCs w:val="32"/>
          <w:u w:val="none"/>
          <w:shd w:val="clear"/>
          <w:lang w:val="en-US" w:eastAsia="zh-CN"/>
        </w:rPr>
        <w:t xml:space="preserve">        </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beforeAutospacing="0" w:afterAutospacing="0" w:line="480" w:lineRule="exact"/>
        <w:rPr>
          <w:rFonts w:hint="eastAsia" w:ascii="宋体" w:hAnsi="宋体" w:eastAsia="宋体" w:cs="宋体"/>
          <w:b/>
          <w:sz w:val="24"/>
          <w:szCs w:val="24"/>
        </w:rPr>
      </w:pPr>
      <w:r>
        <w:rPr>
          <w:rFonts w:hint="eastAsia" w:ascii="宋体" w:hAnsi="宋体" w:eastAsia="宋体" w:cs="宋体"/>
          <w:b/>
          <w:sz w:val="24"/>
          <w:szCs w:val="24"/>
        </w:rPr>
        <w:t>第一条 诚信责任</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beforeAutospacing="0" w:afterAutospacing="0"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不得以任何理由为甲方人员报销应由甲方或个人支付的费用；</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不得与甲方人员发生任何合资合作、借贷关系，也不得参与甲方人员的婚丧嫁娶活动；</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不得以任何理由为甲方人员提供黄赌毒等违法活动；</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乙方不得以任何借口和理由给予甲方人员任何形式的利益或好处。</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乙方同意约束其工作人员遵守上述约定并为其工作人员行为后果负责。</w:t>
      </w:r>
    </w:p>
    <w:p>
      <w:pPr>
        <w:spacing w:beforeAutospacing="0" w:afterAutospacing="0" w:line="480" w:lineRule="exact"/>
        <w:rPr>
          <w:rFonts w:hint="eastAsia" w:ascii="宋体" w:hAnsi="宋体" w:eastAsia="宋体" w:cs="宋体"/>
          <w:b/>
          <w:sz w:val="24"/>
          <w:szCs w:val="24"/>
        </w:rPr>
      </w:pPr>
      <w:r>
        <w:rPr>
          <w:rFonts w:hint="eastAsia" w:ascii="宋体" w:hAnsi="宋体" w:eastAsia="宋体" w:cs="宋体"/>
          <w:b/>
          <w:sz w:val="24"/>
          <w:szCs w:val="24"/>
        </w:rPr>
        <w:t>第二条  违约责任</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2.2甲方人员如有违反本诚信自律特别协议的，一经查实，甲方将对责任人给予警告、处分、直至解除劳动合同。涉嫌犯罪的，则送交司法机关追究其法律责任。</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2.4如乙方违反本诚信自律特别协议的，应按以下对应情形向甲方承担违约责任且甲方有权从应付款项或各类保证金中直接扣除乙方应承担的赔偿金：</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涉嫌犯罪的，则送交司法机关追究其法律责任。</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2.5如乙方违反本诚信自律特别协议约定的，甲方均有权终止双方合作并将乙方列入黑名单、以后不再作为供应商纳入等处理措施。</w:t>
      </w:r>
    </w:p>
    <w:p>
      <w:pPr>
        <w:spacing w:beforeAutospacing="0" w:afterAutospacing="0" w:line="480" w:lineRule="exact"/>
        <w:rPr>
          <w:rFonts w:hint="eastAsia" w:ascii="宋体" w:hAnsi="宋体" w:eastAsia="宋体" w:cs="宋体"/>
          <w:b/>
          <w:sz w:val="24"/>
          <w:szCs w:val="24"/>
        </w:rPr>
      </w:pPr>
      <w:r>
        <w:rPr>
          <w:rFonts w:hint="eastAsia" w:ascii="宋体" w:hAnsi="宋体" w:eastAsia="宋体" w:cs="宋体"/>
          <w:b/>
          <w:sz w:val="24"/>
          <w:szCs w:val="24"/>
        </w:rPr>
        <w:t>第三条  举报</w:t>
      </w:r>
    </w:p>
    <w:p>
      <w:pPr>
        <w:spacing w:beforeAutospacing="0" w:afterAutospacing="0"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rPr>
        <w:fldChar w:fldCharType="begin"/>
      </w:r>
      <w:r>
        <w:rPr>
          <w:rFonts w:hint="eastAsia" w:ascii="宋体" w:hAnsi="宋体" w:eastAsia="宋体" w:cs="宋体"/>
        </w:rPr>
        <w:instrText xml:space="preserve"> HYPERLINK "mailto:integrity@Geely.com" </w:instrText>
      </w:r>
      <w:r>
        <w:rPr>
          <w:rFonts w:hint="eastAsia" w:ascii="宋体" w:hAnsi="宋体" w:eastAsia="宋体" w:cs="宋体"/>
        </w:rP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lang w:eastAsia="zh-CN"/>
        </w:rPr>
        <w:t>。</w:t>
      </w:r>
    </w:p>
    <w:p>
      <w:pPr>
        <w:spacing w:beforeAutospacing="0" w:afterAutospacing="0" w:line="480" w:lineRule="exact"/>
        <w:rPr>
          <w:rFonts w:hint="eastAsia" w:ascii="宋体" w:hAnsi="宋体" w:eastAsia="宋体" w:cs="宋体"/>
          <w:b/>
          <w:sz w:val="24"/>
          <w:szCs w:val="24"/>
        </w:rPr>
      </w:pPr>
      <w:r>
        <w:rPr>
          <w:rFonts w:hint="eastAsia" w:ascii="宋体" w:hAnsi="宋体" w:eastAsia="宋体" w:cs="宋体"/>
          <w:b/>
          <w:sz w:val="24"/>
          <w:szCs w:val="24"/>
        </w:rPr>
        <w:t>第四条  其他约定</w:t>
      </w:r>
    </w:p>
    <w:p>
      <w:pPr>
        <w:keepNext w:val="0"/>
        <w:keepLines w:val="0"/>
        <w:pageBreakBefore w:val="0"/>
        <w:kinsoku/>
        <w:overflowPunct/>
        <w:topLinePunct w:val="0"/>
        <w:bidi w:val="0"/>
        <w:adjustRightInd w:val="0"/>
        <w:snapToGrid w:val="0"/>
        <w:spacing w:before="156" w:beforeLines="50" w:beforeAutospacing="0" w:after="156" w:afterLines="50" w:afterAutospacing="0"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4.1本协议经双方法定代表人或授权代理人签字并盖章后生效。本</w:t>
      </w:r>
      <w:r>
        <w:rPr>
          <w:rFonts w:hint="eastAsia" w:ascii="宋体" w:hAnsi="宋体" w:eastAsia="宋体" w:cs="宋体"/>
          <w:sz w:val="24"/>
          <w:szCs w:val="24"/>
          <w:lang w:eastAsia="zh-CN"/>
        </w:rPr>
        <w:t>协议</w:t>
      </w:r>
      <w:r>
        <w:rPr>
          <w:rFonts w:hint="eastAsia" w:ascii="宋体" w:hAnsi="宋体" w:eastAsia="宋体" w:cs="宋体"/>
          <w:sz w:val="24"/>
          <w:szCs w:val="24"/>
        </w:rPr>
        <w:t>壹式</w:t>
      </w:r>
      <w:r>
        <w:rPr>
          <w:rFonts w:hint="eastAsia" w:ascii="宋体" w:hAnsi="宋体" w:eastAsia="宋体" w:cs="宋体"/>
          <w:sz w:val="24"/>
          <w:szCs w:val="24"/>
          <w:lang w:eastAsia="zh-CN"/>
        </w:rPr>
        <w:t>四</w:t>
      </w:r>
      <w:r>
        <w:rPr>
          <w:rFonts w:hint="eastAsia" w:ascii="宋体" w:hAnsi="宋体" w:eastAsia="宋体" w:cs="宋体"/>
          <w:sz w:val="24"/>
          <w:szCs w:val="24"/>
        </w:rPr>
        <w:t>份，甲方执</w:t>
      </w:r>
      <w:r>
        <w:rPr>
          <w:rFonts w:hint="eastAsia" w:ascii="宋体" w:hAnsi="宋体" w:eastAsia="宋体" w:cs="宋体"/>
          <w:sz w:val="24"/>
          <w:szCs w:val="24"/>
          <w:lang w:eastAsia="zh-CN"/>
        </w:rPr>
        <w:t>二</w:t>
      </w:r>
      <w:r>
        <w:rPr>
          <w:rFonts w:hint="eastAsia" w:ascii="宋体" w:hAnsi="宋体" w:eastAsia="宋体" w:cs="宋体"/>
          <w:sz w:val="24"/>
          <w:szCs w:val="24"/>
        </w:rPr>
        <w:t>份，乙方执</w:t>
      </w:r>
      <w:r>
        <w:rPr>
          <w:rFonts w:hint="eastAsia" w:ascii="宋体" w:hAnsi="宋体" w:eastAsia="宋体" w:cs="宋体"/>
          <w:sz w:val="24"/>
          <w:szCs w:val="24"/>
          <w:lang w:eastAsia="zh-CN"/>
        </w:rPr>
        <w:t>二</w:t>
      </w:r>
      <w:r>
        <w:rPr>
          <w:rFonts w:hint="eastAsia" w:ascii="宋体" w:hAnsi="宋体" w:eastAsia="宋体" w:cs="宋体"/>
          <w:sz w:val="24"/>
          <w:szCs w:val="24"/>
        </w:rPr>
        <w:t>份</w:t>
      </w:r>
      <w:r>
        <w:rPr>
          <w:rFonts w:hint="eastAsia" w:ascii="宋体" w:hAnsi="宋体" w:eastAsia="宋体" w:cs="宋体"/>
          <w:sz w:val="24"/>
          <w:szCs w:val="24"/>
          <w:lang w:eastAsia="zh-CN"/>
        </w:rPr>
        <w:t>。</w:t>
      </w:r>
    </w:p>
    <w:p>
      <w:pPr>
        <w:keepNext w:val="0"/>
        <w:keepLines w:val="0"/>
        <w:pageBreakBefore w:val="0"/>
        <w:kinsoku/>
        <w:overflowPunct/>
        <w:topLinePunct w:val="0"/>
        <w:bidi w:val="0"/>
        <w:adjustRightInd w:val="0"/>
        <w:snapToGrid w:val="0"/>
        <w:spacing w:before="156" w:beforeLines="50" w:beforeAutospacing="0" w:after="156" w:afterLines="50" w:afterAutospacing="0"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4.3业务合同的变更、转让、终止或被撤销、无效不影响本诚信自律特别协议的效力。</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4.4本协议履行中任何争议均应向甲方所在地人民法院诉讼解决。</w:t>
      </w:r>
    </w:p>
    <w:p>
      <w:pPr>
        <w:spacing w:beforeAutospacing="0" w:afterAutospacing="0" w:line="480" w:lineRule="exact"/>
        <w:rPr>
          <w:rFonts w:hint="eastAsia" w:ascii="宋体" w:hAnsi="宋体" w:eastAsia="宋体" w:cs="宋体"/>
        </w:rPr>
      </w:pP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pPr>
        <w:spacing w:beforeAutospacing="0" w:afterAutospacing="0" w:line="480" w:lineRule="exact"/>
        <w:rPr>
          <w:rFonts w:hint="eastAsia" w:ascii="宋体" w:hAnsi="宋体" w:eastAsia="宋体" w:cs="宋体"/>
          <w:sz w:val="24"/>
          <w:szCs w:val="24"/>
        </w:rPr>
      </w:pPr>
    </w:p>
    <w:p>
      <w:pPr>
        <w:spacing w:beforeAutospacing="0" w:afterAutospacing="0" w:line="440" w:lineRule="exact"/>
        <w:rPr>
          <w:rFonts w:hint="eastAsia" w:ascii="宋体" w:hAnsi="宋体" w:eastAsia="宋体" w:cs="宋体"/>
          <w:sz w:val="24"/>
          <w:szCs w:val="24"/>
        </w:rPr>
      </w:pPr>
    </w:p>
    <w:p>
      <w:pPr>
        <w:pStyle w:val="15"/>
        <w:rPr>
          <w:rFonts w:hint="eastAsia" w:ascii="宋体" w:hAnsi="宋体" w:eastAsia="宋体" w:cs="宋体"/>
          <w:sz w:val="30"/>
          <w:szCs w:val="30"/>
          <w:lang w:val="en-US" w:eastAsia="zh-CN"/>
        </w:rPr>
      </w:pPr>
    </w:p>
    <w:p>
      <w:pPr>
        <w:pStyle w:val="15"/>
        <w:rPr>
          <w:rFonts w:hint="eastAsia" w:ascii="宋体" w:hAnsi="宋体" w:eastAsia="宋体" w:cs="宋体"/>
          <w:sz w:val="30"/>
          <w:szCs w:val="30"/>
          <w:lang w:val="en-US" w:eastAsia="zh-CN"/>
        </w:rPr>
      </w:pPr>
    </w:p>
    <w:p>
      <w:pPr>
        <w:pStyle w:val="15"/>
        <w:rPr>
          <w:rFonts w:hint="eastAsia" w:ascii="宋体" w:hAnsi="宋体" w:eastAsia="宋体" w:cs="宋体"/>
          <w:sz w:val="30"/>
          <w:szCs w:val="30"/>
          <w:lang w:val="en-US" w:eastAsia="zh-CN"/>
        </w:rPr>
      </w:pPr>
    </w:p>
    <w:p>
      <w:pPr>
        <w:pStyle w:val="2"/>
        <w:spacing w:beforeAutospacing="0" w:afterAutospacing="0" w:line="480" w:lineRule="exact"/>
        <w:rPr>
          <w:rFonts w:hint="eastAsia" w:ascii="宋体" w:hAnsi="宋体" w:eastAsia="宋体" w:cs="宋体"/>
          <w:color w:val="auto"/>
          <w:kern w:val="2"/>
          <w:sz w:val="32"/>
          <w:szCs w:val="32"/>
          <w:lang w:val="en-US" w:eastAsia="zh-CN" w:bidi="ar-SA"/>
        </w:rPr>
      </w:pPr>
    </w:p>
    <w:p>
      <w:pPr>
        <w:pStyle w:val="13"/>
        <w:rPr>
          <w:rFonts w:hint="eastAsia" w:ascii="宋体" w:hAnsi="宋体" w:eastAsia="宋体" w:cs="宋体"/>
          <w:color w:val="auto"/>
          <w:kern w:val="2"/>
          <w:sz w:val="32"/>
          <w:szCs w:val="32"/>
          <w:lang w:val="en-US" w:eastAsia="zh-CN" w:bidi="ar-SA"/>
        </w:rPr>
      </w:pPr>
    </w:p>
    <w:p>
      <w:pPr>
        <w:pStyle w:val="13"/>
        <w:rPr>
          <w:rFonts w:hint="eastAsia" w:ascii="宋体" w:hAnsi="宋体" w:eastAsia="宋体" w:cs="宋体"/>
          <w:color w:val="auto"/>
          <w:kern w:val="2"/>
          <w:sz w:val="32"/>
          <w:szCs w:val="32"/>
          <w:lang w:val="en-US" w:eastAsia="zh-CN" w:bidi="ar-SA"/>
        </w:rPr>
      </w:pPr>
    </w:p>
    <w:p>
      <w:pPr>
        <w:pStyle w:val="13"/>
        <w:rPr>
          <w:rFonts w:hint="eastAsia" w:ascii="宋体" w:hAnsi="宋体" w:eastAsia="宋体" w:cs="宋体"/>
          <w:color w:val="auto"/>
          <w:kern w:val="2"/>
          <w:sz w:val="32"/>
          <w:szCs w:val="32"/>
          <w:lang w:val="en-US" w:eastAsia="zh-CN" w:bidi="ar-SA"/>
        </w:rPr>
      </w:pPr>
    </w:p>
    <w:p>
      <w:pPr>
        <w:pStyle w:val="2"/>
        <w:spacing w:beforeAutospacing="0" w:afterAutospacing="0" w:line="480" w:lineRule="exact"/>
        <w:rPr>
          <w:rFonts w:hint="eastAsia" w:ascii="宋体" w:hAnsi="宋体" w:eastAsia="宋体" w:cs="宋体"/>
          <w:b/>
          <w:bCs/>
          <w:color w:val="auto"/>
          <w:kern w:val="2"/>
          <w:sz w:val="32"/>
          <w:szCs w:val="32"/>
          <w:lang w:val="en-US" w:eastAsia="zh-CN" w:bidi="ar-SA"/>
        </w:rPr>
      </w:pPr>
    </w:p>
    <w:p>
      <w:pPr>
        <w:pStyle w:val="2"/>
        <w:rPr>
          <w:rFonts w:hint="eastAsia" w:ascii="宋体" w:hAnsi="宋体" w:eastAsia="宋体" w:cs="宋体"/>
          <w:b/>
          <w:color w:val="auto"/>
          <w:kern w:val="2"/>
          <w:sz w:val="24"/>
          <w:szCs w:val="24"/>
          <w:lang w:val="en-US" w:eastAsia="zh-CN"/>
        </w:rPr>
      </w:pPr>
    </w:p>
    <w:p>
      <w:pPr>
        <w:pStyle w:val="2"/>
        <w:rPr>
          <w:rFonts w:hint="eastAsia" w:ascii="宋体" w:hAnsi="宋体" w:eastAsia="宋体" w:cs="宋体"/>
          <w:b/>
          <w:color w:val="auto"/>
          <w:kern w:val="2"/>
          <w:sz w:val="24"/>
          <w:szCs w:val="24"/>
          <w:lang w:val="en-US" w:eastAsia="zh-CN"/>
        </w:rPr>
      </w:pPr>
    </w:p>
    <w:p>
      <w:pPr>
        <w:pStyle w:val="2"/>
        <w:rPr>
          <w:rFonts w:hint="eastAsia" w:ascii="宋体" w:hAnsi="宋体" w:eastAsia="宋体" w:cs="宋体"/>
          <w:b/>
          <w:color w:val="auto"/>
          <w:kern w:val="2"/>
          <w:sz w:val="24"/>
          <w:szCs w:val="24"/>
          <w:lang w:val="en-US" w:eastAsia="zh-CN"/>
        </w:rPr>
      </w:pPr>
    </w:p>
    <w:p>
      <w:pPr>
        <w:pStyle w:val="2"/>
        <w:rPr>
          <w:rFonts w:hint="eastAsia" w:ascii="宋体" w:hAnsi="宋体" w:eastAsia="宋体" w:cs="宋体"/>
          <w:b/>
          <w:color w:val="auto"/>
          <w:kern w:val="2"/>
          <w:sz w:val="24"/>
          <w:szCs w:val="24"/>
          <w:lang w:val="en-US" w:eastAsia="zh-CN"/>
        </w:rPr>
      </w:pPr>
    </w:p>
    <w:p>
      <w:pPr>
        <w:pStyle w:val="2"/>
        <w:rPr>
          <w:rFonts w:hint="eastAsia" w:ascii="宋体" w:hAnsi="宋体" w:eastAsia="宋体" w:cs="宋体"/>
          <w:b/>
          <w:color w:val="auto"/>
          <w:kern w:val="2"/>
          <w:sz w:val="24"/>
          <w:szCs w:val="24"/>
          <w:lang w:val="en-US" w:eastAsia="zh-CN"/>
        </w:rPr>
      </w:pPr>
    </w:p>
    <w:p>
      <w:pPr>
        <w:pStyle w:val="2"/>
        <w:rPr>
          <w:rFonts w:hint="eastAsia" w:ascii="宋体" w:hAnsi="宋体" w:eastAsia="宋体" w:cs="宋体"/>
          <w:b/>
          <w:color w:val="auto"/>
          <w:kern w:val="2"/>
          <w:sz w:val="24"/>
          <w:szCs w:val="24"/>
          <w:lang w:val="en-US" w:eastAsia="zh-CN"/>
        </w:rPr>
      </w:pPr>
    </w:p>
    <w:p>
      <w:pPr>
        <w:pStyle w:val="2"/>
        <w:rPr>
          <w:rFonts w:hint="eastAsia" w:ascii="宋体" w:hAnsi="宋体" w:eastAsia="宋体" w:cs="宋体"/>
          <w:b/>
          <w:color w:val="auto"/>
          <w:kern w:val="2"/>
          <w:sz w:val="24"/>
          <w:szCs w:val="24"/>
          <w:lang w:val="en-US" w:eastAsia="zh-CN"/>
        </w:rPr>
      </w:pPr>
    </w:p>
    <w:p>
      <w:pPr>
        <w:pStyle w:val="2"/>
        <w:rPr>
          <w:rFonts w:hint="eastAsia" w:ascii="宋体" w:hAnsi="宋体" w:eastAsia="宋体" w:cs="宋体"/>
          <w:b/>
          <w:color w:val="auto"/>
          <w:kern w:val="2"/>
          <w:sz w:val="24"/>
          <w:szCs w:val="24"/>
          <w:lang w:val="en-US" w:eastAsia="zh-CN"/>
        </w:rPr>
      </w:pPr>
    </w:p>
    <w:p>
      <w:pPr>
        <w:pStyle w:val="2"/>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附件二</w:t>
      </w:r>
    </w:p>
    <w:p>
      <w:pPr>
        <w:pStyle w:val="2"/>
        <w:jc w:val="both"/>
        <w:outlineLvl w:val="0"/>
        <w:rPr>
          <w:rFonts w:hint="eastAsia" w:ascii="黑体" w:hAnsi="黑体" w:eastAsia="黑体" w:cs="黑体"/>
          <w:b/>
          <w:kern w:val="10"/>
          <w:sz w:val="24"/>
          <w:lang w:val="zh-TW" w:eastAsia="zh-TW"/>
        </w:rPr>
      </w:pPr>
      <w:bookmarkStart w:id="0" w:name="_Toc738"/>
      <w:r>
        <w:rPr>
          <w:rStyle w:val="16"/>
          <w:rFonts w:hint="eastAsia" w:ascii="黑体" w:hAnsi="黑体" w:eastAsia="黑体" w:cs="黑体"/>
          <w:b w:val="0"/>
          <w:bCs/>
          <w:color w:val="auto"/>
          <w:sz w:val="24"/>
          <w:szCs w:val="24"/>
          <w:lang w:val="en-US" w:eastAsia="zh-CN" w:bidi="ar-SA"/>
        </w:rPr>
        <w:t xml:space="preserve">1 </w:t>
      </w:r>
      <w:r>
        <w:rPr>
          <w:rStyle w:val="16"/>
          <w:rFonts w:hint="eastAsia" w:ascii="黑体" w:hAnsi="黑体" w:eastAsia="黑体" w:cs="黑体"/>
          <w:b w:val="0"/>
          <w:bCs/>
          <w:color w:val="auto"/>
          <w:sz w:val="24"/>
          <w:szCs w:val="24"/>
          <w:lang w:val="zh-TW" w:eastAsia="zh-TW" w:bidi="ar-SA"/>
        </w:rPr>
        <w:t>前言</w:t>
      </w:r>
      <w:bookmarkEnd w:id="0"/>
      <w:r>
        <w:rPr>
          <w:rStyle w:val="16"/>
          <w:rFonts w:hint="eastAsia" w:ascii="黑体" w:hAnsi="黑体" w:eastAsia="黑体" w:cs="黑体"/>
          <w:b w:val="0"/>
          <w:bCs/>
          <w:color w:val="auto"/>
          <w:sz w:val="24"/>
          <w:szCs w:val="24"/>
          <w:lang w:val="zh-TW" w:eastAsia="zh-TW"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1.1本质量协议用于约定买方对卖方交付的产品及其质量要求，买方对卖方交付产品的实现过程的相关要求以及对卖方相关违约的管理要求。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1.2 甲、乙双方应严格遵守本协议各条款的规定和要求，违约方应对其所造成的事故负全部责任，并按照协议的要求作出损失赔偿。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1.3本协议从双方签字盖章之日生效，直到双方重新签订协议之前有效。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1.4本协议签订后，甲乙双方对本协议的修改或补充应做成书面形式，经双方代表签字并加盖公章后执行。</w:t>
      </w:r>
    </w:p>
    <w:p>
      <w:pPr>
        <w:keepNext w:val="0"/>
        <w:keepLines w:val="0"/>
        <w:pageBreakBefore w:val="0"/>
        <w:widowControl w:val="0"/>
        <w:numPr>
          <w:ilvl w:val="0"/>
          <w:numId w:val="0"/>
        </w:numPr>
        <w:kinsoku/>
        <w:wordWrap/>
        <w:overflowPunct/>
        <w:topLinePunct w:val="0"/>
        <w:bidi w:val="0"/>
        <w:snapToGrid/>
        <w:spacing w:before="156" w:beforeLines="50" w:after="156" w:afterLines="50" w:line="480" w:lineRule="exact"/>
        <w:textAlignment w:val="auto"/>
        <w:outlineLvl w:val="0"/>
        <w:rPr>
          <w:rStyle w:val="16"/>
          <w:rFonts w:hint="eastAsia" w:ascii="黑体" w:hAnsi="黑体" w:eastAsia="黑体" w:cs="黑体"/>
          <w:b w:val="0"/>
          <w:bCs/>
          <w:color w:val="auto"/>
          <w:sz w:val="24"/>
          <w:szCs w:val="24"/>
          <w:lang w:val="en-US" w:eastAsia="zh-CN" w:bidi="ar-SA"/>
        </w:rPr>
      </w:pPr>
      <w:bookmarkStart w:id="1" w:name="_Toc18054"/>
      <w:r>
        <w:rPr>
          <w:rStyle w:val="16"/>
          <w:rFonts w:hint="eastAsia" w:ascii="黑体" w:hAnsi="黑体" w:eastAsia="黑体" w:cs="黑体"/>
          <w:b w:val="0"/>
          <w:bCs/>
          <w:color w:val="auto"/>
          <w:sz w:val="24"/>
          <w:szCs w:val="24"/>
          <w:lang w:val="en-US" w:eastAsia="zh-CN" w:bidi="ar-SA"/>
        </w:rPr>
        <w:t>2 产品质量要求</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sz w:val="24"/>
          <w:szCs w:val="24"/>
          <w:lang w:val="en-US" w:eastAsia="zh-CN"/>
        </w:rPr>
      </w:pPr>
      <w:bookmarkStart w:id="2" w:name="_Toc27979"/>
      <w:r>
        <w:rPr>
          <w:rFonts w:hint="eastAsia" w:ascii="宋体" w:hAnsi="宋体" w:eastAsia="宋体" w:cs="宋体"/>
          <w:b/>
          <w:bCs w:val="0"/>
          <w:kern w:val="10"/>
          <w:sz w:val="24"/>
          <w:lang w:val="en-US" w:eastAsia="zh-CN"/>
        </w:rPr>
        <w:t>2.1 范围</w:t>
      </w:r>
      <w:bookmarkEnd w:id="2"/>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本标准依据YB/T 5194-2015改质沥青标准，结合田田碳素实际生产运行情况编制，规定了改质沥青的技术要求、试验方法、检验规则、包装、运输、贮存和质量证明书、安全注意事项等。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适用于田田碳素改质沥青产品的质量检验及质量验证。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val="0"/>
          <w:kern w:val="10"/>
          <w:sz w:val="24"/>
          <w:lang w:val="en-US" w:eastAsia="zh-CN"/>
        </w:rPr>
      </w:pPr>
      <w:bookmarkStart w:id="3" w:name="_Toc28829"/>
      <w:r>
        <w:rPr>
          <w:rFonts w:hint="eastAsia" w:ascii="宋体" w:hAnsi="宋体" w:eastAsia="宋体" w:cs="宋体"/>
          <w:b/>
          <w:bCs w:val="0"/>
          <w:kern w:val="10"/>
          <w:sz w:val="24"/>
          <w:lang w:val="en-US" w:eastAsia="zh-CN"/>
        </w:rPr>
        <w:t>2.2 规范性引用文件</w:t>
      </w:r>
      <w:bookmarkEnd w:id="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下列文件中，除正在执行的合同中有明确规定外；其余最新版本（包括所有的修改单）适用于本标准。该部分标准的引用，包括（但不限于）取样方法、检测方法、重复性、再现性、数值修约等规定要求。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 2000焦化固体类产品取样方法</w:t>
      </w:r>
    </w:p>
    <w:p>
      <w:pPr>
        <w:pStyle w:val="13"/>
        <w:keepNext w:val="0"/>
        <w:keepLines w:val="0"/>
        <w:pageBreakBefore w:val="0"/>
        <w:widowControl w:val="0"/>
        <w:kinsoku/>
        <w:wordWrap/>
        <w:overflowPunct/>
        <w:topLinePunct w:val="0"/>
        <w:autoSpaceDE/>
        <w:autoSpaceDN/>
        <w:bidi w:val="0"/>
        <w:snapToGrid/>
        <w:spacing w:line="500" w:lineRule="exact"/>
        <w:textAlignment w:val="auto"/>
        <w:rPr>
          <w:rFonts w:hint="default" w:ascii="宋体" w:hAnsi="宋体" w:eastAsia="宋体" w:cs="Times New Roman"/>
          <w:b w:val="0"/>
          <w:bCs w:val="0"/>
          <w:kern w:val="10"/>
          <w:sz w:val="24"/>
          <w:highlight w:val="none"/>
          <w:lang w:val="en-US" w:eastAsia="zh-CN"/>
        </w:rPr>
      </w:pPr>
      <w:r>
        <w:rPr>
          <w:rFonts w:hint="eastAsia" w:hAnsi="宋体" w:eastAsia="宋体" w:cs="Times New Roman"/>
          <w:b w:val="0"/>
          <w:bCs w:val="0"/>
          <w:kern w:val="10"/>
          <w:sz w:val="24"/>
          <w:highlight w:val="none"/>
          <w:lang w:val="en-US" w:eastAsia="zh-CN"/>
        </w:rPr>
        <w:t xml:space="preserve">    GB/T 26297.5铝用炭素材料取样方法 第5部分：煤沥青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 2288焦化产品水分测定方法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 2291煤沥青试验室试样的制备方法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 2292焦化产品甲苯不溶物含量的测定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 2293焦化沥青类产品喹啉不溶物试验方法</w:t>
      </w:r>
    </w:p>
    <w:p>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 2294焦化固体类产品软化点测定方法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 2295焦化固体类产品灰分测定方法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 8727煤沥青类产品结焦值的测定方法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YB/T 5194-2015 改质沥青</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50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4" w:name="_Toc9012"/>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3</w:t>
      </w:r>
      <w:r>
        <w:rPr>
          <w:rFonts w:hint="eastAsia" w:ascii="宋体" w:hAnsi="宋体" w:eastAsia="宋体" w:cs="宋体"/>
          <w:b/>
          <w:bCs w:val="0"/>
          <w:kern w:val="10"/>
          <w:sz w:val="24"/>
          <w:szCs w:val="24"/>
          <w:lang w:val="en-US" w:eastAsia="zh-CN" w:bidi="ar-SA"/>
        </w:rPr>
        <w:t xml:space="preserve"> 技术要求</w:t>
      </w:r>
      <w:bookmarkEnd w:id="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10"/>
          <w:szCs w:val="24"/>
          <w:lang w:val="en-US" w:eastAsia="zh-CN" w:bidi="ar-SA"/>
        </w:rPr>
      </w:pPr>
      <w:r>
        <w:rPr>
          <w:rFonts w:hint="eastAsia" w:ascii="宋体" w:hAnsi="宋体" w:eastAsia="宋体" w:cs="宋体"/>
          <w:sz w:val="24"/>
          <w:szCs w:val="24"/>
          <w:lang w:val="en-US" w:eastAsia="zh-CN"/>
        </w:rPr>
        <w:t>2.3.1 改质沥青技术要求应符合表1规定。</w:t>
      </w:r>
    </w:p>
    <w:p>
      <w:pPr>
        <w:pStyle w:val="6"/>
        <w:keepNext w:val="0"/>
        <w:keepLines w:val="0"/>
        <w:pageBreakBefore w:val="0"/>
        <w:widowControl w:val="0"/>
        <w:tabs>
          <w:tab w:val="left" w:pos="3330"/>
        </w:tabs>
        <w:kinsoku/>
        <w:wordWrap/>
        <w:overflowPunct/>
        <w:topLinePunct w:val="0"/>
        <w:bidi w:val="0"/>
        <w:snapToGrid/>
        <w:spacing w:line="240" w:lineRule="auto"/>
        <w:jc w:val="both"/>
        <w:textAlignment w:val="auto"/>
        <w:rPr>
          <w:rFonts w:hint="eastAsia" w:ascii="黑体" w:hAnsi="黑体" w:eastAsia="黑体" w:cs="黑体"/>
          <w:kern w:val="10"/>
          <w:sz w:val="24"/>
          <w:szCs w:val="24"/>
          <w:lang w:val="en-US" w:eastAsia="zh-CN" w:bidi="ar-SA"/>
        </w:rPr>
      </w:pPr>
    </w:p>
    <w:p>
      <w:pPr>
        <w:pStyle w:val="6"/>
        <w:keepNext w:val="0"/>
        <w:keepLines w:val="0"/>
        <w:pageBreakBefore w:val="0"/>
        <w:widowControl w:val="0"/>
        <w:tabs>
          <w:tab w:val="left" w:pos="3330"/>
        </w:tabs>
        <w:kinsoku/>
        <w:wordWrap/>
        <w:overflowPunct/>
        <w:topLinePunct w:val="0"/>
        <w:bidi w:val="0"/>
        <w:snapToGrid/>
        <w:spacing w:line="240" w:lineRule="auto"/>
        <w:jc w:val="center"/>
        <w:textAlignment w:val="auto"/>
        <w:rPr>
          <w:rFonts w:hint="eastAsia" w:ascii="宋体" w:hAnsi="宋体" w:eastAsia="宋体" w:cs="宋体"/>
          <w:kern w:val="10"/>
          <w:sz w:val="24"/>
          <w:szCs w:val="24"/>
          <w:lang w:val="en-US" w:eastAsia="zh-CN" w:bidi="ar-SA"/>
        </w:rPr>
      </w:pPr>
      <w:r>
        <w:rPr>
          <w:rFonts w:hint="eastAsia" w:ascii="宋体" w:hAnsi="宋体" w:eastAsia="宋体" w:cs="宋体"/>
          <w:kern w:val="10"/>
          <w:sz w:val="24"/>
          <w:szCs w:val="24"/>
          <w:lang w:val="en-US" w:eastAsia="zh-CN" w:bidi="ar-SA"/>
        </w:rPr>
        <w:t>表1：改质沥青的技术要求</w:t>
      </w:r>
    </w:p>
    <w:p>
      <w:pPr>
        <w:pStyle w:val="6"/>
        <w:keepNext w:val="0"/>
        <w:keepLines w:val="0"/>
        <w:pageBreakBefore w:val="0"/>
        <w:widowControl w:val="0"/>
        <w:tabs>
          <w:tab w:val="left" w:pos="3330"/>
        </w:tabs>
        <w:kinsoku/>
        <w:wordWrap/>
        <w:overflowPunct/>
        <w:topLinePunct w:val="0"/>
        <w:bidi w:val="0"/>
        <w:snapToGrid/>
        <w:spacing w:line="240" w:lineRule="auto"/>
        <w:jc w:val="both"/>
        <w:textAlignment w:val="auto"/>
        <w:rPr>
          <w:rFonts w:hint="eastAsia" w:ascii="黑体" w:hAnsi="黑体" w:eastAsia="黑体" w:cs="黑体"/>
          <w:kern w:val="10"/>
          <w:sz w:val="24"/>
          <w:szCs w:val="24"/>
          <w:lang w:val="en-US" w:eastAsia="zh-CN" w:bidi="ar-SA"/>
        </w:rPr>
      </w:pPr>
    </w:p>
    <w:tbl>
      <w:tblPr>
        <w:tblStyle w:val="12"/>
        <w:tblpPr w:leftFromText="180" w:rightFromText="180" w:vertAnchor="text" w:horzAnchor="page" w:tblpXSpec="center" w:tblpY="263"/>
        <w:tblOverlap w:val="never"/>
        <w:tblW w:w="9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08"/>
        <w:gridCol w:w="2738"/>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restart"/>
            <w:tcBorders>
              <w:bottom w:val="nil"/>
            </w:tcBorders>
            <w:vAlign w:val="top"/>
          </w:tcPr>
          <w:p>
            <w:pPr>
              <w:spacing w:line="249" w:lineRule="auto"/>
              <w:ind w:left="210" w:leftChars="100"/>
              <w:rPr>
                <w:rFonts w:ascii="Arial"/>
                <w:b/>
                <w:bCs/>
                <w:sz w:val="21"/>
                <w:szCs w:val="21"/>
              </w:rPr>
            </w:pPr>
          </w:p>
          <w:p>
            <w:pPr>
              <w:spacing w:line="249" w:lineRule="auto"/>
              <w:ind w:left="210" w:leftChars="100"/>
              <w:rPr>
                <w:rFonts w:ascii="Arial"/>
                <w:b/>
                <w:bCs/>
                <w:sz w:val="21"/>
                <w:szCs w:val="21"/>
              </w:rPr>
            </w:pPr>
          </w:p>
          <w:p>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bottom w:val="nil"/>
            </w:tcBorders>
            <w:vAlign w:val="top"/>
          </w:tcPr>
          <w:p>
            <w:pPr>
              <w:ind w:left="210" w:leftChars="100"/>
              <w:rPr>
                <w:rFonts w:ascii="Arial"/>
                <w:b/>
                <w:bCs/>
                <w:sz w:val="21"/>
                <w:szCs w:val="21"/>
              </w:rPr>
            </w:pP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tcBorders>
            <w:vAlign w:val="top"/>
          </w:tcPr>
          <w:p>
            <w:pPr>
              <w:ind w:left="210" w:leftChars="100"/>
              <w:rPr>
                <w:rFonts w:ascii="Arial"/>
                <w:b/>
                <w:bCs/>
                <w:sz w:val="21"/>
                <w:szCs w:val="21"/>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2340" w:type="dxa"/>
            <w:vAlign w:val="center"/>
          </w:tcPr>
          <w:p>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2.3.2 水分含量只作生产操作控制指标，不作为质量考核依据，具体在到货量中作扣重处理。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2.3.3 外观质量：沥青不得含有杂质。</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5" w:name="_Toc16889"/>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4</w:t>
      </w:r>
      <w:r>
        <w:rPr>
          <w:rFonts w:hint="eastAsia" w:ascii="宋体" w:hAnsi="宋体" w:eastAsia="宋体" w:cs="宋体"/>
          <w:b/>
          <w:bCs w:val="0"/>
          <w:kern w:val="10"/>
          <w:sz w:val="24"/>
          <w:szCs w:val="24"/>
          <w:lang w:val="en-US" w:eastAsia="zh-CN" w:bidi="ar-SA"/>
        </w:rPr>
        <w:t xml:space="preserve"> 试验方法</w:t>
      </w:r>
      <w:bookmarkEnd w:id="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2.4.1 软化点的测定按GB/T 2294规定进行。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2.4.2 甲苯不溶物含量的测定按GB/T 2292规定进行。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2.4.3 喹啉不溶物含量的测定按GB/T 2293规定进行。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2.4.4 水分的测定按GB/T 2288规定进行。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2.4.5 结焦值的测定按GB/T 8727规定进行。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2.4.6 灰分的测定按GB/T 2295规定进行。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kern w:val="10"/>
          <w:sz w:val="24"/>
          <w:lang w:val="en-US" w:eastAsia="zh-CN"/>
        </w:rPr>
      </w:pPr>
      <w:r>
        <w:rPr>
          <w:rFonts w:hint="eastAsia" w:ascii="宋体" w:hAnsi="宋体" w:eastAsia="宋体" w:cs="Times New Roman"/>
          <w:b w:val="0"/>
          <w:bCs w:val="0"/>
          <w:kern w:val="10"/>
          <w:sz w:val="24"/>
          <w:highlight w:val="none"/>
          <w:lang w:val="en-US" w:eastAsia="zh-CN"/>
        </w:rPr>
        <w:t>2.4.7 β树脂含量由甲苯不溶物含量和喹啉不溶物含量差值计算而得。</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6" w:name="_Toc15746"/>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5</w:t>
      </w:r>
      <w:r>
        <w:rPr>
          <w:rFonts w:hint="eastAsia" w:ascii="宋体" w:hAnsi="宋体" w:eastAsia="宋体" w:cs="宋体"/>
          <w:b/>
          <w:bCs w:val="0"/>
          <w:kern w:val="10"/>
          <w:sz w:val="24"/>
          <w:szCs w:val="24"/>
          <w:lang w:val="en-US" w:eastAsia="zh-CN" w:bidi="ar-SA"/>
        </w:rPr>
        <w:t xml:space="preserve"> 检验规则</w:t>
      </w:r>
      <w:bookmarkEnd w:id="6"/>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2.5</w:t>
      </w:r>
      <w:r>
        <w:rPr>
          <w:rFonts w:hint="eastAsia" w:ascii="宋体" w:hAnsi="宋体" w:eastAsia="宋体" w:cs="Times New Roman"/>
          <w:b/>
          <w:kern w:val="10"/>
          <w:sz w:val="24"/>
          <w:szCs w:val="24"/>
          <w:lang w:val="en-US" w:eastAsia="zh-CN" w:bidi="ar-SA"/>
        </w:rPr>
        <w:t>.1 检测和验收</w:t>
      </w:r>
    </w:p>
    <w:p>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 xml:space="preserve">2.5.1.1 </w:t>
      </w:r>
      <w:r>
        <w:rPr>
          <w:rFonts w:hint="eastAsia" w:ascii="宋体" w:hAnsi="宋体" w:eastAsia="宋体" w:cs="Times New Roman"/>
          <w:b w:val="0"/>
          <w:bCs w:val="0"/>
          <w:kern w:val="10"/>
          <w:sz w:val="24"/>
          <w:lang w:val="en-US" w:eastAsia="zh-CN"/>
        </w:rPr>
        <w:t>沥青由需方在需方仓库内进行抽样检验。如检验结果与本合同的规定不符时，应及时向供方提出，供方收到需方质量异常反馈后，应在3个工作日内处理，否则视为默认需方提出的异议和处理意见。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2.5.1.2 必要时，需方可依据订货单（或合同）约定，进入供方现场对拟交货的产品进行供货前的检查和验收。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2.5.2 组批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2.5.2.1 同一供应商，每车都需要采样，每5车组批检测水分、灰分、结焦值、软化点（连续两日内到货量不足5车的同样组批检测）。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FF0000"/>
          <w:kern w:val="10"/>
          <w:sz w:val="24"/>
          <w:highlight w:val="none"/>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2.5.2.2 对于沥青甲苯不溶物、喹啉不溶物、β树脂三项指标，新到货的供应商以每5车组批检测一次，当同一供应商连续两批次检测均合格后，转为每月随机抽检一次，当抽检过程中出现任何一项指标不合格时，立即转为以每5车组批抽检一次，连续两批次检测合格后再转为以每月随机抽检一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FF0000"/>
          <w:kern w:val="10"/>
          <w:sz w:val="24"/>
          <w:highlight w:val="none"/>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2.5.2.3 沥青在使用过程中出现质量问题时，可不定时进行取样检验。若为沥青质量存在问题的，由供方承担相关责任及赔偿相应损失。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水分、灰分、软化点、结焦值、甲苯不溶物、喹啉不溶物、β树脂。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2.5.4 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2.5.4.1 试样的采取按GB/T 2000焦化固体类产品取样方法、GB/T 26297.5 铝用炭素材料取样方法 第5部分：煤沥青相关规定进行，试样的制备按GB/T 2291 煤沥青试验室试样的制备方法规定进行。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2.5.4.2 沥青封存试样保存期限不少于3个月。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2.5.5 复检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lang w:val="en-US" w:eastAsia="zh-CN"/>
        </w:rPr>
        <w:t>供需双方在验收过程中就质量问题发生争议时，供方需在3工作日内提出复检申请，用需方到货验收时封存样品进行复检。双方一起确认标准样品后，在需方实验室进行复检，当复检结果在该项指标检测标准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2.5.6 检验结果的判定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验收过程中，出现</w:t>
      </w:r>
      <w:r>
        <w:rPr>
          <w:rFonts w:hint="default" w:ascii="宋体" w:hAnsi="宋体" w:eastAsia="宋体" w:cs="Times New Roman"/>
          <w:b w:val="0"/>
          <w:bCs w:val="0"/>
          <w:kern w:val="10"/>
          <w:sz w:val="24"/>
          <w:highlight w:val="none"/>
          <w:lang w:val="en-US" w:eastAsia="zh-CN"/>
        </w:rPr>
        <w:t>任何</w:t>
      </w:r>
      <w:r>
        <w:rPr>
          <w:rFonts w:hint="eastAsia" w:ascii="宋体" w:hAnsi="宋体" w:eastAsia="宋体" w:cs="Times New Roman"/>
          <w:b w:val="0"/>
          <w:bCs w:val="0"/>
          <w:kern w:val="10"/>
          <w:sz w:val="24"/>
          <w:highlight w:val="none"/>
          <w:lang w:val="en-US" w:eastAsia="zh-CN"/>
        </w:rPr>
        <w:t>一</w:t>
      </w:r>
      <w:r>
        <w:rPr>
          <w:rFonts w:hint="default" w:ascii="宋体" w:hAnsi="宋体" w:eastAsia="宋体" w:cs="Times New Roman"/>
          <w:b w:val="0"/>
          <w:bCs w:val="0"/>
          <w:kern w:val="10"/>
          <w:sz w:val="24"/>
          <w:highlight w:val="none"/>
          <w:lang w:val="en-US" w:eastAsia="zh-CN"/>
        </w:rPr>
        <w:t>项</w:t>
      </w:r>
      <w:r>
        <w:rPr>
          <w:rFonts w:hint="eastAsia" w:ascii="宋体" w:hAnsi="宋体" w:eastAsia="宋体" w:cs="Times New Roman"/>
          <w:b w:val="0"/>
          <w:bCs w:val="0"/>
          <w:kern w:val="10"/>
          <w:sz w:val="24"/>
          <w:highlight w:val="none"/>
          <w:lang w:val="en-US" w:eastAsia="zh-CN"/>
        </w:rPr>
        <w:t>质量指标</w:t>
      </w:r>
      <w:r>
        <w:rPr>
          <w:rFonts w:hint="default" w:ascii="宋体" w:hAnsi="宋体" w:eastAsia="宋体" w:cs="Times New Roman"/>
          <w:b w:val="0"/>
          <w:bCs w:val="0"/>
          <w:kern w:val="10"/>
          <w:sz w:val="24"/>
          <w:highlight w:val="none"/>
          <w:lang w:val="en-US" w:eastAsia="zh-CN"/>
        </w:rPr>
        <w:t>不合格，</w:t>
      </w:r>
      <w:r>
        <w:rPr>
          <w:rFonts w:hint="eastAsia" w:ascii="宋体" w:hAnsi="宋体" w:eastAsia="宋体" w:cs="Times New Roman"/>
          <w:b w:val="0"/>
          <w:bCs w:val="0"/>
          <w:kern w:val="10"/>
          <w:sz w:val="24"/>
          <w:highlight w:val="none"/>
          <w:lang w:val="en-US" w:eastAsia="zh-CN"/>
        </w:rPr>
        <w:t>判定该批次沥青不合格。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2.5.7 外观质量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沥青不得含有杂质，外观质量以目视检测。</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Times New Roman"/>
          <w:b w:val="0"/>
          <w:bCs/>
          <w:kern w:val="10"/>
          <w:sz w:val="24"/>
          <w:szCs w:val="24"/>
          <w:lang w:val="en-US" w:eastAsia="zh-CN" w:bidi="ar-SA"/>
        </w:rPr>
      </w:pPr>
      <w:bookmarkStart w:id="7" w:name="_Toc4367"/>
      <w:r>
        <w:rPr>
          <w:rFonts w:hint="eastAsia" w:ascii="宋体" w:hAnsi="宋体" w:eastAsia="宋体" w:cs="宋体"/>
          <w:b/>
          <w:bCs w:val="0"/>
          <w:kern w:val="10"/>
          <w:sz w:val="24"/>
          <w:szCs w:val="24"/>
          <w:lang w:val="en-US" w:eastAsia="zh-CN" w:bidi="ar-SA"/>
        </w:rPr>
        <w:t>2.6 随行文件</w:t>
      </w:r>
      <w:bookmarkEnd w:id="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每批到货的沥青都应附有质量证明书。证明书内容包括：①供方名称；</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highlight w:val="none"/>
          <w:lang w:val="en-US" w:eastAsia="zh-CN"/>
        </w:rPr>
        <w:t>产品名称；</w:t>
      </w:r>
      <w:r>
        <w:rPr>
          <w:rFonts w:hint="eastAsia" w:asciiTheme="majorEastAsia" w:hAnsiTheme="majorEastAsia" w:eastAsiaTheme="majorEastAsia" w:cstheme="majorEastAsia"/>
          <w:kern w:val="10"/>
          <w:sz w:val="24"/>
          <w:lang w:val="en-US" w:eastAsia="zh-CN"/>
        </w:rPr>
        <w:t>③</w:t>
      </w:r>
      <w:r>
        <w:rPr>
          <w:rFonts w:hint="eastAsia" w:ascii="宋体" w:hAnsi="宋体" w:eastAsia="宋体" w:cs="Times New Roman"/>
          <w:b w:val="0"/>
          <w:bCs w:val="0"/>
          <w:kern w:val="10"/>
          <w:sz w:val="24"/>
          <w:highlight w:val="none"/>
          <w:lang w:val="en-US" w:eastAsia="zh-CN"/>
        </w:rPr>
        <w:t>产品执行标准号；</w:t>
      </w:r>
      <w:r>
        <w:rPr>
          <w:rFonts w:hint="eastAsia" w:ascii="宋体" w:hAnsi="宋体" w:eastAsia="宋体" w:cs="宋体"/>
          <w:b w:val="0"/>
          <w:bCs w:val="0"/>
          <w:kern w:val="10"/>
          <w:sz w:val="24"/>
          <w:highlight w:val="none"/>
          <w:lang w:val="en-US" w:eastAsia="zh-CN"/>
        </w:rPr>
        <w:t>④</w:t>
      </w:r>
      <w:r>
        <w:rPr>
          <w:rFonts w:hint="eastAsia" w:ascii="宋体" w:hAnsi="宋体" w:eastAsia="宋体" w:cs="Times New Roman"/>
          <w:b w:val="0"/>
          <w:bCs w:val="0"/>
          <w:kern w:val="10"/>
          <w:sz w:val="24"/>
          <w:highlight w:val="none"/>
          <w:lang w:val="en-US" w:eastAsia="zh-CN"/>
        </w:rPr>
        <w:t>产品批号、产品等级、净重、⑤分析检验结果及供方技术(质量)监督部门印记。</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szCs w:val="24"/>
          <w:lang w:val="en-US" w:eastAsia="zh-CN" w:bidi="ar-SA"/>
        </w:rPr>
      </w:pPr>
      <w:bookmarkStart w:id="8" w:name="_Toc6876"/>
      <w:r>
        <w:rPr>
          <w:rFonts w:hint="eastAsia" w:ascii="宋体" w:hAnsi="宋体" w:eastAsia="宋体" w:cs="宋体"/>
          <w:b/>
          <w:bCs w:val="0"/>
          <w:kern w:val="10"/>
          <w:sz w:val="24"/>
          <w:szCs w:val="24"/>
          <w:lang w:val="en-US" w:eastAsia="zh-CN" w:bidi="ar-SA"/>
        </w:rPr>
        <w:t>2.7 包装、运输和贮存</w:t>
      </w:r>
      <w:bookmarkEnd w:id="8"/>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2.7.1 本产品应装入洁净、干燥，无杂质的车箱发给需方，如以液体方式发送，需装入洁净、干燥的槽车或油船中，铅封后发货。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2.7.2 固体状态改质沥青在运输和贮存中要求隔绝火种、远离热源，防止阳光直射，贮存于阴凉通风处，应与氧化剂和食用化学品分开存放；液体状态改质沥青在运输和贮存中要求隔绝火种，防止阳光直射。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kern w:val="10"/>
          <w:sz w:val="24"/>
          <w:lang w:val="en-US" w:eastAsia="zh-CN"/>
        </w:rPr>
      </w:pPr>
      <w:r>
        <w:rPr>
          <w:rFonts w:hint="eastAsia" w:ascii="宋体" w:hAnsi="宋体" w:eastAsia="宋体" w:cs="Times New Roman"/>
          <w:b w:val="0"/>
          <w:bCs w:val="0"/>
          <w:kern w:val="10"/>
          <w:sz w:val="24"/>
          <w:highlight w:val="none"/>
          <w:lang w:val="en-US" w:eastAsia="zh-CN"/>
        </w:rPr>
        <w:t>2.7.3 沥青运输过程应做好防护。</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textAlignment w:val="auto"/>
        <w:outlineLvl w:val="1"/>
        <w:rPr>
          <w:rFonts w:hint="eastAsia" w:ascii="宋体" w:hAnsi="宋体" w:eastAsia="宋体" w:cs="宋体"/>
          <w:b/>
          <w:bCs w:val="0"/>
          <w:color w:val="000000" w:themeColor="text1"/>
          <w:kern w:val="10"/>
          <w:sz w:val="24"/>
          <w:lang w:val="en-US" w:eastAsia="zh-CN"/>
          <w14:textFill>
            <w14:solidFill>
              <w14:schemeClr w14:val="tx1"/>
            </w14:solidFill>
          </w14:textFill>
        </w:rPr>
      </w:pPr>
      <w:bookmarkStart w:id="9" w:name="_Toc11080"/>
      <w:r>
        <w:rPr>
          <w:rFonts w:hint="eastAsia" w:ascii="宋体" w:hAnsi="宋体" w:eastAsia="宋体" w:cs="宋体"/>
          <w:b/>
          <w:bCs w:val="0"/>
          <w:color w:val="000000" w:themeColor="text1"/>
          <w:kern w:val="10"/>
          <w:sz w:val="24"/>
          <w:lang w:val="en-US" w:eastAsia="zh-CN"/>
          <w14:textFill>
            <w14:solidFill>
              <w14:schemeClr w14:val="tx1"/>
            </w14:solidFill>
          </w14:textFill>
        </w:rPr>
        <w:t>2.8 扣款细则</w:t>
      </w:r>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当供方供应的沥青不合格时，如需方同意接收使用的，按以下扣款细则进行扣重，否则进行退货处理。</w:t>
      </w:r>
    </w:p>
    <w:p>
      <w:pPr>
        <w:pStyle w:val="6"/>
        <w:keepNext w:val="0"/>
        <w:keepLines w:val="0"/>
        <w:pageBreakBefore w:val="0"/>
        <w:widowControl w:val="0"/>
        <w:tabs>
          <w:tab w:val="left" w:pos="3330"/>
        </w:tabs>
        <w:kinsoku/>
        <w:wordWrap/>
        <w:overflowPunct/>
        <w:topLinePunct w:val="0"/>
        <w:bidi w:val="0"/>
        <w:snapToGrid/>
        <w:spacing w:line="240" w:lineRule="auto"/>
        <w:ind w:firstLine="2880" w:firstLineChars="1200"/>
        <w:jc w:val="both"/>
        <w:textAlignment w:val="auto"/>
        <w:rPr>
          <w:rFonts w:hint="eastAsia" w:ascii="宋体" w:hAnsi="宋体" w:eastAsia="宋体" w:cs="宋体"/>
          <w:lang w:val="en-US" w:eastAsia="zh-CN"/>
        </w:rPr>
      </w:pPr>
      <w:r>
        <w:rPr>
          <w:rFonts w:hint="eastAsia" w:ascii="宋体" w:hAnsi="宋体" w:eastAsia="宋体" w:cs="宋体"/>
          <w:kern w:val="10"/>
          <w:sz w:val="24"/>
          <w:szCs w:val="24"/>
          <w:lang w:val="en-US" w:eastAsia="zh-CN" w:bidi="ar-SA"/>
        </w:rPr>
        <w:t>表2：改质沥青质量扣</w:t>
      </w:r>
      <w:r>
        <w:rPr>
          <w:rFonts w:hint="eastAsia" w:cs="宋体"/>
          <w:kern w:val="10"/>
          <w:sz w:val="24"/>
          <w:szCs w:val="24"/>
          <w:lang w:val="en-US" w:eastAsia="zh-CN" w:bidi="ar-SA"/>
        </w:rPr>
        <w:t>重</w:t>
      </w:r>
      <w:r>
        <w:rPr>
          <w:rFonts w:hint="eastAsia" w:ascii="宋体" w:hAnsi="宋体" w:eastAsia="宋体" w:cs="宋体"/>
          <w:kern w:val="10"/>
          <w:sz w:val="24"/>
          <w:szCs w:val="24"/>
          <w:lang w:val="en-US" w:eastAsia="zh-CN" w:bidi="ar-SA"/>
        </w:rPr>
        <w:t>细则</w:t>
      </w:r>
    </w:p>
    <w:tbl>
      <w:tblPr>
        <w:tblStyle w:val="10"/>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widowControl/>
              <w:suppressLineNumbers w:val="0"/>
              <w:ind w:left="21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扣重标准</w:t>
            </w:r>
          </w:p>
        </w:tc>
        <w:tc>
          <w:tcPr>
            <w:tcW w:w="85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widowControl/>
              <w:suppressLineNumbers w:val="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top"/>
          </w:tcPr>
          <w:p>
            <w:pPr>
              <w:spacing w:before="206" w:line="222" w:lineRule="auto"/>
              <w:jc w:val="both"/>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widowControl/>
              <w:suppressLineNumbers w:val="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每增加1扣30kg/吨</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widowControl/>
              <w:suppressLineNumbers w:val="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spacing w:before="206" w:line="220"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widowControl/>
              <w:suppressLineNumbers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每增加1扣30kg/吨</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widowControl/>
              <w:suppressLineNumbers w:val="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spacing w:before="206" w:line="221"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widowControl/>
              <w:suppressLineNumbers w:val="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每增加1扣30kg/吨</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widowControl/>
              <w:suppressLineNumbers w:val="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spacing w:before="207" w:line="223" w:lineRule="auto"/>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widowControl/>
              <w:suppressLineNumbers w:val="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每降低1扣30kg/吨</w:t>
            </w:r>
          </w:p>
        </w:tc>
        <w:tc>
          <w:tcPr>
            <w:tcW w:w="85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widowControl/>
              <w:suppressLineNumbers w:val="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top"/>
          </w:tcPr>
          <w:p>
            <w:pPr>
              <w:spacing w:before="198" w:line="223"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widowControl/>
              <w:suppressLineNumbers w:val="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每降低1扣30kg/吨</w:t>
            </w:r>
          </w:p>
        </w:tc>
        <w:tc>
          <w:tcPr>
            <w:tcW w:w="855" w:type="dxa"/>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widowControl/>
              <w:suppressLineNumbers w:val="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top"/>
          </w:tcPr>
          <w:p>
            <w:pPr>
              <w:spacing w:before="206" w:line="222" w:lineRule="auto"/>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每增加0.01扣3kg/吨</w:t>
            </w:r>
          </w:p>
        </w:tc>
        <w:tc>
          <w:tcPr>
            <w:tcW w:w="85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每增加0.01扣9kg/吨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top"/>
          </w:tcPr>
          <w:p>
            <w:pPr>
              <w:spacing w:before="198" w:line="228" w:lineRule="auto"/>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widowControl/>
              <w:suppressLineNumbers w:val="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超一扣一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spacing w:before="198" w:line="228" w:lineRule="auto"/>
              <w:ind w:left="210" w:leftChars="100"/>
              <w:rPr>
                <w:rFonts w:ascii="宋体" w:hAnsi="宋体" w:eastAsia="宋体" w:cs="宋体"/>
                <w:color w:val="auto"/>
                <w:spacing w:val="8"/>
                <w:sz w:val="21"/>
                <w:szCs w:val="21"/>
                <w:highlight w:val="none"/>
              </w:rPr>
            </w:pPr>
          </w:p>
        </w:tc>
        <w:tc>
          <w:tcPr>
            <w:tcW w:w="1215" w:type="dxa"/>
            <w:vAlign w:val="center"/>
          </w:tcPr>
          <w:p>
            <w:pPr>
              <w:pStyle w:val="2"/>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4.0＞X≤5.0</w:t>
            </w:r>
          </w:p>
        </w:tc>
        <w:tc>
          <w:tcPr>
            <w:tcW w:w="1610"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超一扣一</w:t>
            </w:r>
          </w:p>
        </w:tc>
        <w:tc>
          <w:tcPr>
            <w:tcW w:w="855" w:type="dxa"/>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超一扣三</w:t>
            </w:r>
          </w:p>
        </w:tc>
      </w:tr>
    </w:tbl>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ODgwZDk4Njk2Zjc5NzBlNjhlZDk5OTRhY2E0YzgifQ=="/>
  </w:docVars>
  <w:rsids>
    <w:rsidRoot w:val="7F805965"/>
    <w:rsid w:val="68746AA8"/>
    <w:rsid w:val="7F805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6"/>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48"/>
      <w:szCs w:val="48"/>
      <w:lang w:val="en-US" w:eastAsia="zh-CN" w:bidi="ar"/>
    </w:rPr>
  </w:style>
  <w:style w:type="character" w:default="1" w:styleId="11">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annotation text"/>
    <w:basedOn w:val="1"/>
    <w:autoRedefine/>
    <w:qFormat/>
    <w:uiPriority w:val="0"/>
    <w:pPr>
      <w:jc w:val="left"/>
    </w:pPr>
  </w:style>
  <w:style w:type="paragraph" w:styleId="6">
    <w:name w:val="Body Text"/>
    <w:basedOn w:val="1"/>
    <w:qFormat/>
    <w:uiPriority w:val="1"/>
    <w:pPr>
      <w:ind w:left="38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正文 A"/>
    <w:basedOn w:val="1"/>
    <w:autoRedefine/>
    <w:qFormat/>
    <w:uiPriority w:val="0"/>
    <w:rPr>
      <w:rFonts w:eastAsia="Arial Unicode MS" w:cs="Arial Unicode MS"/>
      <w:color w:val="000000"/>
      <w:szCs w:val="21"/>
    </w:rPr>
  </w:style>
  <w:style w:type="paragraph" w:customStyle="1" w:styleId="15">
    <w:name w:val="样式1"/>
    <w:basedOn w:val="1"/>
    <w:autoRedefine/>
    <w:qFormat/>
    <w:uiPriority w:val="0"/>
    <w:rPr>
      <w:b/>
      <w:color w:val="538135"/>
      <w:sz w:val="28"/>
    </w:rPr>
  </w:style>
  <w:style w:type="character" w:customStyle="1" w:styleId="16">
    <w:name w:val="标题 1 Char"/>
    <w:link w:val="4"/>
    <w:autoRedefine/>
    <w:qFormat/>
    <w:uiPriority w:val="0"/>
    <w:rPr>
      <w:rFonts w:ascii="微软雅黑" w:hAnsi="微软雅黑" w:eastAsia="微软雅黑" w:cs="微软雅黑"/>
      <w:b/>
      <w:kern w:val="44"/>
      <w:sz w:val="48"/>
      <w:szCs w:val="48"/>
      <w:lang w:val="en-US" w:eastAsia="zh-CN" w:bidi="ar"/>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2024-01-10T09:58:00Z</dcterms:created>
  <dc:creator>彭素华</dc:creator>
  <cp:lastModifiedBy>彭素华</cp:lastModifiedBy>
  <dcterms:modified xsi:type="dcterms:W3CDTF">2024-01-11T06:20:27Z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5AB35D39331D43409A68156F2F0FE798_11</vt:lpwstr>
  </property>
</Properties>
</file>