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本细则规定了</w:t>
      </w:r>
      <w:r>
        <w:rPr>
          <w:rFonts w:hint="eastAsia" w:ascii="宋体" w:hAnsi="宋体" w:cs="宋体"/>
          <w:sz w:val="28"/>
          <w:szCs w:val="28"/>
          <w:u w:val="none"/>
          <w:lang w:val="en-US" w:eastAsia="zh-CN"/>
        </w:rPr>
        <w:t>沥青</w:t>
      </w:r>
      <w:r>
        <w:rPr>
          <w:rFonts w:hint="eastAsia" w:ascii="宋体" w:hAnsi="宋体" w:eastAsia="宋体" w:cs="宋体"/>
          <w:sz w:val="28"/>
          <w:szCs w:val="28"/>
        </w:rPr>
        <w:t>的质量、</w:t>
      </w:r>
      <w:r>
        <w:rPr>
          <w:rFonts w:hint="eastAsia" w:ascii="宋体" w:hAnsi="宋体" w:cs="宋体"/>
          <w:sz w:val="28"/>
          <w:szCs w:val="28"/>
          <w:lang w:val="en-US" w:eastAsia="zh-CN"/>
        </w:rPr>
        <w:t>技术指标</w:t>
      </w:r>
      <w:r>
        <w:rPr>
          <w:rFonts w:hint="eastAsia" w:ascii="宋体" w:hAnsi="宋体" w:eastAsia="宋体" w:cs="宋体"/>
          <w:sz w:val="28"/>
          <w:szCs w:val="28"/>
        </w:rPr>
        <w:t>、检验方法等要求。适用于田林百矿田田碳素有限公司采购</w:t>
      </w:r>
      <w:r>
        <w:rPr>
          <w:rFonts w:hint="eastAsia" w:ascii="宋体" w:hAnsi="宋体" w:cs="宋体"/>
          <w:sz w:val="28"/>
          <w:szCs w:val="28"/>
          <w:u w:val="none"/>
          <w:lang w:val="en-US" w:eastAsia="zh-CN"/>
        </w:rPr>
        <w:t>沥青</w:t>
      </w:r>
      <w:r>
        <w:rPr>
          <w:rFonts w:hint="eastAsia" w:ascii="宋体" w:hAnsi="宋体" w:eastAsia="宋体" w:cs="宋体"/>
          <w:sz w:val="28"/>
          <w:szCs w:val="28"/>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8000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widowControl/>
              <w:suppressLineNumbers w:val="0"/>
              <w:ind w:left="21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widowControl/>
              <w:suppressLineNumbers w:val="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扣重标准</w:t>
            </w:r>
          </w:p>
        </w:tc>
        <w:tc>
          <w:tcPr>
            <w:tcW w:w="855"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widowControl/>
              <w:suppressLineNumbers w:val="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widowControl/>
              <w:suppressLineNumbers w:val="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top"/>
          </w:tcPr>
          <w:p>
            <w:pPr>
              <w:spacing w:before="206" w:line="222" w:lineRule="auto"/>
              <w:jc w:val="both"/>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widowControl/>
              <w:suppressLineNumbers w:val="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widowControl/>
              <w:suppressLineNumbers w:val="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spacing w:before="206" w:line="220"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widowControl/>
              <w:suppressLineNumbers w:val="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spacing w:before="206" w:line="221"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widowControl/>
              <w:suppressLineNumbers w:val="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spacing w:before="207" w:line="223" w:lineRule="auto"/>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widowControl/>
              <w:suppressLineNumbers w:val="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widowControl/>
              <w:suppressLineNumbers w:val="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top"/>
          </w:tcPr>
          <w:p>
            <w:pPr>
              <w:spacing w:before="198" w:line="223" w:lineRule="auto"/>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widowControl/>
              <w:suppressLineNumbers w:val="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widowControl/>
              <w:suppressLineNumbers w:val="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每降低1扣30kg/吨</w:t>
            </w:r>
          </w:p>
        </w:tc>
        <w:tc>
          <w:tcPr>
            <w:tcW w:w="855" w:type="dxa"/>
            <w:vAlign w:val="center"/>
          </w:tcPr>
          <w:p>
            <w:pPr>
              <w:keepNext w:val="0"/>
              <w:keepLines w:val="0"/>
              <w:widowControl/>
              <w:suppressLineNumbers w:val="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widowControl/>
              <w:suppressLineNumbers w:val="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每降低1扣90kg/吨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top"/>
          </w:tcPr>
          <w:p>
            <w:pPr>
              <w:spacing w:before="206" w:line="222"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每增加0.01扣3kg/吨</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每增加0.01扣9kg/吨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top"/>
          </w:tcPr>
          <w:p>
            <w:pPr>
              <w:spacing w:before="198" w:line="228" w:lineRule="auto"/>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widowControl/>
              <w:suppressLineNumbers w:val="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spacing w:before="198" w:line="228" w:lineRule="auto"/>
              <w:ind w:left="210" w:leftChars="100"/>
              <w:rPr>
                <w:rFonts w:ascii="宋体" w:hAnsi="宋体" w:eastAsia="宋体" w:cs="宋体"/>
                <w:color w:val="auto"/>
                <w:spacing w:val="8"/>
                <w:sz w:val="21"/>
                <w:szCs w:val="21"/>
                <w:highlight w:val="none"/>
              </w:rPr>
            </w:pPr>
          </w:p>
        </w:tc>
        <w:tc>
          <w:tcPr>
            <w:tcW w:w="1215" w:type="dxa"/>
            <w:vAlign w:val="center"/>
          </w:tcPr>
          <w:p>
            <w:pPr>
              <w:pStyle w:val="2"/>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4.0＞X≤5.0</w:t>
            </w:r>
          </w:p>
        </w:tc>
        <w:tc>
          <w:tcPr>
            <w:tcW w:w="1610"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超一扣一</w:t>
            </w:r>
          </w:p>
        </w:tc>
        <w:tc>
          <w:tcPr>
            <w:tcW w:w="855" w:type="dxa"/>
            <w:vAlign w:val="center"/>
          </w:tcPr>
          <w:p>
            <w:pPr>
              <w:keepNext w:val="0"/>
              <w:keepLines w:val="0"/>
              <w:widowControl/>
              <w:suppressLineNumbers w:val="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widowControl/>
              <w:suppressLineNumbers w:val="0"/>
              <w:jc w:val="center"/>
              <w:textAlignment w:val="center"/>
              <w:rPr>
                <w:rFonts w:hint="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超一扣三</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28525"/>
      <w:bookmarkStart w:id="1" w:name="_Toc12141"/>
      <w:bookmarkStart w:id="2" w:name="_Toc25026_WPSOffice_Level1"/>
      <w:bookmarkStart w:id="3" w:name="_Toc5922_WPSOffice_Level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12697_WPSOffice_Level1"/>
      <w:bookmarkStart w:id="5" w:name="_Toc31179_WPSOffice_Level1"/>
      <w:bookmarkStart w:id="6" w:name="_Toc29881"/>
      <w:bookmarkStart w:id="7" w:name="_Toc1688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31538"/>
      <w:bookmarkStart w:id="10" w:name="_Toc11436_WPSOffice_Level1"/>
      <w:bookmarkStart w:id="11" w:name="_Toc20787"/>
      <w:r>
        <w:rPr>
          <w:rFonts w:hint="eastAsia" w:ascii="宋体" w:hAnsi="宋体" w:cs="宋体"/>
          <w:color w:val="auto"/>
          <w:sz w:val="28"/>
          <w:szCs w:val="28"/>
          <w:lang w:val="en-US" w:eastAsia="zh-CN"/>
        </w:rPr>
        <w:t>沥青的取样检验。</w:t>
      </w:r>
      <w:r>
        <w:rPr>
          <w:rFonts w:hint="eastAsia" w:ascii="宋体" w:hAnsi="宋体" w:eastAsia="宋体" w:cs="宋体"/>
          <w:color w:val="auto"/>
          <w:sz w:val="28"/>
          <w:szCs w:val="28"/>
          <w:lang w:val="en-US" w:eastAsia="zh-CN"/>
        </w:rPr>
        <w:t>取样方法</w:t>
      </w:r>
      <w:r>
        <w:rPr>
          <w:rFonts w:hint="eastAsia" w:ascii="宋体" w:hAnsi="宋体" w:cs="宋体"/>
          <w:color w:val="auto"/>
          <w:sz w:val="28"/>
          <w:szCs w:val="28"/>
          <w:lang w:val="en-US" w:eastAsia="zh-CN"/>
        </w:rPr>
        <w:t>：</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沥青甲苯不溶物、喹啉不溶物、β树脂三项指标，新到货的供应商以每5车组批检测一次，当同一供应商连续两批次检测均合格后，转为每月随机抽检一次，当抽检过程中出现任何一项指标不合格时，立即转为以每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kinsoku/>
        <w:wordWrap/>
        <w:overflowPunct/>
        <w:topLinePunct w:val="0"/>
        <w:autoSpaceDE/>
        <w:autoSpaceDN/>
        <w:bidi w:val="0"/>
        <w:adjustRightInd w:val="0"/>
        <w:snapToGrid w:val="0"/>
        <w:spacing w:line="450" w:lineRule="exact"/>
        <w:ind w:firstLine="642" w:firstLineChars="0"/>
        <w:textAlignment w:val="auto"/>
        <w:rPr>
          <w:rFonts w:hint="eastAsia" w:ascii="宋体" w:hAnsi="宋体" w:eastAsia="宋体" w:cs="宋体"/>
          <w:color w:val="FF0000"/>
          <w:sz w:val="28"/>
          <w:szCs w:val="28"/>
          <w:highlight w:val="none"/>
        </w:rPr>
      </w:pPr>
      <w:r>
        <w:rPr>
          <w:rFonts w:hint="eastAsia" w:ascii="宋体" w:hAnsi="宋体" w:eastAsia="宋体" w:cs="宋体"/>
          <w:b w:val="0"/>
          <w:bCs w:val="0"/>
          <w:color w:val="auto"/>
          <w:kern w:val="0"/>
          <w:sz w:val="28"/>
          <w:szCs w:val="28"/>
          <w:lang w:val="en-US" w:eastAsia="zh-CN" w:bidi="ar-SA"/>
        </w:rPr>
        <w:t>6.</w:t>
      </w:r>
      <w:r>
        <w:rPr>
          <w:rFonts w:hint="eastAsia" w:ascii="宋体" w:hAnsi="宋体" w:cs="宋体"/>
          <w:b w:val="0"/>
          <w:bCs w:val="0"/>
          <w:color w:val="auto"/>
          <w:kern w:val="0"/>
          <w:sz w:val="28"/>
          <w:szCs w:val="28"/>
          <w:lang w:val="en-US" w:eastAsia="zh-CN" w:bidi="ar-SA"/>
        </w:rPr>
        <w:t>8</w:t>
      </w:r>
      <w:r>
        <w:rPr>
          <w:rFonts w:hint="eastAsia" w:ascii="宋体" w:hAnsi="宋体" w:eastAsia="宋体" w:cs="宋体"/>
          <w:b w:val="0"/>
          <w:bCs w:val="0"/>
          <w:color w:val="auto"/>
          <w:kern w:val="0"/>
          <w:sz w:val="28"/>
          <w:szCs w:val="28"/>
          <w:lang w:val="en-US" w:eastAsia="zh-CN" w:bidi="ar-SA"/>
        </w:rPr>
        <w:t>复检规则：</w:t>
      </w:r>
      <w:r>
        <w:rPr>
          <w:rFonts w:hint="eastAsia" w:ascii="宋体" w:hAnsi="宋体" w:eastAsia="宋体" w:cs="宋体"/>
          <w:color w:val="auto"/>
          <w:sz w:val="28"/>
          <w:szCs w:val="28"/>
          <w:highlight w:val="none"/>
          <w:lang w:val="en-US" w:eastAsia="zh-CN"/>
        </w:rPr>
        <w:t>供需双方在验收过程中就质量问题发生争议时，供方需在3工作日内提出复检申请，用需方到货验收时封存样品进行复检。双方一起确认标准样品后，在需方实验室进行复检，当复检结果在该项指标检测标准再现性范围内的，以需方到货验收时检测结果为结算依据，当复检结果超出该项指标检测标准再现性范围的，以复检验结果为结算依据</w:t>
      </w:r>
      <w:r>
        <w:rPr>
          <w:rFonts w:hint="eastAsia" w:ascii="宋体" w:hAnsi="宋体" w:eastAsia="宋体" w:cs="宋体"/>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复验</w:t>
      </w:r>
      <w:r>
        <w:rPr>
          <w:rFonts w:hint="eastAsia" w:ascii="宋体" w:hAnsi="宋体" w:eastAsia="宋体" w:cs="宋体"/>
          <w:color w:val="auto"/>
          <w:sz w:val="28"/>
          <w:szCs w:val="28"/>
          <w:highlight w:val="none"/>
          <w:lang w:val="en-US" w:eastAsia="zh-CN"/>
        </w:rPr>
        <w:t>产生的费用由提出异议方先行支付，最终</w:t>
      </w:r>
      <w:r>
        <w:rPr>
          <w:rFonts w:hint="eastAsia" w:ascii="宋体" w:hAnsi="宋体" w:eastAsia="宋体" w:cs="宋体"/>
          <w:color w:val="auto"/>
          <w:sz w:val="28"/>
          <w:szCs w:val="28"/>
          <w:highlight w:val="none"/>
        </w:rPr>
        <w:t>复验的费用由责任方承担。即检验的结果证明产品符合本</w:t>
      </w:r>
      <w:r>
        <w:rPr>
          <w:rFonts w:hint="eastAsia" w:hAnsi="宋体" w:cs="宋体"/>
          <w:color w:val="auto"/>
          <w:sz w:val="28"/>
          <w:szCs w:val="28"/>
          <w:lang w:val="en-US" w:eastAsia="zh-CN"/>
        </w:rPr>
        <w:t>技术任务书</w:t>
      </w:r>
      <w:r>
        <w:rPr>
          <w:rFonts w:hint="eastAsia" w:ascii="宋体" w:hAnsi="宋体" w:eastAsia="宋体" w:cs="宋体"/>
          <w:color w:val="auto"/>
          <w:sz w:val="28"/>
          <w:szCs w:val="28"/>
          <w:highlight w:val="none"/>
        </w:rPr>
        <w:t>要求，则费用由</w:t>
      </w:r>
      <w:r>
        <w:rPr>
          <w:rFonts w:hint="eastAsia" w:ascii="宋体" w:hAnsi="宋体" w:cs="宋体"/>
          <w:color w:val="auto"/>
          <w:sz w:val="28"/>
          <w:szCs w:val="28"/>
          <w:highlight w:val="none"/>
          <w:lang w:val="en-US" w:eastAsia="zh-CN"/>
        </w:rPr>
        <w:t>投</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方承担；反之由</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087"/>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.2本</w:t>
      </w:r>
      <w:r>
        <w:rPr>
          <w:rFonts w:hint="eastAsia" w:ascii="宋体" w:hAnsi="宋体" w:eastAsia="宋体" w:cs="宋体"/>
          <w:sz w:val="28"/>
          <w:szCs w:val="28"/>
          <w:lang w:eastAsia="zh-CN"/>
        </w:rPr>
        <w:t>技术任务书</w:t>
      </w:r>
      <w:r>
        <w:rPr>
          <w:rFonts w:hint="eastAsia" w:ascii="宋体" w:hAnsi="宋体" w:eastAsia="宋体" w:cs="宋体"/>
          <w:sz w:val="28"/>
          <w:szCs w:val="28"/>
        </w:rPr>
        <w:t>将作为合同的一个附件，并与合同文件具有相同的法律效力。双方共同签署的会议纪要、补充文件等也与合同文件有相同的法律效力。</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7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1562"/>
        <w:gridCol w:w="156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367"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2024年2月</w:t>
            </w:r>
          </w:p>
        </w:tc>
        <w:tc>
          <w:tcPr>
            <w:tcW w:w="1562" w:type="dxa"/>
            <w:vAlign w:val="center"/>
          </w:tcPr>
          <w:p>
            <w:pPr>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2024年3</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月</w:t>
            </w:r>
          </w:p>
        </w:tc>
        <w:tc>
          <w:tcPr>
            <w:tcW w:w="1562"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367"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4000</w:t>
            </w:r>
          </w:p>
        </w:tc>
        <w:tc>
          <w:tcPr>
            <w:tcW w:w="1562" w:type="dxa"/>
            <w:vAlign w:val="center"/>
          </w:tcPr>
          <w:p>
            <w:pPr>
              <w:keepNext w:val="0"/>
              <w:keepLines w:val="0"/>
              <w:widowControl/>
              <w:suppressLineNumbers w:val="0"/>
              <w:jc w:val="center"/>
              <w:textAlignment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4000</w:t>
            </w:r>
          </w:p>
        </w:tc>
        <w:tc>
          <w:tcPr>
            <w:tcW w:w="1562"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8000</w:t>
            </w:r>
          </w:p>
        </w:tc>
      </w:tr>
    </w:tbl>
    <w:p>
      <w:pPr>
        <w:pStyle w:val="2"/>
        <w:rPr>
          <w:rFonts w:hint="default"/>
          <w:lang w:val="en-US" w:eastAsia="zh-CN"/>
        </w:rPr>
      </w:pPr>
      <w:bookmarkStart w:id="16" w:name="_GoBack"/>
      <w:bookmarkEnd w:id="16"/>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00000000"/>
    <w:rsid w:val="00EA20E0"/>
    <w:rsid w:val="012413DA"/>
    <w:rsid w:val="014E4831"/>
    <w:rsid w:val="01DA6F41"/>
    <w:rsid w:val="031C1F1C"/>
    <w:rsid w:val="041F2E83"/>
    <w:rsid w:val="0636392C"/>
    <w:rsid w:val="0A9651AE"/>
    <w:rsid w:val="0B846419"/>
    <w:rsid w:val="10482BD9"/>
    <w:rsid w:val="11617CB9"/>
    <w:rsid w:val="124F6188"/>
    <w:rsid w:val="12E521BD"/>
    <w:rsid w:val="15872E2B"/>
    <w:rsid w:val="168C204E"/>
    <w:rsid w:val="16B02A2D"/>
    <w:rsid w:val="178F5A12"/>
    <w:rsid w:val="18517A1D"/>
    <w:rsid w:val="190216C2"/>
    <w:rsid w:val="19744211"/>
    <w:rsid w:val="197733D3"/>
    <w:rsid w:val="1A11262D"/>
    <w:rsid w:val="1A4356A3"/>
    <w:rsid w:val="1A684E1A"/>
    <w:rsid w:val="1AA83ACA"/>
    <w:rsid w:val="1AD51BFD"/>
    <w:rsid w:val="1AD57E8C"/>
    <w:rsid w:val="1BDB6767"/>
    <w:rsid w:val="1E870438"/>
    <w:rsid w:val="1F0450C3"/>
    <w:rsid w:val="1FB27AA3"/>
    <w:rsid w:val="22794E74"/>
    <w:rsid w:val="2788422F"/>
    <w:rsid w:val="28692F8C"/>
    <w:rsid w:val="28FD0E9E"/>
    <w:rsid w:val="2D665B14"/>
    <w:rsid w:val="2D875B8D"/>
    <w:rsid w:val="30255274"/>
    <w:rsid w:val="310A15D9"/>
    <w:rsid w:val="323D10C0"/>
    <w:rsid w:val="33526AFA"/>
    <w:rsid w:val="33A139DB"/>
    <w:rsid w:val="36980F17"/>
    <w:rsid w:val="38560336"/>
    <w:rsid w:val="3B715D54"/>
    <w:rsid w:val="3C074E47"/>
    <w:rsid w:val="3F4545D4"/>
    <w:rsid w:val="41584303"/>
    <w:rsid w:val="41945E2E"/>
    <w:rsid w:val="41C1797D"/>
    <w:rsid w:val="49B735B5"/>
    <w:rsid w:val="4B0B04B0"/>
    <w:rsid w:val="4CEF0B89"/>
    <w:rsid w:val="4F0667CE"/>
    <w:rsid w:val="52DE46FC"/>
    <w:rsid w:val="53A854CE"/>
    <w:rsid w:val="54477A38"/>
    <w:rsid w:val="54D650AE"/>
    <w:rsid w:val="54FF3E15"/>
    <w:rsid w:val="55853555"/>
    <w:rsid w:val="56BC7FA7"/>
    <w:rsid w:val="56D91034"/>
    <w:rsid w:val="59F40CA9"/>
    <w:rsid w:val="5BBE4C34"/>
    <w:rsid w:val="5CEC3346"/>
    <w:rsid w:val="5E6C4538"/>
    <w:rsid w:val="5EA16433"/>
    <w:rsid w:val="5F29558B"/>
    <w:rsid w:val="5F462CC8"/>
    <w:rsid w:val="60672B03"/>
    <w:rsid w:val="62397EC1"/>
    <w:rsid w:val="627D7FA1"/>
    <w:rsid w:val="665723A3"/>
    <w:rsid w:val="66A06104"/>
    <w:rsid w:val="67144CA8"/>
    <w:rsid w:val="68BC03E5"/>
    <w:rsid w:val="6A0D390C"/>
    <w:rsid w:val="6BE04BE9"/>
    <w:rsid w:val="6C744C87"/>
    <w:rsid w:val="6CBA7B30"/>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14</TotalTime>
  <ScaleCrop>false</ScaleCrop>
  <LinksUpToDate>false</LinksUpToDate>
  <CharactersWithSpaces>3511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2024-01-10T10:51:00Z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4D8392FE76DA4537AF4913737283C4D0_13</vt:lpwstr>
  </property>
</Properties>
</file>