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关于湖南屹广工矿贸易有限公司提供假冒摩擦耦合器的通报</w:t>
      </w:r>
    </w:p>
    <w:p>
      <w:pPr>
        <w:ind w:firstLine="883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24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2023年12月，吉利百矿采购中心根据广西东怀矿业有限责任公司月度采购计划，通过吉利招标平台挂网对东怀矿摩擦耦合器进行招标（型号：MOL-40A，转速：1470r/min（配套2*4</w:t>
      </w:r>
      <w:r>
        <w:rPr>
          <w:rFonts w:hint="eastAsia" w:ascii="微软雅黑" w:hAnsi="微软雅黑" w:eastAsia="微软雅黑" w:cs="微软雅黑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</w:rPr>
        <w:t>配套2*40皮带机</w:t>
      </w:r>
      <w:r>
        <w:rPr>
          <w:rFonts w:hint="eastAsia" w:ascii="微软雅黑" w:hAnsi="微软雅黑" w:eastAsia="微软雅黑" w:cs="微软雅黑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），采购数量3台，2023年12月8日完成定标，合同流程于2023年12月21日完成，按合同约定，湖南屹广工矿贸易有限公司于2024年1月3日将3台耦合器送到东怀仓库入库，东怀矿机电技术人员在验收时发现为以次充好的翻新产品。耦合器是矿井刮板机、皮带机的重要部件，关系到设备的平稳运行和职工的生命安全，这种偷梁换柱以假乱真的行为严重威胁矿井的安全生产，影响极为恶劣，我中心将按吉利百矿物资采购相关规定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</w:t>
      </w:r>
      <w:r>
        <w:rPr>
          <w:rFonts w:hint="eastAsia" w:ascii="仿宋" w:hAnsi="仿宋" w:eastAsia="仿宋" w:cs="仿宋"/>
          <w:sz w:val="32"/>
          <w:szCs w:val="32"/>
        </w:rPr>
        <w:t>事件从严从重进行顶级处罚，并对此供应商拉黑、限制其项目参与。望各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引以为戒，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按合同条款规定义务履约。</w:t>
      </w:r>
    </w:p>
    <w:p>
      <w:pPr>
        <w:pStyle w:val="4"/>
        <w:shd w:val="clear" w:color="auto" w:fill="FFFFFF"/>
        <w:spacing w:before="336" w:beforeAutospacing="0" w:after="336" w:afterAutospacing="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在此，再次感谢各位供应商伙伴的信任、理解、认同、付出。</w:t>
      </w:r>
    </w:p>
    <w:p>
      <w:pPr>
        <w:spacing w:line="24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吉利百矿集团采购中心</w:t>
      </w:r>
    </w:p>
    <w:p>
      <w:pPr>
        <w:spacing w:line="24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2024年 1月 25日</w:t>
      </w:r>
    </w:p>
    <w:p>
      <w:pPr>
        <w:spacing w:line="24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附图：</w:t>
      </w:r>
    </w:p>
    <w:p>
      <w:pPr>
        <w:spacing w:line="240" w:lineRule="atLeast"/>
        <w:ind w:firstLine="4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2413635" cy="2364740"/>
            <wp:effectExtent l="0" t="0" r="5715" b="16510"/>
            <wp:docPr id="1" name="图片 1" descr="附图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图2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381250" cy="2366010"/>
            <wp:effectExtent l="0" t="0" r="0" b="15240"/>
            <wp:docPr id="2" name="图片 2" descr="附图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图2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tLeast"/>
        <w:ind w:firstLine="4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2890520" cy="3310255"/>
            <wp:effectExtent l="0" t="0" r="5080" b="4445"/>
            <wp:docPr id="3" name="图片 3" descr="附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图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7342" cy="331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2YjgzNjA4YWM4YzlmZWM1Nzc3ZWMxNGM4MjE2ZjkifQ=="/>
  </w:docVars>
  <w:rsids>
    <w:rsidRoot w:val="54D857DF"/>
    <w:rsid w:val="001E01FA"/>
    <w:rsid w:val="001E6054"/>
    <w:rsid w:val="00444258"/>
    <w:rsid w:val="006007B8"/>
    <w:rsid w:val="00850133"/>
    <w:rsid w:val="00A175BD"/>
    <w:rsid w:val="00CA3B03"/>
    <w:rsid w:val="00D57978"/>
    <w:rsid w:val="00E52D96"/>
    <w:rsid w:val="015B272D"/>
    <w:rsid w:val="056B504E"/>
    <w:rsid w:val="092A3EB5"/>
    <w:rsid w:val="09320D22"/>
    <w:rsid w:val="09A3577C"/>
    <w:rsid w:val="0A494E2A"/>
    <w:rsid w:val="0BBA1599"/>
    <w:rsid w:val="0BD45C86"/>
    <w:rsid w:val="0D865199"/>
    <w:rsid w:val="14E804E7"/>
    <w:rsid w:val="1517701E"/>
    <w:rsid w:val="156466BC"/>
    <w:rsid w:val="16315EBE"/>
    <w:rsid w:val="1A7A6085"/>
    <w:rsid w:val="22B13615"/>
    <w:rsid w:val="2BE92E85"/>
    <w:rsid w:val="2FA76988"/>
    <w:rsid w:val="3642344E"/>
    <w:rsid w:val="36FD74FC"/>
    <w:rsid w:val="38B2503F"/>
    <w:rsid w:val="3CA70851"/>
    <w:rsid w:val="3ED11BE0"/>
    <w:rsid w:val="44325B63"/>
    <w:rsid w:val="468D6CBE"/>
    <w:rsid w:val="47097A44"/>
    <w:rsid w:val="4D0D7FDE"/>
    <w:rsid w:val="4DB2689C"/>
    <w:rsid w:val="4F5245DF"/>
    <w:rsid w:val="54D51B2F"/>
    <w:rsid w:val="54D857DF"/>
    <w:rsid w:val="55F70437"/>
    <w:rsid w:val="58513527"/>
    <w:rsid w:val="5DA6050C"/>
    <w:rsid w:val="640A40B2"/>
    <w:rsid w:val="65590721"/>
    <w:rsid w:val="671F7271"/>
    <w:rsid w:val="676D3FA8"/>
    <w:rsid w:val="6D0A7B90"/>
    <w:rsid w:val="71D945B4"/>
    <w:rsid w:val="734B3A27"/>
    <w:rsid w:val="73C2388D"/>
    <w:rsid w:val="75407BBF"/>
    <w:rsid w:val="7CB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431</Characters>
  <Lines>3</Lines>
  <Paragraphs>1</Paragraphs>
  <TotalTime>6</TotalTime>
  <ScaleCrop>false</ScaleCrop>
  <LinksUpToDate>false</LinksUpToDate>
  <CharactersWithSpaces>505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2024-01-25T07:15:00Z</dcterms:created>
  <dc:creator>合子</dc:creator>
  <cp:lastModifiedBy>昕洋物流</cp:lastModifiedBy>
  <dcterms:modified xsi:type="dcterms:W3CDTF">2024-01-27T00:59:09Z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F5681765C38047F88A901BAF09998822_13</vt:lpwstr>
  </property>
</Properties>
</file>