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广西田阳、德保、田林、隆林</w:t>
      </w:r>
      <w:r>
        <w:rPr>
          <w:rFonts w:hint="eastAsia" w:ascii="微软雅黑" w:hAnsi="微软雅黑" w:eastAsia="微软雅黑" w:cs="Times New Roman"/>
          <w:b/>
          <w:bCs w:val="0"/>
          <w:sz w:val="32"/>
          <w:szCs w:val="32"/>
          <w:lang w:val="en-US" w:eastAsia="zh-CN"/>
        </w:rPr>
        <w:t>百矿铝业有限公司2024年</w:t>
      </w:r>
      <w:r>
        <w:rPr>
          <w:rFonts w:hint="eastAsia" w:ascii="微软雅黑" w:hAnsi="微软雅黑" w:eastAsia="微软雅黑" w:cs="微软雅黑"/>
          <w:b/>
          <w:bCs w:val="0"/>
          <w:i w:val="0"/>
          <w:caps w:val="0"/>
          <w:color w:val="000000"/>
          <w:spacing w:val="0"/>
          <w:sz w:val="32"/>
          <w:szCs w:val="32"/>
          <w:shd w:val="clear" w:fill="FFFFFF"/>
          <w:lang w:eastAsia="zh-CN"/>
        </w:rPr>
        <w:t>磷生铁</w:t>
      </w:r>
      <w:r>
        <w:rPr>
          <w:rFonts w:hint="eastAsia" w:ascii="微软雅黑" w:hAnsi="微软雅黑" w:eastAsia="微软雅黑" w:cs="Times New Roman"/>
          <w:b/>
          <w:bCs w:val="0"/>
          <w:sz w:val="32"/>
          <w:szCs w:val="32"/>
          <w:lang w:val="en-US" w:eastAsia="zh-CN"/>
        </w:rPr>
        <w:t>等</w:t>
      </w:r>
      <w:r>
        <w:rPr>
          <w:rFonts w:hint="eastAsia" w:ascii="微软雅黑" w:hAnsi="微软雅黑" w:eastAsia="微软雅黑"/>
          <w:b/>
          <w:bCs w:val="0"/>
          <w:sz w:val="32"/>
          <w:szCs w:val="32"/>
          <w:lang w:val="en-US" w:eastAsia="zh-CN"/>
        </w:rPr>
        <w:t>采购</w:t>
      </w:r>
      <w:r>
        <w:rPr>
          <w:rFonts w:hint="eastAsia" w:ascii="微软雅黑" w:hAnsi="微软雅黑" w:eastAsia="微软雅黑"/>
          <w:b/>
          <w:sz w:val="32"/>
          <w:szCs w:val="32"/>
          <w:lang w:val="en-US" w:eastAsia="zh-CN"/>
        </w:rPr>
        <w:t>项目</w:t>
      </w: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0"/>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none"/>
          <w:lang w:val="en-US" w:eastAsia="zh-CN" w:bidi="ar-SA"/>
        </w:rPr>
        <w:t>各</w:t>
      </w:r>
      <w:r>
        <w:rPr>
          <w:rFonts w:hint="eastAsia" w:ascii="宋体" w:hAnsi="宋体" w:eastAsia="宋体" w:cs="宋体"/>
          <w:b w:val="0"/>
          <w:bCs w:val="0"/>
          <w:sz w:val="24"/>
          <w:szCs w:val="24"/>
          <w:u w:val="single"/>
          <w:lang w:val="en-US" w:eastAsia="zh-CN"/>
        </w:rPr>
        <w:t>磷生铁、硅铁、锰铁、磷铁</w:t>
      </w:r>
      <w:r>
        <w:rPr>
          <w:rFonts w:hint="eastAsia" w:ascii="宋体" w:hAnsi="宋体" w:eastAsia="宋体" w:cs="宋体"/>
          <w:b w:val="0"/>
          <w:bCs w:val="0"/>
          <w:kern w:val="2"/>
          <w:sz w:val="24"/>
          <w:szCs w:val="24"/>
          <w:u w:val="none"/>
          <w:lang w:val="en-US" w:eastAsia="zh-CN" w:bidi="ar-SA"/>
        </w:rPr>
        <w:t>`</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广西田阳、德保、田林、隆林百矿铝业有限公司阳极磷生铁等</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广西德保百矿铝业有限公司位</w:t>
      </w:r>
      <w:r>
        <w:rPr>
          <w:rFonts w:hint="eastAsia" w:ascii="宋体" w:hAnsi="宋体"/>
          <w:color w:val="auto"/>
          <w:sz w:val="24"/>
          <w:lang w:eastAsia="zh-CN"/>
        </w:rPr>
        <w:t>于</w:t>
      </w:r>
      <w:r>
        <w:rPr>
          <w:rFonts w:hint="eastAsia" w:ascii="宋体" w:hAnsi="宋体"/>
          <w:color w:val="auto"/>
          <w:sz w:val="24"/>
        </w:rPr>
        <w:t>广西德保马隘铝产业园内</w:t>
      </w:r>
      <w:r>
        <w:rPr>
          <w:rFonts w:hint="eastAsia" w:ascii="宋体" w:hAnsi="宋体"/>
          <w:color w:val="auto"/>
          <w:sz w:val="24"/>
          <w:lang w:eastAsia="zh-CN"/>
        </w:rPr>
        <w:t>，</w:t>
      </w:r>
      <w:r>
        <w:rPr>
          <w:rFonts w:hint="eastAsia" w:ascii="宋体" w:hAnsi="宋体"/>
          <w:color w:val="auto"/>
          <w:sz w:val="24"/>
        </w:rPr>
        <w:t>该工业园地处</w:t>
      </w:r>
      <w:r>
        <w:rPr>
          <w:rFonts w:hint="eastAsia" w:ascii="宋体" w:hAnsi="宋体"/>
          <w:color w:val="auto"/>
          <w:sz w:val="24"/>
          <w:lang w:val="en-US" w:eastAsia="zh-CN"/>
        </w:rPr>
        <w:t>德保县</w:t>
      </w:r>
      <w:r>
        <w:rPr>
          <w:rFonts w:hint="eastAsia" w:ascii="宋体" w:hAnsi="宋体"/>
          <w:color w:val="auto"/>
          <w:sz w:val="24"/>
        </w:rPr>
        <w:t>马隘</w:t>
      </w:r>
      <w:r>
        <w:rPr>
          <w:rFonts w:hint="eastAsia" w:ascii="宋体" w:hAnsi="宋体"/>
          <w:color w:val="auto"/>
          <w:sz w:val="24"/>
          <w:lang w:val="en-US" w:eastAsia="zh-CN"/>
        </w:rPr>
        <w:t>镇</w:t>
      </w:r>
      <w:r>
        <w:rPr>
          <w:rFonts w:hint="eastAsia" w:ascii="宋体" w:hAnsi="宋体"/>
          <w:color w:val="auto"/>
          <w:sz w:val="24"/>
          <w:lang w:eastAsia="zh-CN"/>
        </w:rPr>
        <w:t>，</w:t>
      </w:r>
      <w:r>
        <w:rPr>
          <w:rFonts w:hint="eastAsia" w:ascii="宋体" w:hAnsi="宋体"/>
          <w:color w:val="auto"/>
          <w:sz w:val="24"/>
          <w:lang w:val="en-US" w:eastAsia="zh-CN"/>
        </w:rPr>
        <w:t>距</w:t>
      </w:r>
      <w:r>
        <w:rPr>
          <w:rFonts w:hint="eastAsia" w:ascii="宋体" w:hAnsi="宋体"/>
          <w:color w:val="auto"/>
          <w:sz w:val="24"/>
          <w:lang w:eastAsia="zh-CN"/>
        </w:rPr>
        <w:t>百色市约</w:t>
      </w:r>
      <w:r>
        <w:rPr>
          <w:rFonts w:hint="eastAsia" w:ascii="宋体" w:hAnsi="宋体"/>
          <w:color w:val="auto"/>
          <w:sz w:val="24"/>
          <w:lang w:val="en-US" w:eastAsia="zh-CN"/>
        </w:rPr>
        <w:t>98</w:t>
      </w:r>
      <w:r>
        <w:rPr>
          <w:rFonts w:hint="eastAsia" w:ascii="宋体" w:hAnsi="宋体"/>
          <w:color w:val="auto"/>
          <w:sz w:val="24"/>
          <w:lang w:eastAsia="zh-CN"/>
        </w:rPr>
        <w:t>km，厂址距</w:t>
      </w:r>
      <w:r>
        <w:rPr>
          <w:rFonts w:hint="eastAsia" w:ascii="宋体" w:hAnsi="宋体"/>
          <w:color w:val="auto"/>
          <w:sz w:val="24"/>
          <w:lang w:val="en-US" w:eastAsia="zh-CN"/>
        </w:rPr>
        <w:t>德保</w:t>
      </w:r>
      <w:r>
        <w:rPr>
          <w:rFonts w:hint="eastAsia" w:ascii="宋体" w:hAnsi="宋体"/>
          <w:color w:val="auto"/>
          <w:sz w:val="24"/>
          <w:lang w:eastAsia="zh-CN"/>
        </w:rPr>
        <w:t>县城约</w:t>
      </w:r>
      <w:r>
        <w:rPr>
          <w:rFonts w:hint="eastAsia" w:ascii="宋体" w:hAnsi="宋体"/>
          <w:color w:val="auto"/>
          <w:sz w:val="24"/>
          <w:lang w:val="en-US" w:eastAsia="zh-CN"/>
        </w:rPr>
        <w:t>5</w:t>
      </w:r>
      <w:r>
        <w:rPr>
          <w:rFonts w:hint="eastAsia" w:ascii="宋体" w:hAnsi="宋体"/>
          <w:color w:val="auto"/>
          <w:sz w:val="24"/>
          <w:lang w:eastAsia="zh-CN"/>
        </w:rPr>
        <w:t>km。</w:t>
      </w:r>
      <w:r>
        <w:rPr>
          <w:rFonts w:hint="eastAsia" w:ascii="宋体" w:hAnsi="宋体"/>
          <w:color w:val="auto"/>
          <w:sz w:val="24"/>
          <w:lang w:val="en-US" w:eastAsia="zh-CN"/>
        </w:rPr>
        <w:t>德保铝业紧靠氧化铝土矿主产区，资源优势得天独厚，是资源就地消化的典范，</w:t>
      </w:r>
      <w:r>
        <w:rPr>
          <w:rFonts w:hint="eastAsia" w:ascii="宋体" w:hAnsi="宋体"/>
          <w:color w:val="auto"/>
          <w:sz w:val="24"/>
          <w:lang w:eastAsia="zh-CN"/>
        </w:rPr>
        <w:t>占地面积845亩，</w:t>
      </w:r>
      <w:r>
        <w:rPr>
          <w:rFonts w:hint="eastAsia" w:ascii="宋体" w:hAnsi="宋体"/>
          <w:color w:val="auto"/>
          <w:sz w:val="24"/>
          <w:lang w:val="en-US" w:eastAsia="zh-CN"/>
        </w:rPr>
        <w:t>2017年2月开工建设，总投资25.5亿元，</w:t>
      </w:r>
      <w:r>
        <w:rPr>
          <w:rFonts w:hint="eastAsia" w:ascii="宋体" w:hAnsi="宋体"/>
          <w:color w:val="auto"/>
          <w:sz w:val="24"/>
          <w:lang w:eastAsia="zh-CN"/>
        </w:rPr>
        <w:t>项目完全投产后，年营业收入达到5</w:t>
      </w:r>
      <w:r>
        <w:rPr>
          <w:rFonts w:hint="eastAsia" w:ascii="宋体" w:hAnsi="宋体"/>
          <w:color w:val="auto"/>
          <w:sz w:val="24"/>
          <w:lang w:val="en-US" w:eastAsia="zh-CN"/>
        </w:rPr>
        <w:t>6.5</w:t>
      </w:r>
      <w:r>
        <w:rPr>
          <w:rFonts w:hint="eastAsia" w:ascii="宋体" w:hAnsi="宋体"/>
          <w:color w:val="auto"/>
          <w:sz w:val="24"/>
          <w:lang w:eastAsia="zh-CN"/>
        </w:rPr>
        <w:t>亿元，实现利税近</w:t>
      </w:r>
      <w:r>
        <w:rPr>
          <w:rFonts w:hint="eastAsia" w:ascii="宋体" w:hAnsi="宋体"/>
          <w:color w:val="auto"/>
          <w:sz w:val="24"/>
          <w:lang w:val="en-US" w:eastAsia="zh-CN"/>
        </w:rPr>
        <w:t>3</w:t>
      </w:r>
      <w:r>
        <w:rPr>
          <w:rFonts w:hint="eastAsia" w:ascii="宋体" w:hAnsi="宋体"/>
          <w:color w:val="auto"/>
          <w:sz w:val="24"/>
          <w:lang w:eastAsia="zh-CN"/>
        </w:rPr>
        <w:t>亿元</w:t>
      </w:r>
      <w:r>
        <w:rPr>
          <w:rFonts w:hint="eastAsia" w:ascii="宋体" w:hAnsi="宋体"/>
          <w:color w:val="auto"/>
          <w:sz w:val="24"/>
          <w:lang w:val="en-US" w:eastAsia="zh-CN"/>
        </w:rPr>
        <w:t>,</w:t>
      </w:r>
      <w:r>
        <w:rPr>
          <w:rFonts w:hint="eastAsia" w:ascii="宋体" w:hAnsi="宋体"/>
          <w:color w:val="auto"/>
          <w:sz w:val="24"/>
          <w:lang w:eastAsia="zh-CN"/>
        </w:rPr>
        <w:t>带动就业</w:t>
      </w:r>
      <w:r>
        <w:rPr>
          <w:rFonts w:hint="eastAsia" w:ascii="宋体" w:hAnsi="宋体"/>
          <w:color w:val="auto"/>
          <w:sz w:val="24"/>
          <w:lang w:val="en-US" w:eastAsia="zh-CN"/>
        </w:rPr>
        <w:t>850</w:t>
      </w:r>
      <w:r>
        <w:rPr>
          <w:rFonts w:hint="eastAsia" w:ascii="宋体" w:hAnsi="宋体"/>
          <w:color w:val="auto"/>
          <w:sz w:val="24"/>
          <w:lang w:eastAsia="zh-CN"/>
        </w:rPr>
        <w:t>人。</w:t>
      </w:r>
      <w:r>
        <w:rPr>
          <w:rFonts w:hint="eastAsia" w:ascii="宋体" w:hAnsi="宋体"/>
          <w:color w:val="auto"/>
          <w:sz w:val="24"/>
          <w:lang w:val="en-US" w:eastAsia="zh-CN"/>
        </w:rPr>
        <w:t>目前已经生产铝水达30万吨/年。</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广西田林百矿铝业有限公司址位于广西百</w:t>
      </w:r>
      <w:r>
        <w:rPr>
          <w:rFonts w:hint="eastAsia" w:ascii="宋体" w:hAnsi="宋体"/>
          <w:color w:val="auto"/>
          <w:sz w:val="24"/>
        </w:rPr>
        <w:t>色市田林县桂黔（田林）经济合作产业园，该工业园地处田林县旧州镇板坚村</w:t>
      </w:r>
      <w:r>
        <w:rPr>
          <w:rFonts w:hint="eastAsia" w:ascii="宋体" w:hAnsi="宋体"/>
          <w:color w:val="auto"/>
          <w:sz w:val="24"/>
          <w:lang w:eastAsia="zh-CN"/>
        </w:rPr>
        <w:t>，</w:t>
      </w:r>
      <w:r>
        <w:rPr>
          <w:rFonts w:hint="eastAsia" w:ascii="宋体" w:hAnsi="宋体"/>
          <w:color w:val="auto"/>
          <w:sz w:val="24"/>
          <w:lang w:val="en-US" w:eastAsia="zh-CN"/>
        </w:rPr>
        <w:t>厂址</w:t>
      </w:r>
      <w:r>
        <w:rPr>
          <w:rFonts w:hint="eastAsia" w:ascii="宋体" w:hAnsi="宋体"/>
          <w:color w:val="auto"/>
          <w:sz w:val="24"/>
        </w:rPr>
        <w:t>距离南宁市370km，距百色市137km。项目于2017年5月14日</w:t>
      </w:r>
      <w:r>
        <w:rPr>
          <w:rFonts w:hint="eastAsia" w:ascii="宋体" w:hAnsi="宋体"/>
          <w:color w:val="auto"/>
          <w:sz w:val="24"/>
          <w:lang w:val="en"/>
        </w:rPr>
        <w:t>开工建设</w:t>
      </w:r>
      <w:r>
        <w:rPr>
          <w:rFonts w:hint="eastAsia" w:ascii="宋体" w:hAnsi="宋体"/>
          <w:color w:val="auto"/>
          <w:sz w:val="24"/>
        </w:rPr>
        <w:t>，建设规模为年产30万吨铝水，总投资约22亿元，占地面积约800亩。</w:t>
      </w:r>
      <w:r>
        <w:rPr>
          <w:rFonts w:hint="eastAsia" w:ascii="宋体" w:hAnsi="宋体"/>
          <w:color w:val="auto"/>
          <w:sz w:val="24"/>
          <w:lang w:val="en-US" w:eastAsia="zh-CN"/>
        </w:rPr>
        <w:t>目前已经生产铝水达30万吨/年。</w:t>
      </w:r>
    </w:p>
    <w:p>
      <w:pPr>
        <w:numPr>
          <w:ilvl w:val="0"/>
          <w:numId w:val="0"/>
        </w:numPr>
        <w:spacing w:line="440" w:lineRule="exact"/>
        <w:ind w:firstLine="480" w:firstLineChars="200"/>
        <w:rPr>
          <w:rFonts w:hint="eastAsia" w:ascii="宋体" w:hAnsi="宋体" w:eastAsia="宋体" w:cs="宋体"/>
          <w:b/>
          <w:bCs/>
          <w:color w:val="000000"/>
          <w:sz w:val="24"/>
          <w:szCs w:val="24"/>
        </w:rPr>
      </w:pPr>
      <w:r>
        <w:rPr>
          <w:rFonts w:hint="eastAsia" w:ascii="宋体" w:hAnsi="宋体"/>
          <w:color w:val="auto"/>
          <w:sz w:val="24"/>
          <w:highlight w:val="none"/>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ascii="宋体" w:hAnsi="宋体" w:eastAsia="宋体" w:cs="宋体"/>
          <w:b/>
          <w:bCs/>
          <w:sz w:val="24"/>
          <w:szCs w:val="24"/>
        </w:rPr>
      </w:pPr>
    </w:p>
    <w:tbl>
      <w:tblPr>
        <w:tblStyle w:val="12"/>
        <w:tblW w:w="8703" w:type="dxa"/>
        <w:tblInd w:w="0" w:type="dxa"/>
        <w:shd w:val="clear" w:color="auto" w:fill="auto"/>
        <w:tblLayout w:type="fixed"/>
        <w:tblCellMar>
          <w:top w:w="0" w:type="dxa"/>
          <w:left w:w="0" w:type="dxa"/>
          <w:bottom w:w="0" w:type="dxa"/>
          <w:right w:w="0" w:type="dxa"/>
        </w:tblCellMar>
      </w:tblPr>
      <w:tblGrid>
        <w:gridCol w:w="1183"/>
        <w:gridCol w:w="2107"/>
        <w:gridCol w:w="2356"/>
        <w:gridCol w:w="1177"/>
        <w:gridCol w:w="1880"/>
      </w:tblGrid>
      <w:tr>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7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用量</w:t>
            </w:r>
          </w:p>
        </w:tc>
      </w:tr>
      <w:tr>
        <w:tblPrEx>
          <w:shd w:val="clear" w:color="auto" w:fill="auto"/>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辅料采购类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磷生铁</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型号：C&gt;3.8 Si2.0-3.0 P0.8-1.6</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Mn0.7-1.3 S＜0.1</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（详见质量技术标准）</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1682</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硅铁</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Si&gt;75%</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（详见质量技术标准）</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r>
      <w:tr>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锰铁</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Mn&gt;70%</w:t>
            </w:r>
          </w:p>
          <w:p>
            <w:pPr>
              <w:pStyle w:val="2"/>
              <w:jc w:val="center"/>
              <w:rPr>
                <w:rFonts w:hint="eastAsia"/>
                <w:lang w:val="en-US" w:eastAsia="zh-CN"/>
              </w:rPr>
            </w:pPr>
            <w:r>
              <w:rPr>
                <w:rFonts w:hint="eastAsia" w:ascii="宋体" w:hAnsi="宋体" w:eastAsia="宋体" w:cs="宋体"/>
                <w:i w:val="0"/>
                <w:color w:val="000000"/>
                <w:kern w:val="0"/>
                <w:sz w:val="24"/>
                <w:szCs w:val="24"/>
                <w:u w:val="none"/>
                <w:lang w:val="en-US" w:eastAsia="zh-CN" w:bidi="ar"/>
              </w:rPr>
              <w:t>（详见质量技术标准）</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94.6</w:t>
            </w:r>
          </w:p>
        </w:tc>
      </w:tr>
      <w:tr>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磷铁</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P&gt;25%</w:t>
            </w:r>
          </w:p>
          <w:p>
            <w:pPr>
              <w:pStyle w:val="2"/>
              <w:jc w:val="center"/>
              <w:rPr>
                <w:rFonts w:hint="eastAsia"/>
                <w:lang w:val="en-US" w:eastAsia="zh-CN"/>
              </w:rPr>
            </w:pPr>
            <w:r>
              <w:rPr>
                <w:rFonts w:hint="eastAsia" w:ascii="宋体" w:hAnsi="宋体" w:eastAsia="宋体" w:cs="宋体"/>
                <w:i w:val="0"/>
                <w:color w:val="000000"/>
                <w:kern w:val="0"/>
                <w:sz w:val="24"/>
                <w:szCs w:val="24"/>
                <w:u w:val="none"/>
                <w:lang w:val="en-US" w:eastAsia="zh-CN" w:bidi="ar"/>
              </w:rPr>
              <w:t>（详见质量技术标准）</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30.08</w:t>
            </w:r>
          </w:p>
        </w:tc>
      </w:tr>
      <w:tr>
        <w:tblPrEx>
          <w:shd w:val="clear" w:color="auto" w:fill="auto"/>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备注：以上表格计划用量为年度预估数量，不作为招标方招标数量的任何承诺，后期具体采购量以实际采购订单为准。</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广西百色田阳县新山铝示范园百矿铝业厂区内；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广西百色田林县旧州镇百矿经济产业园区田林铝厂内；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广西百色市德保县马隘铝产业园区；</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广西百色市隆林各族自治县平班镇母姑村下寨屯隆林百矿内。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收到中标通知书后后根据采购订单15日内交付，其余部分以具体以甲方通知为准。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业绩要求：最近三年内有电解铝行业参投项目相关业绩不少于两个；(平台报名时上传营业执照及业绩合同)</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w:t>
      </w:r>
      <w:r>
        <w:rPr>
          <w:rFonts w:hint="eastAsia" w:ascii="宋体" w:hAnsi="宋体" w:cs="Arial"/>
          <w:color w:val="auto"/>
          <w:sz w:val="24"/>
          <w:lang w:eastAsia="zh-CN"/>
        </w:rPr>
        <w:t>余量</w:t>
      </w:r>
      <w:r>
        <w:rPr>
          <w:rFonts w:hint="eastAsia" w:ascii="宋体" w:hAnsi="宋体" w:cs="Arial"/>
          <w:color w:val="auto"/>
          <w:sz w:val="24"/>
        </w:rPr>
        <w:t>±</w:t>
      </w:r>
      <w:r>
        <w:rPr>
          <w:rFonts w:hint="eastAsia" w:ascii="宋体" w:hAnsi="宋体" w:cs="Arial"/>
          <w:color w:val="auto"/>
          <w:sz w:val="24"/>
          <w:lang w:val="en-US" w:eastAsia="zh-CN"/>
        </w:rPr>
        <w:t>5</w:t>
      </w:r>
      <w:r>
        <w:rPr>
          <w:rFonts w:hint="eastAsia" w:ascii="宋体" w:hAnsi="宋体" w:cs="Arial"/>
          <w:color w:val="auto"/>
          <w:sz w:val="24"/>
        </w:rPr>
        <w:t>%)乘合同（产品清单）单价结算</w:t>
      </w:r>
      <w:r>
        <w:rPr>
          <w:rFonts w:ascii="宋体" w:hAnsi="宋体" w:cs="Arial"/>
          <w:color w:val="auto"/>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60</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w:t>
      </w:r>
      <w:bookmarkStart w:id="2" w:name="_GoBack"/>
      <w:bookmarkEnd w:id="2"/>
      <w:r>
        <w:rPr>
          <w:rFonts w:hint="eastAsia" w:ascii="宋体" w:hAnsi="宋体" w:cs="Arial"/>
          <w:color w:val="auto"/>
          <w:sz w:val="24"/>
        </w:rPr>
        <w:t>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4"/>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2023</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28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20</w:t>
      </w:r>
      <w:r>
        <w:rPr>
          <w:rFonts w:hint="eastAsia" w:ascii="宋体" w:hAnsi="宋体" w:eastAsia="宋体"/>
          <w:color w:val="auto"/>
          <w:sz w:val="24"/>
          <w:szCs w:val="24"/>
        </w:rPr>
        <w:t>万元电汇到以下账户：</w:t>
      </w:r>
    </w:p>
    <w:p>
      <w:pPr>
        <w:pStyle w:val="2"/>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 户 名：吉利百矿集团有限公司</w:t>
      </w:r>
    </w:p>
    <w:p>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开户银行：广西百色右江农村合作银行</w:t>
      </w:r>
    </w:p>
    <w:p>
      <w:pPr>
        <w:bidi w:val="0"/>
        <w:jc w:val="lef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帐   号：600612010100121983</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广西田阳、德保、田林、隆林百矿铝业有限公司阳极</w:t>
      </w:r>
      <w:r>
        <w:rPr>
          <w:rFonts w:hint="eastAsia" w:ascii="宋体" w:hAnsi="宋体" w:eastAsia="宋体"/>
          <w:color w:val="auto"/>
          <w:sz w:val="24"/>
          <w:szCs w:val="24"/>
          <w:u w:val="single"/>
          <w:lang w:eastAsia="zh-CN"/>
        </w:rPr>
        <w:t>磷生铁</w:t>
      </w:r>
      <w:r>
        <w:rPr>
          <w:rFonts w:hint="eastAsia" w:ascii="宋体" w:hAnsi="宋体" w:eastAsia="宋体"/>
          <w:color w:val="auto"/>
          <w:sz w:val="24"/>
          <w:szCs w:val="24"/>
          <w:u w:val="single"/>
          <w:lang w:val="en-US" w:eastAsia="zh-CN"/>
        </w:rPr>
        <w:t>等采购项目</w:t>
      </w:r>
      <w:r>
        <w:rPr>
          <w:rFonts w:hint="eastAsia" w:ascii="宋体" w:hAnsi="宋体" w:eastAsia="宋体"/>
          <w:color w:val="auto"/>
          <w:sz w:val="24"/>
          <w:szCs w:val="24"/>
          <w:u w:val="single"/>
        </w:rPr>
        <w:t>投标保证金</w:t>
      </w:r>
      <w:r>
        <w:rPr>
          <w:rFonts w:hint="eastAsia" w:ascii="宋体" w:hAnsi="宋体" w:eastAsia="宋体"/>
          <w:color w:val="auto"/>
          <w:sz w:val="24"/>
          <w:szCs w:val="24"/>
        </w:rPr>
        <w:t>）</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2日</w:t>
      </w:r>
      <w:r>
        <w:rPr>
          <w:rFonts w:hint="eastAsia" w:ascii="宋体" w:hAnsi="宋体" w:eastAsia="宋体"/>
          <w:sz w:val="24"/>
          <w:szCs w:val="24"/>
        </w:rPr>
        <w:t>到帐。</w:t>
      </w:r>
    </w:p>
    <w:p>
      <w:pPr>
        <w:spacing w:line="400" w:lineRule="exact"/>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eastAsia="zh-CN"/>
        </w:rPr>
        <w:t>自动转为履约保证金</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其余未中标人的投标保证金将在确定中标人后无息退还。</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5"/>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6"/>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4)第一中标候选人存在违法行为获取中标或存在以其他方式弄虚作假行为骗取中标的。 </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
        <w:rPr>
          <w:rFonts w:hint="eastAsia" w:asciiTheme="majorEastAsia" w:hAnsiTheme="majorEastAsia" w:eastAsiaTheme="majorEastAsia" w:cstheme="majorEastAsia"/>
          <w:color w:val="auto"/>
          <w:sz w:val="24"/>
          <w:szCs w:val="24"/>
          <w:lang w:val="en-US" w:eastAsia="zh-CN"/>
        </w:rPr>
      </w:pPr>
    </w:p>
    <w:p>
      <w:pPr>
        <w:pStyle w:val="4"/>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9.联系方式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翟荣兴</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附件</w:t>
      </w:r>
      <w:r>
        <w:rPr>
          <w:rFonts w:hint="eastAsia" w:ascii="宋体" w:hAnsi="宋体" w:eastAsia="宋体" w:cs="宋体"/>
          <w:b/>
          <w:bCs/>
          <w:color w:val="auto"/>
          <w:sz w:val="21"/>
          <w:szCs w:val="21"/>
          <w:lang w:val="en-US" w:eastAsia="zh-CN"/>
        </w:rPr>
        <w:t>2：质量技术标准</w:t>
      </w:r>
    </w:p>
    <w:p>
      <w:pPr>
        <w:pStyle w:val="2"/>
        <w:rPr>
          <w:rFonts w:hint="default" w:eastAsia="宋体"/>
          <w:b/>
          <w:bCs/>
          <w:lang w:val="en-US" w:eastAsia="zh-CN"/>
        </w:rPr>
      </w:pPr>
    </w:p>
    <w:p>
      <w:pPr>
        <w:pStyle w:val="2"/>
        <w:rPr>
          <w:rFonts w:hint="default" w:eastAsia="宋体"/>
          <w:b/>
          <w:bCs/>
          <w:lang w:val="en-US" w:eastAsia="zh-CN"/>
        </w:rPr>
      </w:pPr>
      <w:r>
        <w:rPr>
          <w:rFonts w:hint="eastAsia" w:eastAsia="宋体"/>
          <w:b/>
          <w:bCs/>
          <w:lang w:val="en-US" w:eastAsia="zh-CN"/>
        </w:rPr>
        <w:t>详见附件质量技术标准。</w:t>
      </w:r>
    </w:p>
    <w:p>
      <w:pPr>
        <w:widowControl/>
        <w:jc w:val="left"/>
        <w:rPr>
          <w:b/>
          <w:szCs w:val="21"/>
        </w:rPr>
      </w:pPr>
    </w:p>
    <w:p>
      <w:pPr>
        <w:pStyle w:val="2"/>
      </w:pPr>
    </w:p>
    <w:p>
      <w:pPr>
        <w:pStyle w:val="2"/>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3</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广西田阳、德保、田林、隆林百矿铝业有限公司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阳极</w:t>
      </w:r>
      <w:r>
        <w:rPr>
          <w:rFonts w:hint="eastAsia" w:ascii="宋体" w:hAnsi="宋体" w:eastAsia="宋体" w:cs="宋体"/>
          <w:b w:val="0"/>
          <w:bCs w:val="0"/>
          <w:sz w:val="21"/>
          <w:szCs w:val="21"/>
          <w:lang w:val="en-US" w:eastAsia="zh-CN"/>
        </w:rPr>
        <w:t>磷生铁等采购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val="0"/>
          <w:sz w:val="21"/>
          <w:szCs w:val="21"/>
          <w:u w:val="single"/>
          <w:lang w:val="en-US" w:eastAsia="zh-CN"/>
        </w:rPr>
        <w:t>广西田阳、德保、田林、隆林百矿铝业有限公司2024年</w:t>
      </w:r>
      <w:r>
        <w:rPr>
          <w:rFonts w:hint="eastAsia" w:asciiTheme="majorEastAsia" w:hAnsiTheme="majorEastAsia" w:eastAsiaTheme="majorEastAsia" w:cstheme="majorEastAsia"/>
          <w:b w:val="0"/>
          <w:bCs w:val="0"/>
          <w:sz w:val="21"/>
          <w:szCs w:val="21"/>
          <w:u w:val="single"/>
          <w:lang w:eastAsia="zh-CN"/>
        </w:rPr>
        <w:t>磷生铁</w:t>
      </w:r>
      <w:r>
        <w:rPr>
          <w:rFonts w:hint="eastAsia" w:asciiTheme="majorEastAsia" w:hAnsiTheme="majorEastAsia" w:eastAsiaTheme="majorEastAsia" w:cstheme="majorEastAsia"/>
          <w:b w:val="0"/>
          <w:bCs w:val="0"/>
          <w:sz w:val="21"/>
          <w:szCs w:val="21"/>
          <w:u w:val="single"/>
          <w:lang w:val="en-US" w:eastAsia="zh-CN"/>
        </w:rPr>
        <w:t>等采购项目邀请书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eastAsia="zh-CN"/>
        </w:rPr>
        <w:t>阳极</w:t>
      </w:r>
      <w:r>
        <w:rPr>
          <w:rFonts w:hint="eastAsia" w:ascii="宋体" w:hAnsi="宋体" w:eastAsia="宋体" w:cs="宋体"/>
          <w:b w:val="0"/>
          <w:bCs w:val="0"/>
          <w:sz w:val="21"/>
          <w:szCs w:val="21"/>
          <w:lang w:val="en-US" w:eastAsia="zh-CN"/>
        </w:rPr>
        <w:t>磷生铁等</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阳极</w:t>
      </w:r>
      <w:r>
        <w:rPr>
          <w:rFonts w:hint="eastAsia" w:ascii="宋体" w:hAnsi="宋体" w:eastAsia="宋体" w:cs="宋体"/>
          <w:b w:val="0"/>
          <w:bCs w:val="0"/>
          <w:sz w:val="21"/>
          <w:szCs w:val="21"/>
          <w:lang w:val="en-US" w:eastAsia="zh-CN"/>
        </w:rPr>
        <w:t>磷生铁等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10437703"/>
    <w:rsid w:val="113A610C"/>
    <w:rsid w:val="12290200"/>
    <w:rsid w:val="12AC23E2"/>
    <w:rsid w:val="136B5FB3"/>
    <w:rsid w:val="13934C8A"/>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782E39"/>
    <w:rsid w:val="256C065C"/>
    <w:rsid w:val="263920D0"/>
    <w:rsid w:val="271C3AA6"/>
    <w:rsid w:val="27FF17B9"/>
    <w:rsid w:val="28266776"/>
    <w:rsid w:val="28DF7FBC"/>
    <w:rsid w:val="2A7055D9"/>
    <w:rsid w:val="2BB655EB"/>
    <w:rsid w:val="2CA17371"/>
    <w:rsid w:val="2DE03868"/>
    <w:rsid w:val="2EFA0920"/>
    <w:rsid w:val="2F2E0DD3"/>
    <w:rsid w:val="2FDF0AC1"/>
    <w:rsid w:val="30530CB9"/>
    <w:rsid w:val="31241C20"/>
    <w:rsid w:val="31A606A8"/>
    <w:rsid w:val="3370188D"/>
    <w:rsid w:val="337C12F0"/>
    <w:rsid w:val="33A5028C"/>
    <w:rsid w:val="340A6022"/>
    <w:rsid w:val="34991DD6"/>
    <w:rsid w:val="34A26162"/>
    <w:rsid w:val="34E47465"/>
    <w:rsid w:val="360E21C1"/>
    <w:rsid w:val="36401C52"/>
    <w:rsid w:val="37861D96"/>
    <w:rsid w:val="37FD118C"/>
    <w:rsid w:val="38AC6F88"/>
    <w:rsid w:val="3A3E06A3"/>
    <w:rsid w:val="3B0722D4"/>
    <w:rsid w:val="3CCC43B5"/>
    <w:rsid w:val="3E4F3034"/>
    <w:rsid w:val="408373C1"/>
    <w:rsid w:val="409E30A8"/>
    <w:rsid w:val="40FC4CB0"/>
    <w:rsid w:val="41034C6C"/>
    <w:rsid w:val="41504F94"/>
    <w:rsid w:val="418A16EC"/>
    <w:rsid w:val="47AB2817"/>
    <w:rsid w:val="487415C3"/>
    <w:rsid w:val="487B65BE"/>
    <w:rsid w:val="4B166A95"/>
    <w:rsid w:val="4B493BD2"/>
    <w:rsid w:val="4C7157A4"/>
    <w:rsid w:val="4D2423DA"/>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D41082"/>
    <w:rsid w:val="600E2170"/>
    <w:rsid w:val="60934C78"/>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226F1D"/>
    <w:rsid w:val="6E1038D1"/>
    <w:rsid w:val="6EA76F13"/>
    <w:rsid w:val="6F5D25CA"/>
    <w:rsid w:val="704A38E5"/>
    <w:rsid w:val="71246855"/>
    <w:rsid w:val="716B46DE"/>
    <w:rsid w:val="724F2B10"/>
    <w:rsid w:val="72E55401"/>
    <w:rsid w:val="73645753"/>
    <w:rsid w:val="737D1E5A"/>
    <w:rsid w:val="73B93F82"/>
    <w:rsid w:val="74E62BE1"/>
    <w:rsid w:val="75592C7C"/>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link w:val="15"/>
    <w:autoRedefine/>
    <w:unhideWhenUsed/>
    <w:qFormat/>
    <w:uiPriority w:val="1"/>
    <w:rPr>
      <w:kern w:val="1"/>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6"/>
    <w:unhideWhenUsed/>
    <w:qFormat/>
    <w:uiPriority w:val="99"/>
    <w:pPr>
      <w:jc w:val="left"/>
    </w:pPr>
  </w:style>
  <w:style w:type="paragraph" w:styleId="6">
    <w:name w:val="Body Text"/>
    <w:basedOn w:val="1"/>
    <w:autoRedefine/>
    <w:qFormat/>
    <w:uiPriority w:val="1"/>
    <w:pPr>
      <w:ind w:left="169"/>
    </w:pPr>
    <w:rPr>
      <w:rFonts w:ascii="宋体" w:hAnsi="宋体" w:eastAsia="宋体" w:cs="宋体"/>
      <w:sz w:val="24"/>
      <w:szCs w:val="24"/>
      <w:lang w:val="zh-CN" w:eastAsia="zh-CN" w:bidi="zh-CN"/>
    </w:rPr>
  </w:style>
  <w:style w:type="paragraph" w:styleId="7">
    <w:name w:val="Date"/>
    <w:basedOn w:val="1"/>
    <w:next w:val="1"/>
    <w:link w:val="24"/>
    <w:unhideWhenUsed/>
    <w:qFormat/>
    <w:uiPriority w:val="99"/>
    <w:pPr>
      <w:ind w:left="100" w:leftChars="2500"/>
    </w:pPr>
  </w:style>
  <w:style w:type="paragraph" w:styleId="8">
    <w:name w:val="Balloon Text"/>
    <w:basedOn w:val="1"/>
    <w:link w:val="27"/>
    <w:autoRedefine/>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qFormat/>
    <w:uiPriority w:val="0"/>
    <w:rPr>
      <w:kern w:val="1"/>
    </w:rPr>
  </w:style>
  <w:style w:type="character" w:styleId="16">
    <w:name w:val="Strong"/>
    <w:basedOn w:val="14"/>
    <w:qFormat/>
    <w:uiPriority w:val="22"/>
    <w:rPr>
      <w:b/>
      <w:bCs/>
    </w:rPr>
  </w:style>
  <w:style w:type="character" w:styleId="17">
    <w:name w:val="page number"/>
    <w:basedOn w:val="14"/>
    <w:qFormat/>
    <w:uiPriority w:val="0"/>
  </w:style>
  <w:style w:type="character" w:styleId="18">
    <w:name w:val="FollowedHyperlink"/>
    <w:basedOn w:val="14"/>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unhideWhenUsed/>
    <w:qFormat/>
    <w:uiPriority w:val="99"/>
    <w:rPr>
      <w:sz w:val="21"/>
      <w:szCs w:val="21"/>
    </w:rPr>
  </w:style>
  <w:style w:type="character" w:customStyle="1" w:styleId="22">
    <w:name w:val="页眉 Char"/>
    <w:basedOn w:val="14"/>
    <w:link w:val="10"/>
    <w:autoRedefine/>
    <w:qFormat/>
    <w:uiPriority w:val="99"/>
    <w:rPr>
      <w:sz w:val="18"/>
      <w:szCs w:val="18"/>
    </w:rPr>
  </w:style>
  <w:style w:type="character" w:customStyle="1" w:styleId="23">
    <w:name w:val="页脚 Char"/>
    <w:basedOn w:val="14"/>
    <w:link w:val="9"/>
    <w:qFormat/>
    <w:uiPriority w:val="99"/>
    <w:rPr>
      <w:sz w:val="18"/>
      <w:szCs w:val="18"/>
    </w:rPr>
  </w:style>
  <w:style w:type="character" w:customStyle="1" w:styleId="24">
    <w:name w:val="日期 Char"/>
    <w:basedOn w:val="14"/>
    <w:link w:val="7"/>
    <w:semiHidden/>
    <w:qFormat/>
    <w:uiPriority w:val="99"/>
  </w:style>
  <w:style w:type="paragraph" w:customStyle="1" w:styleId="25">
    <w:name w:val="List Paragraph"/>
    <w:basedOn w:val="1"/>
    <w:qFormat/>
    <w:uiPriority w:val="34"/>
    <w:pPr>
      <w:ind w:firstLine="420" w:firstLineChars="200"/>
    </w:pPr>
  </w:style>
  <w:style w:type="character" w:customStyle="1" w:styleId="26">
    <w:name w:val="批注文字 Char"/>
    <w:basedOn w:val="14"/>
    <w:link w:val="5"/>
    <w:semiHidden/>
    <w:qFormat/>
    <w:uiPriority w:val="99"/>
  </w:style>
  <w:style w:type="character" w:customStyle="1" w:styleId="27">
    <w:name w:val="批注框文本 Char"/>
    <w:basedOn w:val="14"/>
    <w:link w:val="8"/>
    <w:semiHidden/>
    <w:qFormat/>
    <w:uiPriority w:val="99"/>
    <w:rPr>
      <w:sz w:val="18"/>
      <w:szCs w:val="18"/>
    </w:rPr>
  </w:style>
  <w:style w:type="paragraph" w:customStyle="1" w:styleId="28">
    <w:name w:val="z0"/>
    <w:basedOn w:val="1"/>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4"/>
    <w:qFormat/>
    <w:uiPriority w:val="0"/>
    <w:rPr>
      <w:rFonts w:hint="eastAsia" w:ascii="宋体" w:hAnsi="宋体" w:eastAsia="宋体" w:cs="宋体"/>
      <w:color w:val="000000"/>
      <w:sz w:val="24"/>
      <w:szCs w:val="24"/>
      <w:u w:val="none"/>
    </w:rPr>
  </w:style>
  <w:style w:type="character" w:customStyle="1" w:styleId="32">
    <w:name w:val="font41"/>
    <w:basedOn w:val="14"/>
    <w:autoRedefine/>
    <w:qFormat/>
    <w:uiPriority w:val="0"/>
    <w:rPr>
      <w:rFonts w:hint="default" w:ascii="Times New Roman" w:hAnsi="Times New Roman" w:cs="Times New Roman"/>
      <w:color w:val="000000"/>
      <w:sz w:val="22"/>
      <w:szCs w:val="22"/>
      <w:u w:val="none"/>
    </w:rPr>
  </w:style>
  <w:style w:type="character" w:customStyle="1" w:styleId="33">
    <w:name w:val="font11"/>
    <w:basedOn w:val="14"/>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1</TotalTime>
  <ScaleCrop>false</ScaleCrop>
  <LinksUpToDate>false</LinksUpToDate>
  <CharactersWithSpaces>5128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2024-02-23T08:12:50Z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BD3C30A683794D4FA96E423101E5F91B</vt:lpwstr>
  </property>
</Properties>
</file>