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before="120" w:beforeLines="50" w:after="120" w:afterLines="50"/>
        <w:jc w:val="center"/>
        <w:rPr>
          <w:rFonts w:ascii="微软雅黑" w:hAnsi="微软雅黑" w:eastAsia="微软雅黑"/>
          <w:b/>
          <w:bCs/>
          <w:sz w:val="44"/>
          <w:szCs w:val="44"/>
        </w:rPr>
      </w:pPr>
    </w:p>
    <w:p>
      <w:pPr>
        <w:autoSpaceDE w:val="0"/>
        <w:autoSpaceDN w:val="0"/>
        <w:adjustRightInd w:val="0"/>
        <w:snapToGrid w:val="0"/>
        <w:spacing w:before="120" w:beforeLines="50" w:after="120" w:afterLines="50"/>
        <w:jc w:val="center"/>
        <w:rPr>
          <w:rFonts w:hint="eastAsia" w:ascii="微软雅黑" w:hAnsi="微软雅黑" w:eastAsia="微软雅黑"/>
          <w:b/>
          <w:bCs/>
          <w:kern w:val="2"/>
          <w:sz w:val="44"/>
          <w:szCs w:val="44"/>
          <w:u w:val="none"/>
          <w:lang w:val="en-US" w:eastAsia="zh-CN"/>
        </w:rPr>
      </w:pPr>
      <w:bookmarkStart w:id="0" w:name="_Hlk145428336"/>
      <w:r>
        <w:rPr>
          <w:rFonts w:hint="eastAsia" w:ascii="微软雅黑" w:hAnsi="微软雅黑" w:eastAsia="微软雅黑"/>
          <w:b/>
          <w:bCs/>
          <w:kern w:val="2"/>
          <w:sz w:val="44"/>
          <w:szCs w:val="44"/>
          <w:u w:val="none"/>
          <w:lang w:eastAsia="zh-CN"/>
        </w:rPr>
        <w:t>百色百矿发电有限公司2024年度#2机组检修各类阀门内漏外委维修</w:t>
      </w:r>
      <w:r>
        <w:rPr>
          <w:rFonts w:hint="eastAsia" w:ascii="微软雅黑" w:hAnsi="微软雅黑" w:eastAsia="微软雅黑"/>
          <w:b/>
          <w:bCs/>
          <w:kern w:val="2"/>
          <w:sz w:val="44"/>
          <w:szCs w:val="44"/>
          <w:u w:val="none"/>
          <w:lang w:val="en-US" w:eastAsia="zh-CN"/>
        </w:rPr>
        <w:t>项目</w:t>
      </w:r>
    </w:p>
    <w:p>
      <w:pPr>
        <w:autoSpaceDE w:val="0"/>
        <w:autoSpaceDN w:val="0"/>
        <w:adjustRightInd w:val="0"/>
        <w:snapToGrid w:val="0"/>
        <w:spacing w:before="120" w:beforeLines="50" w:after="120" w:afterLines="50"/>
        <w:jc w:val="center"/>
        <w:rPr>
          <w:rFonts w:ascii="微软雅黑" w:hAnsi="微软雅黑" w:eastAsia="微软雅黑"/>
          <w:b/>
          <w:bCs/>
          <w:sz w:val="44"/>
          <w:szCs w:val="44"/>
        </w:rPr>
      </w:pPr>
      <w:r>
        <w:rPr>
          <w:rFonts w:hint="eastAsia" w:ascii="微软雅黑" w:hAnsi="微软雅黑" w:eastAsia="微软雅黑"/>
          <w:b/>
          <w:bCs/>
          <w:sz w:val="44"/>
          <w:szCs w:val="44"/>
        </w:rPr>
        <w:t>服务合同</w:t>
      </w:r>
    </w:p>
    <w:bookmarkEnd w:id="0"/>
    <w:p>
      <w:pPr>
        <w:widowControl/>
        <w:autoSpaceDE w:val="0"/>
        <w:autoSpaceDN w:val="0"/>
        <w:adjustRightInd w:val="0"/>
        <w:snapToGrid w:val="0"/>
        <w:spacing w:before="120" w:beforeLines="50" w:after="120" w:afterLines="50" w:line="440" w:lineRule="exact"/>
        <w:jc w:val="left"/>
        <w:rPr>
          <w:rFonts w:ascii="仿宋_GB2312" w:hAnsi="宋体" w:eastAsia="仿宋_GB2312"/>
          <w:b/>
          <w:bCs/>
          <w:kern w:val="0"/>
          <w:sz w:val="44"/>
          <w:szCs w:val="44"/>
        </w:rPr>
      </w:pPr>
    </w:p>
    <w:p>
      <w:pPr>
        <w:widowControl/>
        <w:autoSpaceDE w:val="0"/>
        <w:autoSpaceDN w:val="0"/>
        <w:adjustRightInd w:val="0"/>
        <w:snapToGrid w:val="0"/>
        <w:spacing w:before="120" w:beforeLines="50" w:after="120" w:afterLines="50" w:line="440" w:lineRule="exact"/>
        <w:jc w:val="left"/>
        <w:rPr>
          <w:rFonts w:ascii="仿宋_GB2312" w:hAnsi="宋体" w:eastAsia="仿宋_GB2312"/>
          <w:b/>
          <w:bCs/>
          <w:kern w:val="0"/>
          <w:sz w:val="44"/>
          <w:szCs w:val="44"/>
        </w:rPr>
      </w:pPr>
    </w:p>
    <w:p>
      <w:pPr>
        <w:widowControl/>
        <w:autoSpaceDE w:val="0"/>
        <w:autoSpaceDN w:val="0"/>
        <w:adjustRightInd w:val="0"/>
        <w:snapToGrid w:val="0"/>
        <w:spacing w:before="120" w:beforeLines="50" w:after="120" w:afterLines="50" w:line="440" w:lineRule="exact"/>
        <w:jc w:val="left"/>
        <w:rPr>
          <w:rFonts w:ascii="仿宋_GB2312" w:hAnsi="宋体" w:eastAsia="仿宋_GB2312"/>
          <w:b/>
          <w:bCs/>
          <w:kern w:val="0"/>
          <w:sz w:val="44"/>
          <w:szCs w:val="44"/>
        </w:rPr>
      </w:pPr>
    </w:p>
    <w:p>
      <w:pPr>
        <w:widowControl/>
        <w:autoSpaceDE w:val="0"/>
        <w:autoSpaceDN w:val="0"/>
        <w:adjustRightInd w:val="0"/>
        <w:snapToGrid w:val="0"/>
        <w:spacing w:before="120" w:beforeLines="50" w:after="120" w:afterLines="50" w:line="440" w:lineRule="exact"/>
        <w:jc w:val="left"/>
        <w:rPr>
          <w:rFonts w:ascii="仿宋_GB2312" w:hAnsi="宋体" w:eastAsia="仿宋_GB2312"/>
          <w:b/>
          <w:bCs/>
          <w:kern w:val="0"/>
          <w:sz w:val="44"/>
          <w:szCs w:val="44"/>
        </w:rPr>
      </w:pPr>
    </w:p>
    <w:p>
      <w:pPr>
        <w:widowControl/>
        <w:autoSpaceDE w:val="0"/>
        <w:autoSpaceDN w:val="0"/>
        <w:adjustRightInd w:val="0"/>
        <w:snapToGrid w:val="0"/>
        <w:spacing w:before="120" w:beforeLines="50" w:after="120" w:afterLines="50" w:line="440" w:lineRule="exact"/>
        <w:jc w:val="left"/>
        <w:rPr>
          <w:rFonts w:ascii="仿宋_GB2312" w:hAnsi="宋体" w:eastAsia="仿宋_GB2312"/>
          <w:b/>
          <w:bCs/>
          <w:kern w:val="0"/>
          <w:sz w:val="44"/>
          <w:szCs w:val="44"/>
        </w:rPr>
      </w:pPr>
    </w:p>
    <w:p>
      <w:pPr>
        <w:widowControl/>
        <w:autoSpaceDE w:val="0"/>
        <w:autoSpaceDN w:val="0"/>
        <w:adjustRightInd w:val="0"/>
        <w:snapToGrid w:val="0"/>
        <w:spacing w:before="120" w:beforeLines="50" w:after="120" w:afterLines="50" w:line="440" w:lineRule="exact"/>
        <w:jc w:val="left"/>
        <w:rPr>
          <w:rFonts w:ascii="仿宋_GB2312" w:hAnsi="宋体" w:eastAsia="仿宋_GB2312"/>
          <w:b/>
          <w:bCs/>
          <w:kern w:val="0"/>
          <w:sz w:val="44"/>
          <w:szCs w:val="44"/>
        </w:rPr>
      </w:pPr>
    </w:p>
    <w:p>
      <w:pPr>
        <w:widowControl/>
        <w:autoSpaceDE w:val="0"/>
        <w:autoSpaceDN w:val="0"/>
        <w:adjustRightInd w:val="0"/>
        <w:snapToGrid w:val="0"/>
        <w:spacing w:before="120" w:beforeLines="50" w:after="120" w:afterLines="50" w:line="440" w:lineRule="exact"/>
        <w:jc w:val="left"/>
        <w:rPr>
          <w:rFonts w:ascii="仿宋_GB2312" w:hAnsi="宋体" w:eastAsia="仿宋_GB2312"/>
          <w:b/>
          <w:bCs/>
          <w:kern w:val="0"/>
          <w:sz w:val="44"/>
          <w:szCs w:val="44"/>
        </w:rPr>
      </w:pPr>
    </w:p>
    <w:p>
      <w:pPr>
        <w:autoSpaceDE w:val="0"/>
        <w:autoSpaceDN w:val="0"/>
        <w:adjustRightInd w:val="0"/>
        <w:snapToGrid w:val="0"/>
        <w:spacing w:before="120" w:beforeLines="50" w:after="120" w:afterLines="50"/>
        <w:ind w:left="1923" w:hanging="1923" w:hangingChars="393"/>
        <w:jc w:val="both"/>
        <w:rPr>
          <w:rFonts w:hint="default" w:ascii="宋体" w:hAnsi="宋体" w:eastAsia="楷体_GB2312"/>
          <w:b/>
          <w:bCs/>
          <w:kern w:val="0"/>
          <w:sz w:val="32"/>
          <w:szCs w:val="32"/>
          <w:u w:val="single"/>
          <w:lang w:val="en-US" w:eastAsia="zh-CN"/>
        </w:rPr>
      </w:pPr>
      <w:r>
        <w:rPr>
          <w:rFonts w:hint="eastAsia" w:ascii="宋体" w:hAnsi="宋体" w:eastAsia="宋体" w:cs="宋体"/>
          <w:b/>
          <w:bCs/>
          <w:spacing w:val="84"/>
          <w:kern w:val="0"/>
          <w:szCs w:val="32"/>
        </w:rPr>
        <w:t>项目名称</w:t>
      </w:r>
      <w:r>
        <w:rPr>
          <w:rFonts w:hint="eastAsia" w:ascii="宋体" w:hAnsi="宋体" w:eastAsia="宋体" w:cs="宋体"/>
          <w:b/>
          <w:bCs/>
          <w:spacing w:val="84"/>
          <w:kern w:val="0"/>
          <w:szCs w:val="32"/>
          <w:lang w:eastAsia="zh-CN"/>
        </w:rPr>
        <w:t>：</w:t>
      </w:r>
      <w:r>
        <w:rPr>
          <w:rFonts w:hint="eastAsia" w:ascii="宋体" w:hAnsi="宋体"/>
          <w:b/>
          <w:bCs/>
          <w:kern w:val="0"/>
          <w:sz w:val="32"/>
          <w:szCs w:val="32"/>
          <w:u w:val="single"/>
          <w:lang w:eastAsia="zh-CN"/>
        </w:rPr>
        <w:t>百色百矿发电有限公司2024年度#2机组检修各类阀门内漏外委维修</w:t>
      </w:r>
      <w:r>
        <w:rPr>
          <w:rFonts w:hint="eastAsia" w:ascii="宋体" w:hAnsi="宋体"/>
          <w:b/>
          <w:bCs/>
          <w:kern w:val="0"/>
          <w:sz w:val="32"/>
          <w:szCs w:val="32"/>
          <w:u w:val="single"/>
          <w:lang w:val="en-US" w:eastAsia="zh-CN"/>
        </w:rPr>
        <w:t>项目</w:t>
      </w:r>
    </w:p>
    <w:p>
      <w:pPr>
        <w:widowControl/>
        <w:snapToGrid w:val="0"/>
        <w:spacing w:before="120" w:beforeLines="50" w:after="120" w:afterLines="50" w:line="440" w:lineRule="exact"/>
        <w:ind w:right="640" w:rightChars="200"/>
        <w:rPr>
          <w:rFonts w:ascii="宋体" w:hAnsi="宋体"/>
          <w:b/>
          <w:bCs/>
          <w:kern w:val="0"/>
          <w:szCs w:val="32"/>
          <w:u w:val="single"/>
        </w:rPr>
      </w:pPr>
      <w:r>
        <w:rPr>
          <w:rFonts w:hint="eastAsia" w:ascii="宋体" w:hAnsi="宋体" w:eastAsia="宋体" w:cs="宋体"/>
          <w:b/>
          <w:bCs/>
          <w:spacing w:val="84"/>
          <w:kern w:val="0"/>
          <w:szCs w:val="32"/>
        </w:rPr>
        <w:t>合同编号：</w:t>
      </w:r>
      <w:r>
        <w:rPr>
          <w:rFonts w:hint="eastAsia" w:ascii="宋体" w:hAnsi="宋体"/>
          <w:b/>
          <w:bCs/>
          <w:kern w:val="0"/>
          <w:szCs w:val="32"/>
          <w:u w:val="single"/>
        </w:rPr>
        <w:t xml:space="preserve">           </w:t>
      </w:r>
      <w:r>
        <w:rPr>
          <w:rFonts w:ascii="宋体" w:hAnsi="宋体"/>
          <w:b/>
          <w:bCs/>
          <w:kern w:val="0"/>
          <w:szCs w:val="32"/>
          <w:u w:val="single"/>
        </w:rPr>
        <w:t xml:space="preserve"> </w:t>
      </w:r>
      <w:r>
        <w:rPr>
          <w:rFonts w:hint="eastAsia" w:ascii="宋体" w:hAnsi="宋体"/>
          <w:b/>
          <w:bCs/>
          <w:kern w:val="0"/>
          <w:szCs w:val="32"/>
          <w:u w:val="single"/>
        </w:rPr>
        <w:t xml:space="preserve">      </w:t>
      </w:r>
      <w:r>
        <w:rPr>
          <w:rFonts w:ascii="宋体" w:hAnsi="宋体"/>
          <w:b/>
          <w:bCs/>
          <w:kern w:val="0"/>
          <w:szCs w:val="32"/>
          <w:u w:val="single"/>
        </w:rPr>
        <w:t xml:space="preserve"> </w:t>
      </w:r>
      <w:r>
        <w:rPr>
          <w:rFonts w:hint="eastAsia" w:ascii="宋体" w:hAnsi="宋体"/>
          <w:b/>
          <w:bCs/>
          <w:kern w:val="0"/>
          <w:szCs w:val="32"/>
          <w:u w:val="single"/>
        </w:rPr>
        <w:t xml:space="preserve">      </w:t>
      </w:r>
    </w:p>
    <w:p>
      <w:pPr>
        <w:widowControl/>
        <w:snapToGrid w:val="0"/>
        <w:spacing w:before="120" w:beforeLines="50" w:after="120" w:afterLines="50" w:line="440" w:lineRule="exact"/>
        <w:ind w:right="640" w:rightChars="200"/>
        <w:rPr>
          <w:rFonts w:ascii="宋体" w:hAnsi="宋体"/>
          <w:b/>
          <w:bCs/>
          <w:spacing w:val="84"/>
          <w:kern w:val="0"/>
          <w:szCs w:val="32"/>
        </w:rPr>
      </w:pPr>
      <w:r>
        <w:rPr>
          <w:rFonts w:hint="eastAsia" w:ascii="宋体" w:hAnsi="宋体" w:eastAsia="宋体" w:cs="宋体"/>
          <w:b/>
          <w:bCs/>
          <w:spacing w:val="84"/>
          <w:kern w:val="0"/>
          <w:szCs w:val="32"/>
        </w:rPr>
        <w:t>签订地点：</w:t>
      </w:r>
      <w:r>
        <w:rPr>
          <w:rFonts w:hint="eastAsia" w:ascii="宋体" w:hAnsi="宋体"/>
          <w:b/>
          <w:bCs/>
          <w:kern w:val="0"/>
          <w:szCs w:val="32"/>
          <w:u w:val="single"/>
        </w:rPr>
        <w:t xml:space="preserve"> </w:t>
      </w:r>
      <w:r>
        <w:rPr>
          <w:rFonts w:hint="eastAsia" w:ascii="宋体" w:hAnsi="宋体"/>
          <w:b/>
          <w:bCs/>
          <w:kern w:val="0"/>
          <w:sz w:val="32"/>
          <w:szCs w:val="32"/>
          <w:u w:val="single"/>
        </w:rPr>
        <w:t>广西百色市田阳区</w:t>
      </w:r>
      <w:r>
        <w:rPr>
          <w:rFonts w:hint="eastAsia" w:ascii="宋体" w:hAnsi="宋体"/>
          <w:b/>
          <w:bCs/>
          <w:kern w:val="0"/>
          <w:szCs w:val="32"/>
          <w:u w:val="single"/>
        </w:rPr>
        <w:t xml:space="preserve">      </w:t>
      </w:r>
      <w:r>
        <w:rPr>
          <w:rFonts w:ascii="宋体" w:hAnsi="宋体"/>
          <w:b/>
          <w:bCs/>
          <w:kern w:val="0"/>
          <w:szCs w:val="32"/>
          <w:u w:val="single"/>
        </w:rPr>
        <w:t xml:space="preserve"> </w:t>
      </w:r>
      <w:r>
        <w:rPr>
          <w:rFonts w:hint="eastAsia" w:ascii="宋体" w:hAnsi="宋体"/>
          <w:b/>
          <w:bCs/>
          <w:kern w:val="0"/>
          <w:szCs w:val="32"/>
          <w:u w:val="single"/>
        </w:rPr>
        <w:t xml:space="preserve"> </w:t>
      </w:r>
    </w:p>
    <w:p>
      <w:pPr>
        <w:widowControl/>
        <w:snapToGrid w:val="0"/>
        <w:spacing w:before="120" w:beforeLines="50" w:after="120" w:afterLines="50" w:line="440" w:lineRule="exact"/>
        <w:ind w:right="640" w:rightChars="200"/>
        <w:rPr>
          <w:rFonts w:ascii="宋体" w:hAnsi="宋体"/>
          <w:spacing w:val="84"/>
          <w:kern w:val="0"/>
          <w:szCs w:val="32"/>
        </w:rPr>
      </w:pPr>
      <w:r>
        <w:rPr>
          <w:rFonts w:hint="eastAsia" w:ascii="宋体" w:hAnsi="宋体" w:eastAsia="宋体" w:cs="宋体"/>
          <w:b/>
          <w:bCs/>
          <w:spacing w:val="84"/>
          <w:kern w:val="0"/>
          <w:szCs w:val="32"/>
        </w:rPr>
        <w:t>签订时间：</w:t>
      </w:r>
      <w:r>
        <w:rPr>
          <w:rFonts w:hint="eastAsia" w:ascii="宋体" w:hAnsi="宋体"/>
          <w:b/>
          <w:bCs/>
          <w:kern w:val="0"/>
          <w:szCs w:val="32"/>
          <w:u w:val="single"/>
        </w:rPr>
        <w:t xml:space="preserve"> </w:t>
      </w:r>
      <w:r>
        <w:rPr>
          <w:rFonts w:hint="eastAsia" w:ascii="宋体" w:hAnsi="宋体"/>
          <w:b/>
          <w:bCs/>
          <w:kern w:val="0"/>
          <w:szCs w:val="32"/>
          <w:u w:val="single"/>
          <w:lang w:val="en-US" w:eastAsia="zh-CN"/>
        </w:rPr>
        <w:t>2024年 月    日</w:t>
      </w:r>
      <w:r>
        <w:rPr>
          <w:rFonts w:hint="eastAsia" w:ascii="宋体" w:hAnsi="宋体"/>
          <w:b/>
          <w:bCs/>
          <w:kern w:val="0"/>
          <w:szCs w:val="32"/>
          <w:u w:val="single"/>
        </w:rPr>
        <w:t xml:space="preserve">       </w:t>
      </w:r>
    </w:p>
    <w:p>
      <w:pPr>
        <w:widowControl/>
        <w:snapToGrid w:val="0"/>
        <w:spacing w:before="240" w:beforeLines="100" w:after="240" w:afterLines="100" w:line="360" w:lineRule="auto"/>
        <w:jc w:val="center"/>
        <w:rPr>
          <w:rFonts w:ascii="宋体" w:hAnsi="宋体"/>
          <w:spacing w:val="84"/>
          <w:kern w:val="0"/>
          <w:szCs w:val="32"/>
        </w:rPr>
      </w:pPr>
    </w:p>
    <w:p>
      <w:pPr>
        <w:spacing w:before="120" w:beforeLines="50" w:after="120" w:afterLines="50" w:line="440" w:lineRule="exact"/>
        <w:ind w:firstLine="480" w:firstLineChars="200"/>
        <w:rPr>
          <w:rFonts w:ascii="微软雅黑" w:hAnsi="微软雅黑" w:eastAsia="微软雅黑"/>
          <w:b/>
          <w:sz w:val="24"/>
          <w:szCs w:val="24"/>
        </w:rPr>
      </w:pPr>
    </w:p>
    <w:p>
      <w:pPr>
        <w:spacing w:before="120" w:beforeLines="50" w:after="120" w:afterLines="50" w:line="440" w:lineRule="exact"/>
        <w:ind w:firstLine="480" w:firstLineChars="200"/>
        <w:rPr>
          <w:rFonts w:ascii="微软雅黑" w:hAnsi="微软雅黑" w:eastAsia="微软雅黑"/>
          <w:b/>
          <w:sz w:val="24"/>
          <w:szCs w:val="24"/>
        </w:rPr>
      </w:pPr>
    </w:p>
    <w:p>
      <w:pPr>
        <w:spacing w:before="120" w:beforeLines="50" w:after="120" w:afterLines="50" w:line="440" w:lineRule="exact"/>
        <w:ind w:firstLine="480" w:firstLineChars="200"/>
        <w:rPr>
          <w:rFonts w:ascii="微软雅黑" w:hAnsi="微软雅黑" w:eastAsia="微软雅黑"/>
          <w:b/>
          <w:sz w:val="24"/>
          <w:szCs w:val="24"/>
        </w:rPr>
      </w:pPr>
    </w:p>
    <w:p>
      <w:pPr>
        <w:autoSpaceDE w:val="0"/>
        <w:autoSpaceDN w:val="0"/>
        <w:adjustRightInd w:val="0"/>
        <w:snapToGrid w:val="0"/>
        <w:spacing w:before="120" w:beforeLines="50" w:after="120" w:afterLines="50"/>
        <w:jc w:val="center"/>
        <w:rPr>
          <w:rFonts w:ascii="微软雅黑" w:hAnsi="微软雅黑" w:eastAsia="微软雅黑" w:cs="微软雅黑"/>
          <w:b/>
          <w:bCs/>
          <w:spacing w:val="-2"/>
          <w:sz w:val="24"/>
          <w:szCs w:val="24"/>
        </w:rPr>
      </w:pPr>
      <w:r>
        <w:rPr>
          <w:rFonts w:hint="eastAsia" w:ascii="微软雅黑" w:hAnsi="微软雅黑" w:eastAsia="微软雅黑" w:cs="微软雅黑"/>
          <w:spacing w:val="-2"/>
          <w:sz w:val="24"/>
          <w:szCs w:val="24"/>
        </w:rPr>
        <w:t xml:space="preserve"> </w:t>
      </w:r>
    </w:p>
    <w:p>
      <w:pPr>
        <w:autoSpaceDE w:val="0"/>
        <w:autoSpaceDN w:val="0"/>
        <w:adjustRightInd w:val="0"/>
        <w:snapToGrid w:val="0"/>
        <w:spacing w:before="120" w:beforeLines="50" w:after="120" w:afterLines="50"/>
        <w:jc w:val="center"/>
        <w:rPr>
          <w:rFonts w:hint="eastAsia" w:ascii="微软雅黑" w:hAnsi="微软雅黑" w:eastAsia="微软雅黑" w:cs="微软雅黑"/>
          <w:b/>
          <w:bCs/>
          <w:spacing w:val="-2"/>
          <w:sz w:val="24"/>
          <w:szCs w:val="24"/>
        </w:rPr>
      </w:pPr>
    </w:p>
    <w:p>
      <w:pPr>
        <w:autoSpaceDE w:val="0"/>
        <w:autoSpaceDN w:val="0"/>
        <w:adjustRightInd w:val="0"/>
        <w:snapToGrid w:val="0"/>
        <w:spacing w:before="120" w:beforeLines="50" w:after="120" w:afterLines="50"/>
        <w:jc w:val="center"/>
        <w:rPr>
          <w:rFonts w:hint="eastAsia" w:ascii="微软雅黑" w:hAnsi="微软雅黑" w:eastAsia="微软雅黑" w:cs="微软雅黑"/>
          <w:b/>
          <w:bCs/>
          <w:spacing w:val="-2"/>
          <w:sz w:val="24"/>
          <w:szCs w:val="24"/>
        </w:rPr>
      </w:pPr>
    </w:p>
    <w:p>
      <w:pPr>
        <w:autoSpaceDE w:val="0"/>
        <w:autoSpaceDN w:val="0"/>
        <w:adjustRightInd w:val="0"/>
        <w:snapToGrid w:val="0"/>
        <w:spacing w:before="120" w:beforeLines="50" w:after="120" w:afterLines="50"/>
        <w:jc w:val="center"/>
        <w:rPr>
          <w:rFonts w:hint="eastAsia" w:ascii="微软雅黑" w:hAnsi="微软雅黑" w:eastAsia="微软雅黑" w:cs="微软雅黑"/>
          <w:b/>
          <w:bCs/>
          <w:spacing w:val="-2"/>
          <w:sz w:val="24"/>
          <w:szCs w:val="24"/>
        </w:rPr>
      </w:pPr>
    </w:p>
    <w:p>
      <w:pPr>
        <w:autoSpaceDE w:val="0"/>
        <w:autoSpaceDN w:val="0"/>
        <w:adjustRightInd w:val="0"/>
        <w:snapToGrid w:val="0"/>
        <w:spacing w:before="120" w:beforeLines="50" w:after="120" w:afterLines="50"/>
        <w:jc w:val="center"/>
        <w:rPr>
          <w:rFonts w:hint="eastAsia" w:ascii="微软雅黑" w:hAnsi="微软雅黑" w:eastAsia="微软雅黑" w:cs="微软雅黑"/>
          <w:b/>
          <w:bCs/>
          <w:spacing w:val="-2"/>
          <w:sz w:val="24"/>
          <w:szCs w:val="24"/>
        </w:rPr>
      </w:pPr>
    </w:p>
    <w:p>
      <w:pPr>
        <w:autoSpaceDE w:val="0"/>
        <w:autoSpaceDN w:val="0"/>
        <w:adjustRightInd w:val="0"/>
        <w:snapToGrid w:val="0"/>
        <w:spacing w:before="120" w:beforeLines="50" w:after="120" w:afterLines="50"/>
        <w:jc w:val="center"/>
        <w:rPr>
          <w:rFonts w:hint="eastAsia" w:ascii="微软雅黑" w:hAnsi="微软雅黑" w:eastAsia="微软雅黑" w:cs="微软雅黑"/>
          <w:b/>
          <w:bCs/>
          <w:spacing w:val="-2"/>
          <w:sz w:val="24"/>
          <w:szCs w:val="24"/>
          <w:lang w:eastAsia="zh-CN"/>
        </w:rPr>
      </w:pPr>
      <w:r>
        <w:rPr>
          <w:rFonts w:hint="eastAsia" w:ascii="微软雅黑" w:hAnsi="微软雅黑" w:eastAsia="微软雅黑" w:cs="微软雅黑"/>
          <w:spacing w:val="-2"/>
          <w:sz w:val="24"/>
          <w:szCs w:val="24"/>
        </w:rPr>
        <w:t xml:space="preserve"> </w:t>
      </w:r>
      <w:r>
        <w:rPr>
          <w:rFonts w:hint="eastAsia" w:ascii="微软雅黑" w:hAnsi="微软雅黑" w:eastAsia="微软雅黑" w:cs="微软雅黑"/>
          <w:b/>
          <w:bCs/>
          <w:spacing w:val="-2"/>
          <w:sz w:val="24"/>
          <w:szCs w:val="24"/>
          <w:lang w:eastAsia="zh-CN"/>
        </w:rPr>
        <w:t>百色百矿发电有限公司2024年度#2机组检修各类阀门内漏外委维修项目</w:t>
      </w:r>
    </w:p>
    <w:p>
      <w:pPr>
        <w:autoSpaceDE w:val="0"/>
        <w:autoSpaceDN w:val="0"/>
        <w:adjustRightInd w:val="0"/>
        <w:snapToGrid w:val="0"/>
        <w:spacing w:before="120" w:beforeLines="50" w:after="120" w:afterLines="50"/>
        <w:jc w:val="center"/>
        <w:rPr>
          <w:rFonts w:ascii="微软雅黑" w:hAnsi="微软雅黑" w:eastAsia="微软雅黑" w:cs="微软雅黑"/>
          <w:b/>
          <w:bCs/>
          <w:spacing w:val="-2"/>
          <w:sz w:val="24"/>
          <w:szCs w:val="24"/>
        </w:rPr>
      </w:pPr>
      <w:r>
        <w:rPr>
          <w:rFonts w:hint="eastAsia" w:ascii="微软雅黑" w:hAnsi="微软雅黑" w:eastAsia="微软雅黑" w:cs="微软雅黑"/>
          <w:b/>
          <w:bCs/>
          <w:spacing w:val="-2"/>
          <w:sz w:val="24"/>
          <w:szCs w:val="24"/>
        </w:rPr>
        <w:t>服务合同</w:t>
      </w:r>
    </w:p>
    <w:p>
      <w:pPr>
        <w:ind w:firstLine="480" w:firstLineChars="200"/>
        <w:rPr>
          <w:rFonts w:ascii="微软雅黑" w:hAnsi="微软雅黑" w:eastAsia="微软雅黑" w:cs="微软雅黑"/>
          <w:b/>
          <w:sz w:val="24"/>
          <w:szCs w:val="24"/>
        </w:rPr>
      </w:pPr>
      <w:r>
        <w:rPr>
          <w:rFonts w:hint="eastAsia" w:ascii="微软雅黑" w:hAnsi="微软雅黑" w:eastAsia="微软雅黑" w:cs="微软雅黑"/>
          <w:b/>
          <w:sz w:val="24"/>
          <w:szCs w:val="24"/>
        </w:rPr>
        <w:t>业主方：</w:t>
      </w:r>
      <w:r>
        <w:rPr>
          <w:rFonts w:hint="eastAsia" w:ascii="微软雅黑" w:hAnsi="微软雅黑" w:eastAsia="微软雅黑" w:cs="微软雅黑"/>
          <w:b/>
          <w:sz w:val="24"/>
          <w:szCs w:val="24"/>
          <w:u w:val="single"/>
        </w:rPr>
        <w:t xml:space="preserve"> 百色百矿发电有限公司</w:t>
      </w:r>
      <w:r>
        <w:rPr>
          <w:rFonts w:hint="eastAsia" w:ascii="微软雅黑" w:hAnsi="微软雅黑" w:eastAsia="微软雅黑" w:cs="微软雅黑"/>
          <w:b/>
          <w:sz w:val="24"/>
          <w:szCs w:val="24"/>
          <w:u w:val="single"/>
          <w:lang w:val="en-US" w:eastAsia="zh-CN"/>
        </w:rPr>
        <w:t xml:space="preserve">     </w:t>
      </w:r>
      <w:r>
        <w:rPr>
          <w:rFonts w:hint="eastAsia" w:ascii="微软雅黑" w:hAnsi="微软雅黑" w:eastAsia="微软雅黑" w:cs="微软雅黑"/>
          <w:b/>
          <w:sz w:val="24"/>
          <w:szCs w:val="24"/>
        </w:rPr>
        <w:t>（以下简称“甲方”）</w:t>
      </w:r>
    </w:p>
    <w:p>
      <w:pPr>
        <w:ind w:firstLine="480" w:firstLineChars="200"/>
        <w:rPr>
          <w:rFonts w:ascii="微软雅黑" w:hAnsi="微软雅黑" w:eastAsia="微软雅黑" w:cs="微软雅黑"/>
          <w:b/>
          <w:sz w:val="24"/>
          <w:szCs w:val="24"/>
        </w:rPr>
      </w:pPr>
      <w:r>
        <w:rPr>
          <w:rFonts w:hint="eastAsia" w:ascii="微软雅黑" w:hAnsi="微软雅黑" w:eastAsia="微软雅黑" w:cs="微软雅黑"/>
          <w:b/>
          <w:sz w:val="24"/>
          <w:szCs w:val="24"/>
        </w:rPr>
        <w:t>施工方：</w:t>
      </w:r>
      <w:r>
        <w:rPr>
          <w:rFonts w:hint="eastAsia" w:ascii="微软雅黑" w:hAnsi="微软雅黑" w:eastAsia="微软雅黑" w:cs="微软雅黑"/>
          <w:b/>
          <w:sz w:val="24"/>
          <w:szCs w:val="24"/>
          <w:u w:val="single"/>
        </w:rPr>
        <w:t xml:space="preserve"> </w:t>
      </w:r>
      <w:r>
        <w:rPr>
          <w:rFonts w:hint="eastAsia" w:ascii="微软雅黑" w:hAnsi="微软雅黑" w:eastAsia="微软雅黑" w:cs="微软雅黑"/>
          <w:b/>
          <w:bCs w:val="0"/>
          <w:sz w:val="24"/>
          <w:szCs w:val="24"/>
          <w:u w:val="single"/>
          <w:lang w:val="en-US" w:eastAsia="zh-CN"/>
        </w:rPr>
        <w:t>XXX公司</w:t>
      </w:r>
      <w:r>
        <w:rPr>
          <w:rFonts w:hint="eastAsia" w:ascii="微软雅黑" w:hAnsi="微软雅黑" w:eastAsia="微软雅黑" w:cs="微软雅黑"/>
          <w:b/>
          <w:sz w:val="24"/>
          <w:szCs w:val="24"/>
          <w:u w:val="single"/>
        </w:rPr>
        <w:t xml:space="preserve">  </w:t>
      </w:r>
      <w:r>
        <w:rPr>
          <w:rFonts w:hint="eastAsia" w:ascii="微软雅黑" w:hAnsi="微软雅黑" w:eastAsia="微软雅黑" w:cs="微软雅黑"/>
          <w:b/>
          <w:sz w:val="24"/>
          <w:szCs w:val="24"/>
        </w:rPr>
        <w:t>（以下简称“乙方”）</w:t>
      </w:r>
    </w:p>
    <w:p>
      <w:pPr>
        <w:pStyle w:val="11"/>
        <w:snapToGrid w:val="0"/>
        <w:spacing w:line="480" w:lineRule="exact"/>
        <w:ind w:firstLine="472" w:firstLineChars="200"/>
        <w:rPr>
          <w:rFonts w:ascii="微软雅黑" w:hAnsi="微软雅黑" w:eastAsia="微软雅黑" w:cs="微软雅黑"/>
          <w:sz w:val="24"/>
          <w:szCs w:val="24"/>
        </w:rPr>
      </w:pPr>
      <w:r>
        <w:rPr>
          <w:rFonts w:hint="eastAsia" w:ascii="微软雅黑" w:hAnsi="微软雅黑" w:eastAsia="微软雅黑" w:cs="微软雅黑"/>
          <w:spacing w:val="-2"/>
          <w:sz w:val="24"/>
          <w:szCs w:val="24"/>
        </w:rPr>
        <w:t>甲、乙双方根据《中华人民共和国民法典》及其他相关法律法规，本着自愿公平、诚实信用的原则，经充分友好协商，就甲方</w:t>
      </w:r>
      <w:r>
        <w:rPr>
          <w:rFonts w:hint="eastAsia" w:ascii="微软雅黑" w:hAnsi="微软雅黑" w:eastAsia="微软雅黑" w:cs="微软雅黑"/>
          <w:sz w:val="24"/>
          <w:szCs w:val="24"/>
          <w:lang w:eastAsia="zh-CN"/>
        </w:rPr>
        <w:t>#2机组检修各类阀门内漏外委维修项目</w:t>
      </w:r>
      <w:r>
        <w:rPr>
          <w:rFonts w:hint="eastAsia" w:ascii="微软雅黑" w:hAnsi="微软雅黑" w:eastAsia="微软雅黑" w:cs="微软雅黑"/>
          <w:spacing w:val="-2"/>
          <w:sz w:val="24"/>
          <w:szCs w:val="24"/>
        </w:rPr>
        <w:t>事宜，达成如下协议，以供双方恪守履行。</w:t>
      </w:r>
    </w:p>
    <w:p>
      <w:pPr>
        <w:adjustRightInd w:val="0"/>
        <w:snapToGrid w:val="0"/>
        <w:spacing w:line="480" w:lineRule="exact"/>
        <w:outlineLvl w:val="0"/>
        <w:rPr>
          <w:rFonts w:ascii="微软雅黑" w:hAnsi="微软雅黑" w:eastAsia="微软雅黑" w:cs="微软雅黑"/>
          <w:b/>
          <w:bCs/>
          <w:sz w:val="24"/>
          <w:szCs w:val="24"/>
        </w:rPr>
      </w:pPr>
      <w:bookmarkStart w:id="1" w:name="_Toc51973581"/>
      <w:r>
        <w:rPr>
          <w:rFonts w:hint="eastAsia" w:ascii="微软雅黑" w:hAnsi="微软雅黑" w:eastAsia="微软雅黑" w:cs="微软雅黑"/>
          <w:b/>
          <w:bCs/>
          <w:sz w:val="24"/>
          <w:szCs w:val="24"/>
        </w:rPr>
        <w:t>第一条、服务范围</w:t>
      </w:r>
      <w:bookmarkEnd w:id="1"/>
      <w:r>
        <w:rPr>
          <w:rFonts w:hint="eastAsia" w:ascii="微软雅黑" w:hAnsi="微软雅黑" w:eastAsia="微软雅黑" w:cs="微软雅黑"/>
          <w:b/>
          <w:bCs/>
          <w:sz w:val="24"/>
          <w:szCs w:val="24"/>
        </w:rPr>
        <w:t>及金额</w:t>
      </w:r>
    </w:p>
    <w:p>
      <w:pPr>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1.1 乙方根据本合同向甲方提供</w:t>
      </w:r>
      <w:r>
        <w:rPr>
          <w:rFonts w:hint="eastAsia" w:ascii="微软雅黑" w:hAnsi="微软雅黑" w:eastAsia="微软雅黑" w:cs="微软雅黑"/>
          <w:sz w:val="24"/>
          <w:szCs w:val="24"/>
          <w:lang w:eastAsia="zh-CN"/>
        </w:rPr>
        <w:t>百色百矿发电有限公司2024年度#2机组检修各类阀门内漏外委维修项目</w:t>
      </w:r>
      <w:r>
        <w:rPr>
          <w:rFonts w:hint="eastAsia" w:ascii="微软雅黑" w:hAnsi="微软雅黑" w:eastAsia="微软雅黑" w:cs="微软雅黑"/>
          <w:sz w:val="24"/>
          <w:szCs w:val="24"/>
        </w:rPr>
        <w:t>服务。</w:t>
      </w:r>
    </w:p>
    <w:p>
      <w:pPr>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 xml:space="preserve">1.2 </w:t>
      </w:r>
      <w:r>
        <w:rPr>
          <w:rFonts w:hint="eastAsia" w:ascii="微软雅黑" w:hAnsi="微软雅黑" w:eastAsia="微软雅黑" w:cs="微软雅黑"/>
          <w:spacing w:val="-2"/>
          <w:sz w:val="24"/>
          <w:szCs w:val="24"/>
        </w:rPr>
        <w:t>更换修复</w:t>
      </w:r>
      <w:r>
        <w:rPr>
          <w:rFonts w:hint="eastAsia" w:ascii="微软雅黑" w:hAnsi="微软雅黑" w:eastAsia="微软雅黑" w:cs="微软雅黑"/>
          <w:sz w:val="24"/>
          <w:szCs w:val="24"/>
        </w:rPr>
        <w:t>方式：乙方包工包料</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包料是指安装所需的辅助材料）</w:t>
      </w:r>
      <w:r>
        <w:rPr>
          <w:rFonts w:hint="eastAsia" w:ascii="微软雅黑" w:hAnsi="微软雅黑" w:eastAsia="微软雅黑" w:cs="微软雅黑"/>
          <w:sz w:val="24"/>
          <w:szCs w:val="24"/>
        </w:rPr>
        <w:t>，本合同项下</w:t>
      </w:r>
      <w:r>
        <w:rPr>
          <w:rFonts w:hint="eastAsia" w:ascii="微软雅黑" w:hAnsi="微软雅黑" w:eastAsia="微软雅黑" w:cs="微软雅黑"/>
          <w:sz w:val="24"/>
          <w:szCs w:val="24"/>
          <w:lang w:eastAsia="zh-CN"/>
        </w:rPr>
        <w:t>百色百矿发电有限公司2024年度#2机组检修各类阀门内漏外委维修项目</w:t>
      </w:r>
      <w:r>
        <w:rPr>
          <w:rFonts w:hint="eastAsia" w:ascii="微软雅黑" w:hAnsi="微软雅黑" w:eastAsia="微软雅黑" w:cs="微软雅黑"/>
          <w:sz w:val="24"/>
          <w:szCs w:val="24"/>
        </w:rPr>
        <w:t>服务所需的各种设备、工具、耗材等由乙方承担。具体内容见附件2：《技术协议》。</w:t>
      </w:r>
    </w:p>
    <w:p>
      <w:pPr>
        <w:pStyle w:val="38"/>
        <w:ind w:firstLine="480"/>
        <w:rPr>
          <w:rFonts w:ascii="微软雅黑" w:hAnsi="微软雅黑" w:eastAsia="微软雅黑" w:cs="微软雅黑"/>
          <w:color w:val="auto"/>
        </w:rPr>
      </w:pPr>
      <w:r>
        <w:rPr>
          <w:rFonts w:hint="eastAsia" w:ascii="微软雅黑" w:hAnsi="微软雅黑" w:eastAsia="微软雅黑" w:cs="微软雅黑"/>
          <w:color w:val="auto"/>
        </w:rPr>
        <w:t>1.3 更换明细及价款清单详见附件《分项价格清单》。</w:t>
      </w:r>
    </w:p>
    <w:p>
      <w:pPr>
        <w:adjustRightInd w:val="0"/>
        <w:snapToGrid w:val="0"/>
        <w:spacing w:line="480" w:lineRule="exact"/>
        <w:rPr>
          <w:rFonts w:ascii="微软雅黑" w:hAnsi="微软雅黑" w:eastAsia="微软雅黑" w:cs="微软雅黑"/>
          <w:b/>
          <w:bCs/>
          <w:sz w:val="24"/>
          <w:szCs w:val="24"/>
        </w:rPr>
      </w:pPr>
      <w:r>
        <w:rPr>
          <w:rFonts w:hint="eastAsia" w:ascii="微软雅黑" w:hAnsi="微软雅黑" w:eastAsia="微软雅黑" w:cs="微软雅黑"/>
          <w:b/>
          <w:bCs/>
          <w:sz w:val="24"/>
          <w:szCs w:val="24"/>
        </w:rPr>
        <w:t>第二条  质量标准、技术标准和质量保证</w:t>
      </w:r>
    </w:p>
    <w:p>
      <w:pPr>
        <w:adjustRightInd w:val="0"/>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2.1乙方应按照</w:t>
      </w:r>
      <w:r>
        <w:rPr>
          <w:rFonts w:hint="eastAsia" w:ascii="微软雅黑" w:hAnsi="微软雅黑" w:eastAsia="微软雅黑" w:cs="微软雅黑"/>
          <w:sz w:val="24"/>
          <w:szCs w:val="24"/>
          <w:u w:val="single"/>
        </w:rPr>
        <w:t>合同、技术协议、双方确认的设计图纸</w:t>
      </w:r>
      <w:r>
        <w:rPr>
          <w:rFonts w:hint="eastAsia" w:ascii="微软雅黑" w:hAnsi="微软雅黑" w:eastAsia="微软雅黑" w:cs="微软雅黑"/>
          <w:sz w:val="24"/>
          <w:szCs w:val="24"/>
        </w:rPr>
        <w:t>的要求进行</w:t>
      </w:r>
      <w:r>
        <w:rPr>
          <w:rFonts w:hint="eastAsia" w:ascii="微软雅黑" w:hAnsi="微软雅黑" w:eastAsia="微软雅黑" w:cs="微软雅黑"/>
          <w:sz w:val="24"/>
          <w:szCs w:val="24"/>
          <w:lang w:eastAsia="zh-CN"/>
        </w:rPr>
        <w:t>百色百矿发电有限公司2024年度#2机组检修各类阀门内漏外委维修项目</w:t>
      </w:r>
      <w:r>
        <w:rPr>
          <w:rFonts w:hint="eastAsia" w:ascii="微软雅黑" w:hAnsi="微软雅黑" w:eastAsia="微软雅黑" w:cs="微软雅黑"/>
          <w:sz w:val="24"/>
          <w:szCs w:val="24"/>
        </w:rPr>
        <w:t>服务，并提供备件/耗材。如果双方未对更换修复及备件/耗材的质量标准、技术标准做出约定或约定不明确的，应按照国家标准、行业标准或者地方标准执行，如果同时存在两种及以上标准，应以要求较高的标准执行；没有国家标准、行业标准或者地方标准的，应按照本合同项下</w:t>
      </w:r>
      <w:r>
        <w:rPr>
          <w:rFonts w:hint="eastAsia" w:ascii="微软雅黑" w:hAnsi="微软雅黑" w:eastAsia="微软雅黑" w:cs="微软雅黑"/>
          <w:sz w:val="24"/>
          <w:szCs w:val="24"/>
          <w:lang w:eastAsia="zh-CN"/>
        </w:rPr>
        <w:t>百色百矿发电有限公司2024年度#2机组检修各类阀门内漏外委维修项目</w:t>
      </w:r>
      <w:r>
        <w:rPr>
          <w:rFonts w:hint="eastAsia" w:ascii="微软雅黑" w:hAnsi="微软雅黑" w:eastAsia="微软雅黑" w:cs="微软雅黑"/>
          <w:sz w:val="24"/>
          <w:szCs w:val="24"/>
        </w:rPr>
        <w:t>服务的使用目的执行，</w:t>
      </w:r>
      <w:r>
        <w:rPr>
          <w:rFonts w:hint="eastAsia" w:ascii="微软雅黑" w:hAnsi="微软雅黑" w:eastAsia="微软雅黑" w:cs="微软雅黑"/>
          <w:spacing w:val="-2"/>
          <w:sz w:val="24"/>
          <w:szCs w:val="24"/>
        </w:rPr>
        <w:t>更换</w:t>
      </w:r>
      <w:r>
        <w:rPr>
          <w:rFonts w:hint="eastAsia" w:ascii="微软雅黑" w:hAnsi="微软雅黑" w:eastAsia="微软雅黑" w:cs="微软雅黑"/>
          <w:sz w:val="24"/>
          <w:szCs w:val="24"/>
        </w:rPr>
        <w:t>后应确保本合同项下</w:t>
      </w:r>
      <w:r>
        <w:rPr>
          <w:rFonts w:hint="eastAsia" w:ascii="微软雅黑" w:hAnsi="微软雅黑" w:eastAsia="微软雅黑" w:cs="微软雅黑"/>
          <w:sz w:val="24"/>
          <w:lang w:val="en-US" w:eastAsia="zh-CN"/>
        </w:rPr>
        <w:t>服务项目</w:t>
      </w:r>
      <w:r>
        <w:rPr>
          <w:rFonts w:hint="eastAsia" w:ascii="微软雅黑" w:hAnsi="微软雅黑" w:eastAsia="微软雅黑" w:cs="微软雅黑"/>
          <w:sz w:val="24"/>
          <w:szCs w:val="24"/>
        </w:rPr>
        <w:t>能够按照甲方目的正常使用。</w:t>
      </w:r>
    </w:p>
    <w:p>
      <w:pPr>
        <w:adjustRightInd w:val="0"/>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2.2 乙方保证提供更换修复服务所使用的耗材/备件为全新的、合法的产品，均由乙方提供。本合同项下更换修复工作，除经甲方书面同意外，应由乙方自行完成且不得分包或转包。</w:t>
      </w:r>
    </w:p>
    <w:p>
      <w:pPr>
        <w:adjustRightInd w:val="0"/>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2.3 乙方负责本合同</w:t>
      </w:r>
      <w:r>
        <w:rPr>
          <w:rFonts w:hint="eastAsia" w:ascii="微软雅黑" w:hAnsi="微软雅黑" w:eastAsia="微软雅黑" w:cs="微软雅黑"/>
          <w:sz w:val="24"/>
          <w:szCs w:val="24"/>
          <w:lang w:eastAsia="zh-CN"/>
        </w:rPr>
        <w:t>百色百矿发电有限公司2024年度#2机组检修各类阀门内漏外委维修项目</w:t>
      </w:r>
      <w:r>
        <w:rPr>
          <w:rFonts w:hint="eastAsia" w:ascii="微软雅黑" w:hAnsi="微软雅黑" w:eastAsia="微软雅黑" w:cs="微软雅黑"/>
          <w:sz w:val="24"/>
          <w:szCs w:val="24"/>
        </w:rPr>
        <w:t>服务工作，乙方提供的更换修复工作不得毁损、影响甲方设备的正常使用，否则因此给甲方造成的损失由乙方承担。</w:t>
      </w:r>
      <w:bookmarkStart w:id="2" w:name="_GoBack"/>
      <w:bookmarkEnd w:id="2"/>
    </w:p>
    <w:p>
      <w:pPr>
        <w:adjustRightInd w:val="0"/>
        <w:snapToGrid w:val="0"/>
        <w:spacing w:line="480" w:lineRule="exact"/>
        <w:rPr>
          <w:rFonts w:ascii="微软雅黑" w:hAnsi="微软雅黑" w:eastAsia="微软雅黑" w:cs="华文仿宋"/>
          <w:b/>
          <w:color w:val="000000"/>
          <w:sz w:val="24"/>
          <w:szCs w:val="24"/>
        </w:rPr>
      </w:pPr>
      <w:r>
        <w:rPr>
          <w:rFonts w:hint="eastAsia" w:ascii="微软雅黑" w:hAnsi="微软雅黑" w:eastAsia="微软雅黑" w:cs="微软雅黑"/>
          <w:b/>
          <w:bCs/>
          <w:sz w:val="24"/>
          <w:szCs w:val="24"/>
        </w:rPr>
        <w:t xml:space="preserve">第三条  </w:t>
      </w:r>
      <w:r>
        <w:rPr>
          <w:rFonts w:hint="eastAsia" w:ascii="微软雅黑" w:hAnsi="微软雅黑" w:eastAsia="微软雅黑" w:cs="华文仿宋"/>
          <w:b/>
          <w:color w:val="000000"/>
          <w:sz w:val="24"/>
          <w:szCs w:val="24"/>
        </w:rPr>
        <w:t xml:space="preserve">合同价款及支付方式 </w:t>
      </w:r>
    </w:p>
    <w:p>
      <w:pPr>
        <w:spacing w:line="440" w:lineRule="exact"/>
        <w:ind w:firstLine="480" w:firstLineChars="200"/>
        <w:jc w:val="both"/>
        <w:rPr>
          <w:rFonts w:ascii="微软雅黑" w:hAnsi="微软雅黑" w:eastAsia="微软雅黑" w:cs="华文仿宋"/>
          <w:bCs/>
          <w:color w:val="000000"/>
          <w:sz w:val="24"/>
          <w:szCs w:val="24"/>
        </w:rPr>
      </w:pPr>
      <w:r>
        <w:rPr>
          <w:rFonts w:hint="eastAsia" w:ascii="微软雅黑" w:hAnsi="微软雅黑" w:eastAsia="微软雅黑" w:cs="华文仿宋"/>
          <w:bCs/>
          <w:color w:val="000000"/>
          <w:sz w:val="24"/>
          <w:szCs w:val="24"/>
        </w:rPr>
        <w:t>3.1本合同总</w:t>
      </w:r>
      <w:r>
        <w:rPr>
          <w:rFonts w:hint="eastAsia" w:ascii="微软雅黑" w:hAnsi="微软雅黑" w:eastAsia="微软雅黑" w:cs="华文仿宋"/>
          <w:bCs/>
          <w:color w:val="0000FF"/>
          <w:sz w:val="24"/>
          <w:szCs w:val="24"/>
        </w:rPr>
        <w:t>价（含</w:t>
      </w:r>
      <w:r>
        <w:rPr>
          <w:rFonts w:hint="eastAsia" w:ascii="微软雅黑" w:hAnsi="微软雅黑" w:eastAsia="微软雅黑" w:cs="华文仿宋"/>
          <w:bCs/>
          <w:color w:val="0000FF"/>
          <w:sz w:val="24"/>
          <w:szCs w:val="24"/>
          <w:lang w:eastAsia="zh-CN"/>
        </w:rPr>
        <w:t>9</w:t>
      </w:r>
      <w:r>
        <w:rPr>
          <w:rFonts w:hint="eastAsia" w:ascii="微软雅黑" w:hAnsi="微软雅黑" w:eastAsia="微软雅黑" w:cs="华文仿宋"/>
          <w:bCs/>
          <w:color w:val="0000FF"/>
          <w:sz w:val="24"/>
          <w:szCs w:val="24"/>
        </w:rPr>
        <w:t>%增值税）为人民币</w:t>
      </w:r>
      <w:r>
        <w:rPr>
          <w:rFonts w:hint="eastAsia" w:ascii="微软雅黑" w:hAnsi="微软雅黑" w:eastAsia="微软雅黑" w:cs="华文仿宋"/>
          <w:bCs/>
          <w:color w:val="0000FF"/>
          <w:sz w:val="24"/>
          <w:szCs w:val="24"/>
          <w:lang w:val="en-US" w:eastAsia="zh-CN"/>
        </w:rPr>
        <w:t>大写：</w:t>
      </w:r>
      <w:r>
        <w:rPr>
          <w:rFonts w:hint="eastAsia" w:ascii="微软雅黑" w:hAnsi="微软雅黑" w:eastAsia="微软雅黑" w:cs="华文仿宋"/>
          <w:bCs/>
          <w:color w:val="0000FF"/>
          <w:sz w:val="24"/>
          <w:szCs w:val="24"/>
          <w:u w:val="single"/>
          <w:lang w:val="en-US" w:eastAsia="zh-CN"/>
        </w:rPr>
        <w:t xml:space="preserve"> </w:t>
      </w:r>
      <w:r>
        <w:rPr>
          <w:rFonts w:hint="eastAsia" w:ascii="微软雅黑" w:hAnsi="微软雅黑" w:eastAsia="微软雅黑" w:cs="华文仿宋"/>
          <w:bCs/>
          <w:color w:val="0000FF"/>
          <w:sz w:val="24"/>
          <w:szCs w:val="24"/>
          <w:u w:val="single"/>
        </w:rPr>
        <w:t>（¥</w:t>
      </w:r>
      <w:r>
        <w:rPr>
          <w:rFonts w:hint="eastAsia" w:ascii="微软雅黑" w:hAnsi="微软雅黑" w:eastAsia="微软雅黑" w:cs="华文仿宋"/>
          <w:bCs/>
          <w:color w:val="0000FF"/>
          <w:sz w:val="24"/>
          <w:szCs w:val="24"/>
          <w:u w:val="single"/>
          <w:lang w:val="en-US" w:eastAsia="zh-CN"/>
        </w:rPr>
        <w:t xml:space="preserve"> .00</w:t>
      </w:r>
      <w:r>
        <w:rPr>
          <w:rFonts w:hint="eastAsia" w:ascii="微软雅黑" w:hAnsi="微软雅黑" w:eastAsia="微软雅黑" w:cs="华文仿宋"/>
          <w:bCs/>
          <w:color w:val="0000FF"/>
          <w:sz w:val="24"/>
          <w:szCs w:val="24"/>
          <w:u w:val="single"/>
        </w:rPr>
        <w:t>）</w:t>
      </w:r>
      <w:r>
        <w:rPr>
          <w:rFonts w:hint="eastAsia" w:ascii="微软雅黑" w:hAnsi="微软雅黑" w:eastAsia="微软雅黑" w:cs="华文仿宋"/>
          <w:bCs/>
          <w:color w:val="0000FF"/>
          <w:sz w:val="24"/>
          <w:szCs w:val="24"/>
        </w:rPr>
        <w:t>。</w:t>
      </w:r>
      <w:r>
        <w:rPr>
          <w:rFonts w:hint="eastAsia" w:ascii="微软雅黑" w:hAnsi="微软雅黑" w:eastAsia="微软雅黑" w:cs="华文仿宋"/>
          <w:bCs/>
          <w:color w:val="000000"/>
          <w:sz w:val="24"/>
          <w:szCs w:val="24"/>
        </w:rPr>
        <w:t>本合同为固定总价合同，包含施工材料、施工设备、人工、管理、保险、利润、税金及所有风险、责任等一切费用。如安装清单中有漏、错算的安装项目，乙方必须无条件完成该项目，所产生的一切费用由乙方承担。</w:t>
      </w:r>
    </w:p>
    <w:p>
      <w:pPr>
        <w:spacing w:line="440" w:lineRule="exact"/>
        <w:ind w:firstLine="480" w:firstLineChars="200"/>
        <w:rPr>
          <w:rFonts w:ascii="微软雅黑" w:hAnsi="微软雅黑" w:eastAsia="微软雅黑" w:cs="华文仿宋"/>
          <w:b/>
          <w:color w:val="1E1C11" w:themeColor="background2" w:themeShade="1A"/>
          <w:sz w:val="24"/>
          <w:szCs w:val="24"/>
        </w:rPr>
      </w:pPr>
      <w:r>
        <w:rPr>
          <w:rFonts w:hint="eastAsia" w:ascii="微软雅黑" w:hAnsi="微软雅黑" w:eastAsia="微软雅黑" w:cs="华文仿宋"/>
          <w:b/>
          <w:color w:val="1E1C11" w:themeColor="background2" w:themeShade="1A"/>
          <w:sz w:val="24"/>
          <w:szCs w:val="24"/>
        </w:rPr>
        <w:t>3.2付款方式</w:t>
      </w:r>
    </w:p>
    <w:p>
      <w:pPr>
        <w:spacing w:line="440" w:lineRule="exact"/>
        <w:ind w:left="240" w:leftChars="75" w:firstLine="240" w:firstLineChars="100"/>
        <w:jc w:val="left"/>
        <w:rPr>
          <w:rFonts w:hint="default" w:ascii="宋体" w:hAnsi="宋体" w:eastAsia="微软雅黑" w:cs="宋体"/>
          <w:color w:val="0000FF"/>
          <w:sz w:val="24"/>
          <w:szCs w:val="24"/>
          <w:lang w:val="en-US" w:eastAsia="zh-CN"/>
        </w:rPr>
      </w:pPr>
      <w:r>
        <w:rPr>
          <w:rFonts w:hint="eastAsia" w:ascii="微软雅黑" w:hAnsi="微软雅黑" w:eastAsia="微软雅黑" w:cs="华文仿宋"/>
          <w:bCs/>
          <w:sz w:val="24"/>
          <w:szCs w:val="24"/>
        </w:rPr>
        <w:t>3.2.1</w:t>
      </w:r>
      <w:r>
        <w:rPr>
          <w:rFonts w:hint="eastAsia" w:ascii="微软雅黑" w:hAnsi="微软雅黑" w:eastAsia="微软雅黑" w:cs="华文仿宋"/>
          <w:bCs/>
          <w:color w:val="0000FF"/>
          <w:sz w:val="24"/>
          <w:szCs w:val="24"/>
        </w:rPr>
        <w:t>本项目完工验收合格支付至合同总价的9</w:t>
      </w:r>
      <w:r>
        <w:rPr>
          <w:rFonts w:hint="eastAsia" w:ascii="微软雅黑" w:hAnsi="微软雅黑" w:eastAsia="微软雅黑" w:cs="华文仿宋"/>
          <w:bCs/>
          <w:color w:val="0000FF"/>
          <w:sz w:val="24"/>
          <w:szCs w:val="24"/>
          <w:lang w:val="en-US" w:eastAsia="zh-CN"/>
        </w:rPr>
        <w:t>0</w:t>
      </w:r>
      <w:r>
        <w:rPr>
          <w:rFonts w:hint="eastAsia" w:ascii="微软雅黑" w:hAnsi="微软雅黑" w:eastAsia="微软雅黑" w:cs="华文仿宋"/>
          <w:bCs/>
          <w:color w:val="0000FF"/>
          <w:sz w:val="24"/>
          <w:szCs w:val="24"/>
        </w:rPr>
        <w:t>%，即支付人民币</w:t>
      </w:r>
      <w:r>
        <w:rPr>
          <w:rFonts w:hint="eastAsia" w:ascii="微软雅黑" w:hAnsi="微软雅黑" w:eastAsia="微软雅黑" w:cs="华文仿宋"/>
          <w:bCs/>
          <w:color w:val="0000FF"/>
          <w:sz w:val="24"/>
          <w:szCs w:val="24"/>
          <w:lang w:val="en-US" w:eastAsia="zh-CN"/>
        </w:rPr>
        <w:t>大写：</w:t>
      </w:r>
      <w:r>
        <w:rPr>
          <w:rFonts w:hint="eastAsia" w:ascii="微软雅黑" w:hAnsi="微软雅黑" w:eastAsia="微软雅黑" w:cs="华文仿宋"/>
          <w:bCs/>
          <w:color w:val="0000FF"/>
          <w:sz w:val="24"/>
          <w:szCs w:val="24"/>
          <w:u w:val="single"/>
          <w:lang w:val="en-US" w:eastAsia="zh-CN"/>
        </w:rPr>
        <w:t xml:space="preserve"> </w:t>
      </w:r>
      <w:r>
        <w:rPr>
          <w:rFonts w:hint="eastAsia" w:ascii="微软雅黑" w:hAnsi="微软雅黑" w:eastAsia="微软雅黑" w:cs="华文仿宋"/>
          <w:bCs/>
          <w:color w:val="0000FF"/>
          <w:sz w:val="24"/>
          <w:szCs w:val="24"/>
          <w:u w:val="single"/>
        </w:rPr>
        <w:t>（¥</w:t>
      </w:r>
      <w:r>
        <w:rPr>
          <w:rFonts w:hint="eastAsia" w:ascii="微软雅黑" w:hAnsi="微软雅黑" w:eastAsia="微软雅黑" w:cs="华文仿宋"/>
          <w:bCs/>
          <w:color w:val="0000FF"/>
          <w:sz w:val="24"/>
          <w:szCs w:val="24"/>
          <w:u w:val="single"/>
          <w:lang w:val="en-US" w:eastAsia="zh-CN"/>
        </w:rPr>
        <w:t xml:space="preserve">  .00</w:t>
      </w:r>
      <w:r>
        <w:rPr>
          <w:rFonts w:hint="eastAsia" w:ascii="微软雅黑" w:hAnsi="微软雅黑" w:eastAsia="微软雅黑" w:cs="华文仿宋"/>
          <w:bCs/>
          <w:color w:val="0000FF"/>
          <w:sz w:val="24"/>
          <w:szCs w:val="24"/>
          <w:u w:val="single"/>
        </w:rPr>
        <w:t xml:space="preserve"> ）</w:t>
      </w:r>
      <w:r>
        <w:rPr>
          <w:rFonts w:hint="eastAsia" w:ascii="微软雅黑" w:hAnsi="微软雅黑" w:eastAsia="微软雅黑" w:cs="华文仿宋"/>
          <w:bCs/>
          <w:color w:val="0000FF"/>
          <w:sz w:val="24"/>
          <w:szCs w:val="24"/>
        </w:rPr>
        <w:t>；</w:t>
      </w:r>
      <w:r>
        <w:rPr>
          <w:rFonts w:hint="eastAsia" w:ascii="微软雅黑" w:hAnsi="微软雅黑" w:eastAsia="微软雅黑" w:cs="华文仿宋"/>
          <w:bCs/>
          <w:color w:val="0000FF"/>
          <w:sz w:val="24"/>
          <w:szCs w:val="24"/>
          <w:lang w:val="en-US" w:eastAsia="zh-CN"/>
        </w:rPr>
        <w:t>发票入甲方财务账后30日后付款。</w:t>
      </w:r>
    </w:p>
    <w:p>
      <w:pPr>
        <w:spacing w:line="440" w:lineRule="exact"/>
        <w:ind w:firstLine="480" w:firstLineChars="200"/>
        <w:jc w:val="left"/>
        <w:rPr>
          <w:rFonts w:ascii="微软雅黑" w:hAnsi="微软雅黑" w:eastAsia="微软雅黑" w:cs="华文仿宋"/>
          <w:bCs/>
          <w:color w:val="000000"/>
          <w:sz w:val="24"/>
          <w:szCs w:val="24"/>
        </w:rPr>
      </w:pPr>
      <w:r>
        <w:rPr>
          <w:rFonts w:hint="eastAsia" w:ascii="微软雅黑" w:hAnsi="微软雅黑" w:eastAsia="微软雅黑" w:cs="华文仿宋"/>
          <w:bCs/>
          <w:color w:val="0000FF"/>
          <w:sz w:val="24"/>
          <w:szCs w:val="24"/>
        </w:rPr>
        <w:t>3.2.2留合同总价的</w:t>
      </w:r>
      <w:r>
        <w:rPr>
          <w:rFonts w:hint="eastAsia" w:ascii="微软雅黑" w:hAnsi="微软雅黑" w:eastAsia="微软雅黑" w:cs="华文仿宋"/>
          <w:bCs/>
          <w:color w:val="0000FF"/>
          <w:sz w:val="24"/>
          <w:szCs w:val="24"/>
          <w:lang w:val="en-US" w:eastAsia="zh-CN"/>
        </w:rPr>
        <w:t>10</w:t>
      </w:r>
      <w:r>
        <w:rPr>
          <w:rFonts w:hint="eastAsia" w:ascii="微软雅黑" w:hAnsi="微软雅黑" w:eastAsia="微软雅黑" w:cs="华文仿宋"/>
          <w:bCs/>
          <w:color w:val="0000FF"/>
          <w:sz w:val="24"/>
          <w:szCs w:val="24"/>
        </w:rPr>
        <w:t>%</w:t>
      </w:r>
      <w:r>
        <w:rPr>
          <w:rFonts w:hint="eastAsia" w:ascii="微软雅黑" w:hAnsi="微软雅黑" w:eastAsia="微软雅黑" w:cs="华文仿宋"/>
          <w:bCs/>
          <w:color w:val="0000FF"/>
          <w:sz w:val="24"/>
          <w:szCs w:val="24"/>
          <w:lang w:eastAsia="zh-CN"/>
        </w:rPr>
        <w:t>，</w:t>
      </w:r>
      <w:r>
        <w:rPr>
          <w:rFonts w:hint="eastAsia" w:ascii="微软雅黑" w:hAnsi="微软雅黑" w:eastAsia="微软雅黑" w:cs="华文仿宋"/>
          <w:bCs/>
          <w:color w:val="0000FF"/>
          <w:sz w:val="24"/>
          <w:szCs w:val="24"/>
        </w:rPr>
        <w:t>即人民币</w:t>
      </w:r>
      <w:r>
        <w:rPr>
          <w:rFonts w:hint="eastAsia" w:ascii="微软雅黑" w:hAnsi="微软雅黑" w:eastAsia="微软雅黑" w:cs="华文仿宋"/>
          <w:bCs/>
          <w:color w:val="0000FF"/>
          <w:sz w:val="24"/>
          <w:szCs w:val="24"/>
          <w:lang w:val="en-US" w:eastAsia="zh-CN"/>
        </w:rPr>
        <w:t>大写：</w:t>
      </w:r>
      <w:r>
        <w:rPr>
          <w:rFonts w:hint="eastAsia" w:ascii="微软雅黑" w:hAnsi="微软雅黑" w:eastAsia="微软雅黑" w:cs="华文仿宋"/>
          <w:bCs/>
          <w:color w:val="0000FF"/>
          <w:sz w:val="24"/>
          <w:szCs w:val="24"/>
          <w:u w:val="single"/>
          <w:lang w:val="en-US" w:eastAsia="zh-CN"/>
        </w:rPr>
        <w:t xml:space="preserve"> </w:t>
      </w:r>
      <w:r>
        <w:rPr>
          <w:rFonts w:hint="eastAsia" w:ascii="微软雅黑" w:hAnsi="微软雅黑" w:eastAsia="微软雅黑" w:cs="华文仿宋"/>
          <w:bCs/>
          <w:color w:val="0000FF"/>
          <w:sz w:val="24"/>
          <w:szCs w:val="24"/>
          <w:u w:val="single"/>
        </w:rPr>
        <w:t>（¥</w:t>
      </w:r>
      <w:r>
        <w:rPr>
          <w:rFonts w:hint="eastAsia" w:ascii="微软雅黑" w:hAnsi="微软雅黑" w:eastAsia="微软雅黑" w:cs="华文仿宋"/>
          <w:bCs/>
          <w:color w:val="0000FF"/>
          <w:sz w:val="24"/>
          <w:szCs w:val="24"/>
          <w:u w:val="single"/>
          <w:lang w:val="en-US" w:eastAsia="zh-CN"/>
        </w:rPr>
        <w:t xml:space="preserve"> .00</w:t>
      </w:r>
      <w:r>
        <w:rPr>
          <w:rFonts w:hint="eastAsia" w:ascii="微软雅黑" w:hAnsi="微软雅黑" w:eastAsia="微软雅黑" w:cs="华文仿宋"/>
          <w:bCs/>
          <w:color w:val="0000FF"/>
          <w:sz w:val="24"/>
          <w:szCs w:val="24"/>
          <w:u w:val="single"/>
        </w:rPr>
        <w:t>）</w:t>
      </w:r>
      <w:r>
        <w:rPr>
          <w:rFonts w:hint="eastAsia" w:ascii="微软雅黑" w:hAnsi="微软雅黑" w:eastAsia="微软雅黑" w:cs="华文仿宋"/>
          <w:bCs/>
          <w:color w:val="000000"/>
          <w:sz w:val="24"/>
          <w:szCs w:val="24"/>
        </w:rPr>
        <w:t>作为质量保证金，项目竣工验收合格之日起满 1年无质量问题的，30日内无息退还质量保证金；如1年内出现质量问题的，则待质量问题返修验收合格之日起满1年后无息退还质量保证金，以此类推。</w:t>
      </w:r>
    </w:p>
    <w:p>
      <w:pPr>
        <w:spacing w:line="440" w:lineRule="exact"/>
        <w:ind w:firstLine="480" w:firstLineChars="200"/>
        <w:rPr>
          <w:rFonts w:ascii="微软雅黑" w:hAnsi="微软雅黑" w:eastAsia="微软雅黑" w:cs="华文仿宋"/>
          <w:bCs/>
          <w:color w:val="000000"/>
          <w:sz w:val="24"/>
          <w:szCs w:val="24"/>
        </w:rPr>
      </w:pPr>
      <w:r>
        <w:rPr>
          <w:rFonts w:hint="eastAsia" w:ascii="微软雅黑" w:hAnsi="微软雅黑" w:eastAsia="微软雅黑" w:cs="华文仿宋"/>
          <w:bCs/>
          <w:color w:val="000000"/>
          <w:sz w:val="24"/>
          <w:szCs w:val="24"/>
        </w:rPr>
        <w:t>3.3项目验收合格后，乙方应按约定税率开具全额增值税发票且甲方收到,作为甲方支付款项前提。</w:t>
      </w:r>
    </w:p>
    <w:p>
      <w:pPr>
        <w:spacing w:line="440" w:lineRule="exact"/>
        <w:ind w:firstLine="480" w:firstLineChars="200"/>
        <w:rPr>
          <w:rFonts w:ascii="微软雅黑" w:hAnsi="微软雅黑" w:eastAsia="微软雅黑" w:cs="华文仿宋"/>
          <w:bCs/>
          <w:color w:val="000000"/>
          <w:sz w:val="24"/>
          <w:szCs w:val="24"/>
        </w:rPr>
      </w:pPr>
      <w:r>
        <w:rPr>
          <w:rFonts w:hint="eastAsia" w:ascii="微软雅黑" w:hAnsi="微软雅黑" w:eastAsia="微软雅黑" w:cs="华文仿宋"/>
          <w:bCs/>
          <w:color w:val="000000"/>
          <w:sz w:val="24"/>
          <w:szCs w:val="24"/>
        </w:rPr>
        <w:t>3.4</w:t>
      </w:r>
      <w:r>
        <w:rPr>
          <w:rFonts w:hint="eastAsia" w:ascii="微软雅黑" w:hAnsi="微软雅黑" w:eastAsia="微软雅黑" w:cs="微软雅黑"/>
          <w:sz w:val="24"/>
        </w:rPr>
        <w:t>本项目价款支付方式：电汇。</w:t>
      </w:r>
    </w:p>
    <w:p>
      <w:pPr>
        <w:spacing w:line="440" w:lineRule="exact"/>
        <w:ind w:firstLine="480" w:firstLineChars="200"/>
        <w:rPr>
          <w:rFonts w:ascii="微软雅黑" w:hAnsi="微软雅黑" w:eastAsia="微软雅黑" w:cs="华文仿宋"/>
          <w:bCs/>
          <w:color w:val="000000"/>
          <w:sz w:val="24"/>
          <w:szCs w:val="24"/>
        </w:rPr>
      </w:pPr>
      <w:r>
        <w:rPr>
          <w:rFonts w:hint="eastAsia" w:ascii="微软雅黑" w:hAnsi="微软雅黑" w:eastAsia="微软雅黑" w:cs="华文仿宋"/>
          <w:bCs/>
          <w:color w:val="000000"/>
          <w:sz w:val="24"/>
          <w:szCs w:val="24"/>
        </w:rPr>
        <w:t>3.5若遇国家增值税税率调整，应按调整后最新税率的金额调整相应的支付款项，即合同不含税价格不受国家增值税率调整的影响。</w:t>
      </w:r>
    </w:p>
    <w:p>
      <w:pPr>
        <w:adjustRightInd w:val="0"/>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甲方每次付款时，乙方均应先开具并交付相应金额的增值税专用发票，否则甲方有权拒绝付款，并不承担逾期付款的责任。</w:t>
      </w:r>
    </w:p>
    <w:p>
      <w:pPr>
        <w:adjustRightInd w:val="0"/>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rPr>
        <w:t>若遇国家增值税税率调整，应按调整后的最新计付合同价款，即合同不含税价格不受国家增值税率调整的影响。</w:t>
      </w:r>
    </w:p>
    <w:p>
      <w:pPr>
        <w:pStyle w:val="38"/>
        <w:spacing w:line="480" w:lineRule="exact"/>
      </w:pPr>
      <w:r>
        <w:rPr>
          <w:rFonts w:hint="eastAsia" w:ascii="微软雅黑" w:hAnsi="微软雅黑" w:eastAsia="微软雅黑" w:cs="微软雅黑"/>
          <w:color w:val="auto"/>
        </w:rPr>
        <w:t xml:space="preserve">    3.</w:t>
      </w:r>
      <w:r>
        <w:rPr>
          <w:rFonts w:hint="eastAsia" w:ascii="微软雅黑" w:hAnsi="微软雅黑" w:eastAsia="微软雅黑" w:cs="微软雅黑"/>
          <w:color w:val="auto"/>
          <w:lang w:val="en-US" w:eastAsia="zh-CN"/>
        </w:rPr>
        <w:t>8</w:t>
      </w:r>
      <w:r>
        <w:rPr>
          <w:rFonts w:hint="eastAsia" w:ascii="微软雅黑" w:hAnsi="微软雅黑" w:eastAsia="微软雅黑" w:cs="微软雅黑"/>
          <w:color w:val="auto"/>
        </w:rPr>
        <w:t>乙方应承担的违约金、赔偿金，甲方有权在支付乙方的合同价款中直接扣除</w:t>
      </w:r>
    </w:p>
    <w:p>
      <w:pPr>
        <w:numPr>
          <w:ilvl w:val="0"/>
          <w:numId w:val="1"/>
        </w:numPr>
        <w:spacing w:line="440" w:lineRule="exact"/>
        <w:ind w:firstLine="480" w:firstLineChars="200"/>
        <w:rPr>
          <w:rFonts w:ascii="微软雅黑" w:hAnsi="微软雅黑" w:eastAsia="微软雅黑" w:cs="华文仿宋"/>
          <w:b/>
          <w:color w:val="000000"/>
          <w:sz w:val="24"/>
          <w:szCs w:val="24"/>
        </w:rPr>
      </w:pPr>
      <w:r>
        <w:rPr>
          <w:rFonts w:hint="eastAsia" w:ascii="微软雅黑" w:hAnsi="微软雅黑" w:eastAsia="微软雅黑" w:cs="微软雅黑"/>
          <w:b/>
          <w:bCs/>
          <w:sz w:val="24"/>
          <w:szCs w:val="24"/>
        </w:rPr>
        <w:t xml:space="preserve"> </w:t>
      </w:r>
      <w:r>
        <w:rPr>
          <w:rFonts w:hint="eastAsia" w:ascii="微软雅黑" w:hAnsi="微软雅黑" w:eastAsia="微软雅黑" w:cs="华文仿宋"/>
          <w:b/>
          <w:color w:val="000000"/>
          <w:sz w:val="24"/>
          <w:szCs w:val="24"/>
        </w:rPr>
        <w:t>工期要求</w:t>
      </w:r>
    </w:p>
    <w:p>
      <w:pPr>
        <w:spacing w:line="440" w:lineRule="exact"/>
        <w:ind w:firstLine="480" w:firstLineChars="200"/>
        <w:rPr>
          <w:rFonts w:ascii="微软雅黑" w:hAnsi="微软雅黑" w:eastAsia="微软雅黑" w:cs="华文仿宋"/>
          <w:bCs/>
          <w:color w:val="000000"/>
          <w:sz w:val="24"/>
          <w:szCs w:val="24"/>
        </w:rPr>
      </w:pPr>
      <w:r>
        <w:rPr>
          <w:rFonts w:hint="eastAsia" w:ascii="微软雅黑" w:hAnsi="微软雅黑" w:eastAsia="微软雅黑" w:cs="华文仿宋"/>
          <w:bCs/>
          <w:color w:val="000000"/>
          <w:sz w:val="24"/>
          <w:szCs w:val="24"/>
        </w:rPr>
        <w:t>4.</w:t>
      </w:r>
      <w:r>
        <w:rPr>
          <w:rFonts w:hint="eastAsia" w:ascii="微软雅黑" w:hAnsi="微软雅黑" w:eastAsia="微软雅黑" w:cs="华文仿宋"/>
          <w:bCs/>
          <w:color w:val="auto"/>
          <w:sz w:val="24"/>
          <w:szCs w:val="24"/>
        </w:rPr>
        <w:t>1施工</w:t>
      </w:r>
      <w:r>
        <w:rPr>
          <w:rFonts w:hint="eastAsia" w:ascii="微软雅黑" w:hAnsi="微软雅黑" w:eastAsia="微软雅黑" w:cs="微软雅黑"/>
          <w:color w:val="auto"/>
          <w:sz w:val="24"/>
        </w:rPr>
        <w:t>总工期为</w:t>
      </w:r>
      <w:r>
        <w:rPr>
          <w:rFonts w:hint="eastAsia" w:ascii="微软雅黑" w:hAnsi="微软雅黑" w:eastAsia="微软雅黑" w:cs="华文仿宋"/>
          <w:bCs/>
          <w:color w:val="0000FF"/>
          <w:sz w:val="24"/>
          <w:szCs w:val="24"/>
          <w:u w:val="single"/>
          <w:lang w:val="en-US" w:eastAsia="zh-CN"/>
        </w:rPr>
        <w:t xml:space="preserve">    </w:t>
      </w:r>
      <w:r>
        <w:rPr>
          <w:rFonts w:hint="eastAsia" w:ascii="微软雅黑" w:hAnsi="微软雅黑" w:eastAsia="微软雅黑" w:cs="微软雅黑"/>
          <w:color w:val="auto"/>
          <w:sz w:val="24"/>
        </w:rPr>
        <w:t>日历天（从收到施工开工报告之日开始计算），从</w:t>
      </w:r>
      <w:r>
        <w:rPr>
          <w:rFonts w:hint="eastAsia" w:ascii="微软雅黑" w:hAnsi="微软雅黑" w:eastAsia="微软雅黑" w:cs="华文仿宋"/>
          <w:bCs/>
          <w:color w:val="0000FF"/>
          <w:sz w:val="24"/>
          <w:szCs w:val="24"/>
          <w:u w:val="single"/>
        </w:rPr>
        <w:t>202</w:t>
      </w:r>
      <w:r>
        <w:rPr>
          <w:rFonts w:hint="eastAsia" w:ascii="微软雅黑" w:hAnsi="微软雅黑" w:eastAsia="微软雅黑" w:cs="华文仿宋"/>
          <w:bCs/>
          <w:color w:val="0000FF"/>
          <w:sz w:val="24"/>
          <w:szCs w:val="24"/>
          <w:u w:val="single"/>
          <w:lang w:val="en-US" w:eastAsia="zh-CN"/>
        </w:rPr>
        <w:t>4</w:t>
      </w:r>
      <w:r>
        <w:rPr>
          <w:rFonts w:hint="eastAsia" w:ascii="微软雅黑" w:hAnsi="微软雅黑" w:eastAsia="微软雅黑" w:cs="微软雅黑"/>
          <w:color w:val="auto"/>
          <w:sz w:val="24"/>
        </w:rPr>
        <w:t>年</w:t>
      </w:r>
      <w:r>
        <w:rPr>
          <w:rFonts w:hint="eastAsia" w:ascii="微软雅黑" w:hAnsi="微软雅黑" w:eastAsia="微软雅黑" w:cs="华文仿宋"/>
          <w:bCs/>
          <w:color w:val="0000FF"/>
          <w:sz w:val="24"/>
          <w:szCs w:val="24"/>
          <w:u w:val="single"/>
        </w:rPr>
        <w:t xml:space="preserve"> </w:t>
      </w:r>
      <w:r>
        <w:rPr>
          <w:rFonts w:hint="eastAsia" w:ascii="微软雅黑" w:hAnsi="微软雅黑" w:eastAsia="微软雅黑" w:cs="华文仿宋"/>
          <w:bCs/>
          <w:color w:val="0000FF"/>
          <w:sz w:val="24"/>
          <w:szCs w:val="24"/>
          <w:u w:val="single"/>
          <w:lang w:val="en-US" w:eastAsia="zh-CN"/>
        </w:rPr>
        <w:t xml:space="preserve">  </w:t>
      </w:r>
      <w:r>
        <w:rPr>
          <w:rFonts w:hint="eastAsia" w:ascii="微软雅黑" w:hAnsi="微软雅黑" w:eastAsia="微软雅黑" w:cs="微软雅黑"/>
          <w:color w:val="auto"/>
          <w:sz w:val="24"/>
          <w:u w:val="single"/>
        </w:rPr>
        <w:t xml:space="preserve"> </w:t>
      </w:r>
      <w:r>
        <w:rPr>
          <w:rFonts w:hint="eastAsia" w:ascii="微软雅黑" w:hAnsi="微软雅黑" w:eastAsia="微软雅黑" w:cs="微软雅黑"/>
          <w:color w:val="auto"/>
          <w:sz w:val="24"/>
        </w:rPr>
        <w:t>月</w:t>
      </w:r>
      <w:r>
        <w:rPr>
          <w:rFonts w:hint="eastAsia" w:ascii="微软雅黑" w:hAnsi="微软雅黑" w:eastAsia="微软雅黑" w:cs="微软雅黑"/>
          <w:color w:val="auto"/>
          <w:sz w:val="24"/>
          <w:u w:val="single"/>
        </w:rPr>
        <w:t xml:space="preserve"> </w:t>
      </w:r>
      <w:r>
        <w:rPr>
          <w:rFonts w:hint="eastAsia" w:ascii="微软雅黑" w:hAnsi="微软雅黑" w:eastAsia="微软雅黑" w:cs="华文仿宋"/>
          <w:bCs/>
          <w:color w:val="0000FF"/>
          <w:sz w:val="24"/>
          <w:szCs w:val="24"/>
          <w:u w:val="single"/>
          <w:lang w:val="en-US" w:eastAsia="zh-CN"/>
        </w:rPr>
        <w:t xml:space="preserve">  </w:t>
      </w:r>
      <w:r>
        <w:rPr>
          <w:rFonts w:hint="eastAsia" w:ascii="微软雅黑" w:hAnsi="微软雅黑" w:eastAsia="微软雅黑" w:cs="华文仿宋"/>
          <w:bCs/>
          <w:color w:val="0000FF"/>
          <w:sz w:val="24"/>
          <w:szCs w:val="24"/>
          <w:u w:val="single"/>
        </w:rPr>
        <w:t xml:space="preserve"> </w:t>
      </w:r>
      <w:r>
        <w:rPr>
          <w:rFonts w:hint="eastAsia" w:ascii="微软雅黑" w:hAnsi="微软雅黑" w:eastAsia="微软雅黑" w:cs="微软雅黑"/>
          <w:color w:val="auto"/>
          <w:sz w:val="24"/>
        </w:rPr>
        <w:t>日开工至</w:t>
      </w:r>
      <w:r>
        <w:rPr>
          <w:rFonts w:hint="eastAsia" w:ascii="微软雅黑" w:hAnsi="微软雅黑" w:eastAsia="微软雅黑" w:cs="华文仿宋"/>
          <w:bCs/>
          <w:color w:val="0000FF"/>
          <w:sz w:val="24"/>
          <w:szCs w:val="24"/>
          <w:u w:val="single"/>
        </w:rPr>
        <w:t>202</w:t>
      </w:r>
      <w:r>
        <w:rPr>
          <w:rFonts w:hint="eastAsia" w:ascii="微软雅黑" w:hAnsi="微软雅黑" w:eastAsia="微软雅黑" w:cs="华文仿宋"/>
          <w:bCs/>
          <w:color w:val="0000FF"/>
          <w:sz w:val="24"/>
          <w:szCs w:val="24"/>
          <w:u w:val="single"/>
          <w:lang w:val="en-US" w:eastAsia="zh-CN"/>
        </w:rPr>
        <w:t xml:space="preserve"> </w:t>
      </w:r>
      <w:r>
        <w:rPr>
          <w:rFonts w:hint="eastAsia" w:ascii="微软雅黑" w:hAnsi="微软雅黑" w:eastAsia="微软雅黑" w:cs="微软雅黑"/>
          <w:color w:val="auto"/>
          <w:sz w:val="24"/>
          <w:u w:val="single"/>
        </w:rPr>
        <w:t xml:space="preserve"> </w:t>
      </w:r>
      <w:r>
        <w:rPr>
          <w:rFonts w:hint="eastAsia" w:ascii="微软雅黑" w:hAnsi="微软雅黑" w:eastAsia="微软雅黑" w:cs="微软雅黑"/>
          <w:color w:val="auto"/>
          <w:sz w:val="24"/>
        </w:rPr>
        <w:t>年</w:t>
      </w:r>
      <w:r>
        <w:rPr>
          <w:rFonts w:hint="eastAsia" w:ascii="微软雅黑" w:hAnsi="微软雅黑" w:eastAsia="微软雅黑" w:cs="微软雅黑"/>
          <w:color w:val="auto"/>
          <w:sz w:val="24"/>
          <w:u w:val="single"/>
        </w:rPr>
        <w:t xml:space="preserve"> </w:t>
      </w:r>
      <w:r>
        <w:rPr>
          <w:rFonts w:hint="eastAsia" w:ascii="微软雅黑" w:hAnsi="微软雅黑" w:eastAsia="微软雅黑" w:cs="华文仿宋"/>
          <w:bCs/>
          <w:color w:val="0000FF"/>
          <w:sz w:val="24"/>
          <w:szCs w:val="24"/>
          <w:u w:val="single"/>
          <w:lang w:val="en-US" w:eastAsia="zh-CN"/>
        </w:rPr>
        <w:t xml:space="preserve">  </w:t>
      </w:r>
      <w:r>
        <w:rPr>
          <w:rFonts w:hint="eastAsia" w:ascii="微软雅黑" w:hAnsi="微软雅黑" w:eastAsia="微软雅黑" w:cs="微软雅黑"/>
          <w:color w:val="auto"/>
          <w:sz w:val="24"/>
          <w:u w:val="single"/>
        </w:rPr>
        <w:t xml:space="preserve"> </w:t>
      </w:r>
      <w:r>
        <w:rPr>
          <w:rFonts w:hint="eastAsia" w:ascii="微软雅黑" w:hAnsi="微软雅黑" w:eastAsia="微软雅黑" w:cs="微软雅黑"/>
          <w:color w:val="auto"/>
          <w:sz w:val="24"/>
        </w:rPr>
        <w:t>月</w:t>
      </w:r>
      <w:r>
        <w:rPr>
          <w:rFonts w:hint="eastAsia" w:ascii="微软雅黑" w:hAnsi="微软雅黑" w:eastAsia="微软雅黑" w:cs="微软雅黑"/>
          <w:color w:val="auto"/>
          <w:sz w:val="24"/>
          <w:u w:val="single"/>
        </w:rPr>
        <w:t xml:space="preserve"> </w:t>
      </w:r>
      <w:r>
        <w:rPr>
          <w:rFonts w:hint="eastAsia" w:ascii="微软雅黑" w:hAnsi="微软雅黑" w:eastAsia="微软雅黑" w:cs="华文仿宋"/>
          <w:bCs/>
          <w:color w:val="0000FF"/>
          <w:sz w:val="24"/>
          <w:szCs w:val="24"/>
          <w:u w:val="single"/>
          <w:lang w:val="en-US" w:eastAsia="zh-CN"/>
        </w:rPr>
        <w:t xml:space="preserve">  </w:t>
      </w:r>
      <w:r>
        <w:rPr>
          <w:rFonts w:hint="eastAsia" w:ascii="微软雅黑" w:hAnsi="微软雅黑" w:eastAsia="微软雅黑" w:cs="华文仿宋"/>
          <w:bCs/>
          <w:color w:val="0000FF"/>
          <w:sz w:val="24"/>
          <w:szCs w:val="24"/>
          <w:u w:val="single"/>
        </w:rPr>
        <w:t xml:space="preserve"> </w:t>
      </w:r>
      <w:r>
        <w:rPr>
          <w:rFonts w:hint="eastAsia" w:ascii="微软雅黑" w:hAnsi="微软雅黑" w:eastAsia="微软雅黑" w:cs="微软雅黑"/>
          <w:color w:val="auto"/>
          <w:sz w:val="24"/>
        </w:rPr>
        <w:t>日竣工时止，如有变更，则具体以甲方书面开工通知为准</w:t>
      </w:r>
      <w:r>
        <w:rPr>
          <w:rFonts w:hint="eastAsia" w:ascii="微软雅黑" w:hAnsi="微软雅黑" w:eastAsia="微软雅黑" w:cs="微软雅黑"/>
          <w:color w:val="auto"/>
          <w:sz w:val="24"/>
          <w:lang w:eastAsia="zh-CN"/>
        </w:rPr>
        <w:t>（</w:t>
      </w:r>
      <w:r>
        <w:rPr>
          <w:rFonts w:hint="eastAsia" w:ascii="微软雅黑" w:hAnsi="微软雅黑" w:eastAsia="微软雅黑" w:cs="微软雅黑"/>
          <w:color w:val="auto"/>
          <w:sz w:val="24"/>
          <w:lang w:val="en-US" w:eastAsia="zh-CN"/>
        </w:rPr>
        <w:t>详见技术协议</w:t>
      </w:r>
      <w:r>
        <w:rPr>
          <w:rFonts w:hint="eastAsia" w:ascii="微软雅黑" w:hAnsi="微软雅黑" w:eastAsia="微软雅黑" w:cs="微软雅黑"/>
          <w:color w:val="auto"/>
          <w:sz w:val="24"/>
          <w:lang w:eastAsia="zh-CN"/>
        </w:rPr>
        <w:t>）</w:t>
      </w:r>
      <w:r>
        <w:rPr>
          <w:rFonts w:hint="eastAsia" w:ascii="微软雅黑" w:hAnsi="微软雅黑" w:eastAsia="微软雅黑" w:cs="微软雅黑"/>
          <w:color w:val="auto"/>
          <w:sz w:val="24"/>
        </w:rPr>
        <w:t>。</w:t>
      </w:r>
    </w:p>
    <w:p>
      <w:pPr>
        <w:spacing w:line="440" w:lineRule="exact"/>
        <w:ind w:firstLine="480" w:firstLineChars="200"/>
        <w:rPr>
          <w:rFonts w:ascii="微软雅黑" w:hAnsi="微软雅黑" w:eastAsia="微软雅黑" w:cs="微软雅黑"/>
          <w:sz w:val="24"/>
          <w:szCs w:val="24"/>
        </w:rPr>
      </w:pPr>
      <w:r>
        <w:rPr>
          <w:rFonts w:hint="eastAsia" w:ascii="微软雅黑" w:hAnsi="微软雅黑" w:eastAsia="微软雅黑" w:cs="华文仿宋"/>
          <w:bCs/>
          <w:color w:val="000000"/>
          <w:sz w:val="24"/>
          <w:szCs w:val="24"/>
        </w:rPr>
        <w:t>4.2在合同工期内乙方应完成本工程的全部项目施工并达到约定的质量要求。</w:t>
      </w:r>
      <w:r>
        <w:rPr>
          <w:rFonts w:hint="eastAsia" w:cs="Arial" w:asciiTheme="minorEastAsia" w:hAnsiTheme="minorEastAsia" w:eastAsiaTheme="minorEastAsia"/>
          <w:sz w:val="24"/>
          <w:szCs w:val="24"/>
        </w:rPr>
        <w:t xml:space="preserve">  </w:t>
      </w:r>
    </w:p>
    <w:p>
      <w:pPr>
        <w:adjustRightInd w:val="0"/>
        <w:snapToGrid w:val="0"/>
        <w:spacing w:line="480" w:lineRule="exact"/>
        <w:ind w:firstLine="480" w:firstLineChars="200"/>
        <w:rPr>
          <w:rFonts w:ascii="微软雅黑" w:hAnsi="微软雅黑" w:eastAsia="微软雅黑" w:cs="微软雅黑"/>
          <w:b/>
          <w:bCs/>
          <w:sz w:val="24"/>
          <w:szCs w:val="24"/>
        </w:rPr>
      </w:pPr>
      <w:r>
        <w:rPr>
          <w:rFonts w:hint="eastAsia" w:ascii="微软雅黑" w:hAnsi="微软雅黑" w:eastAsia="微软雅黑" w:cs="微软雅黑"/>
          <w:b/>
          <w:bCs/>
          <w:sz w:val="24"/>
          <w:szCs w:val="24"/>
        </w:rPr>
        <w:t>第五条  产品的包装、装卸、运输方式及费用负担</w:t>
      </w:r>
    </w:p>
    <w:p>
      <w:pPr>
        <w:pStyle w:val="38"/>
        <w:spacing w:line="480" w:lineRule="exact"/>
        <w:ind w:firstLine="480" w:firstLineChars="200"/>
        <w:rPr>
          <w:rFonts w:ascii="微软雅黑" w:hAnsi="微软雅黑" w:eastAsia="微软雅黑" w:cs="微软雅黑"/>
          <w:color w:val="auto"/>
        </w:rPr>
      </w:pPr>
      <w:r>
        <w:rPr>
          <w:rFonts w:hint="eastAsia" w:ascii="微软雅黑" w:hAnsi="微软雅黑" w:eastAsia="微软雅黑" w:cs="微软雅黑"/>
          <w:color w:val="auto"/>
        </w:rPr>
        <w:t>5.1 乙方应按照国家和行业标准规定的方式对本合同项下</w:t>
      </w:r>
      <w:r>
        <w:rPr>
          <w:rFonts w:hint="eastAsia" w:ascii="微软雅黑" w:hAnsi="微软雅黑" w:eastAsia="微软雅黑" w:cs="微软雅黑"/>
          <w:color w:val="auto"/>
          <w:spacing w:val="-2"/>
        </w:rPr>
        <w:t>更换修复</w:t>
      </w:r>
      <w:r>
        <w:rPr>
          <w:rFonts w:hint="eastAsia" w:ascii="微软雅黑" w:hAnsi="微软雅黑" w:eastAsia="微软雅黑" w:cs="微软雅黑"/>
          <w:color w:val="auto"/>
        </w:rPr>
        <w:t>所需备件/耗材包装、装卸、运输并承担包装、装卸、运输费用和保险费用；验收合格前的一切风险和费用由乙方承担。如无相应的国家和行业标准，则由乙方自行决定包装方式，但应满足产品运输、装卸、储存需要和安全正常使用，包装物不回收。</w:t>
      </w:r>
    </w:p>
    <w:p>
      <w:pPr>
        <w:adjustRightInd w:val="0"/>
        <w:snapToGrid w:val="0"/>
        <w:spacing w:line="480" w:lineRule="exact"/>
        <w:ind w:firstLine="480" w:firstLineChars="200"/>
        <w:rPr>
          <w:rFonts w:ascii="微软雅黑" w:hAnsi="微软雅黑" w:eastAsia="微软雅黑" w:cs="微软雅黑"/>
          <w:b/>
          <w:bCs/>
          <w:sz w:val="24"/>
          <w:szCs w:val="24"/>
        </w:rPr>
      </w:pPr>
      <w:r>
        <w:rPr>
          <w:rFonts w:hint="eastAsia" w:ascii="微软雅黑" w:hAnsi="微软雅黑" w:eastAsia="微软雅黑" w:cs="微软雅黑"/>
          <w:b/>
          <w:bCs/>
          <w:sz w:val="24"/>
          <w:szCs w:val="24"/>
        </w:rPr>
        <w:t>第六条  现场作业</w:t>
      </w:r>
    </w:p>
    <w:p>
      <w:pPr>
        <w:adjustRightInd w:val="0"/>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6.1乙方在甲方现场作业期间，甲方协助提供施工中必需的水、电、气等，费用由乙方承担。</w:t>
      </w:r>
    </w:p>
    <w:p>
      <w:pPr>
        <w:adjustRightInd w:val="0"/>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6.2 乙方在甲方现场作业期间，应遵守甲方工厂内的各种规章制度、安全操作规程，应遵守国家的法律法规，做到安全施工，在甲方现场期间因乙方原因导致的事故责任由乙方承担</w:t>
      </w:r>
    </w:p>
    <w:p>
      <w:pPr>
        <w:adjustRightInd w:val="0"/>
        <w:snapToGrid w:val="0"/>
        <w:spacing w:line="480" w:lineRule="exact"/>
        <w:ind w:firstLine="480" w:firstLineChars="200"/>
        <w:rPr>
          <w:rFonts w:ascii="微软雅黑" w:hAnsi="微软雅黑" w:eastAsia="微软雅黑" w:cs="微软雅黑"/>
          <w:b/>
          <w:bCs/>
          <w:sz w:val="24"/>
          <w:szCs w:val="24"/>
        </w:rPr>
      </w:pPr>
      <w:r>
        <w:rPr>
          <w:rFonts w:hint="eastAsia" w:ascii="微软雅黑" w:hAnsi="微软雅黑" w:eastAsia="微软雅黑" w:cs="微软雅黑"/>
          <w:b/>
          <w:bCs/>
          <w:sz w:val="24"/>
          <w:szCs w:val="24"/>
        </w:rPr>
        <w:t>第七条 维修改造验收</w:t>
      </w:r>
    </w:p>
    <w:p>
      <w:pPr>
        <w:adjustRightInd w:val="0"/>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7.1验收标准</w:t>
      </w:r>
    </w:p>
    <w:p>
      <w:pPr>
        <w:adjustRightInd w:val="0"/>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 xml:space="preserve">验收标准按本合同第二条的约定执行。 </w:t>
      </w:r>
    </w:p>
    <w:p>
      <w:pPr>
        <w:adjustRightInd w:val="0"/>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7.2 验收人员</w:t>
      </w:r>
    </w:p>
    <w:p>
      <w:pPr>
        <w:adjustRightInd w:val="0"/>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7.2.1乙方参加终验收的人员应携带加盖公司公章的授权委托书并附本人的身份证复印件，保证参与验收的人员已经获得授权。</w:t>
      </w:r>
    </w:p>
    <w:p>
      <w:pPr>
        <w:adjustRightInd w:val="0"/>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7.3.2 验收不合格</w:t>
      </w:r>
    </w:p>
    <w:p>
      <w:pPr>
        <w:adjustRightInd w:val="0"/>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（1）对于验收不合格的，双方应签署整改报告，在整改报告中应列明存在的问题及完成整改的期限；整改结束后，双方另行组织验收。</w:t>
      </w:r>
    </w:p>
    <w:p>
      <w:pPr>
        <w:adjustRightInd w:val="0"/>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对于经过整改仍无法达到合格标准的，甲方同意接收的，乙方应通过减少价款或者给予其他优惠措施的方式弥补甲方的损失；甲方不同意接收的，甲方有权根据具体情况并综合乙方的技术实力，选择解除合同或者要求乙方予以重做。因整改造成项目进度延期的，乙方应按照合同第9.1条的约定承担违约责任。</w:t>
      </w:r>
    </w:p>
    <w:p>
      <w:pPr>
        <w:adjustRightInd w:val="0"/>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（3）终验收合格前，乙方同意甲方可适当使用该工装；但甲方对该工装的使用不能被视为本合同项下工装维护终验收合格</w:t>
      </w:r>
    </w:p>
    <w:p>
      <w:pPr>
        <w:adjustRightInd w:val="0"/>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7.4 异议处理</w:t>
      </w:r>
    </w:p>
    <w:p>
      <w:pPr>
        <w:adjustRightInd w:val="0"/>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双方对更换修复的质量发生争议时，同意聘请甲方所在地的质量检验（鉴定）部门进行检验，相关费用由提出检验（鉴定）方先行垫付，事后根据检验（鉴定）结果确定由过错方承担。</w:t>
      </w:r>
    </w:p>
    <w:p>
      <w:pPr>
        <w:adjustRightInd w:val="0"/>
        <w:snapToGrid w:val="0"/>
        <w:spacing w:line="480" w:lineRule="exact"/>
        <w:ind w:firstLine="480" w:firstLineChars="200"/>
        <w:rPr>
          <w:rFonts w:ascii="微软雅黑" w:hAnsi="微软雅黑" w:eastAsia="微软雅黑" w:cs="微软雅黑"/>
          <w:b/>
          <w:bCs/>
          <w:sz w:val="24"/>
          <w:szCs w:val="24"/>
        </w:rPr>
      </w:pPr>
      <w:r>
        <w:rPr>
          <w:rFonts w:hint="eastAsia" w:ascii="微软雅黑" w:hAnsi="微软雅黑" w:eastAsia="微软雅黑" w:cs="微软雅黑"/>
          <w:b/>
          <w:bCs/>
          <w:sz w:val="24"/>
          <w:szCs w:val="24"/>
        </w:rPr>
        <w:t>第八条 售后服务</w:t>
      </w:r>
    </w:p>
    <w:p>
      <w:pPr>
        <w:adjustRightInd w:val="0"/>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8.1 质量保证期</w:t>
      </w:r>
    </w:p>
    <w:p>
      <w:pPr>
        <w:adjustRightInd w:val="0"/>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8.1.1更换修复后的质量保证期（简称“质保期”）12个月，自验收完成之日起开始计算。</w:t>
      </w:r>
    </w:p>
    <w:p>
      <w:pPr>
        <w:adjustRightInd w:val="0"/>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8.1.2 质保期内，出现质量问题的，乙方在接到甲方电话、传真或者电子邮件通知后4小时内应有回复；应甲方要求，乙方承诺其委派的技术人员应在48小时内到达甲方工厂并提供更换修复服务，期间费用由乙方自行承担。</w:t>
      </w:r>
    </w:p>
    <w:p>
      <w:pPr>
        <w:adjustRightInd w:val="0"/>
        <w:snapToGrid w:val="0"/>
        <w:spacing w:line="480" w:lineRule="exact"/>
        <w:ind w:firstLine="480" w:firstLineChars="200"/>
        <w:rPr>
          <w:rFonts w:ascii="微软雅黑" w:hAnsi="微软雅黑" w:eastAsia="微软雅黑" w:cs="微软雅黑"/>
          <w:b/>
          <w:bCs/>
          <w:sz w:val="24"/>
          <w:szCs w:val="24"/>
        </w:rPr>
      </w:pPr>
      <w:r>
        <w:rPr>
          <w:rFonts w:hint="eastAsia" w:ascii="微软雅黑" w:hAnsi="微软雅黑" w:eastAsia="微软雅黑" w:cs="微软雅黑"/>
          <w:b/>
          <w:bCs/>
          <w:sz w:val="24"/>
          <w:szCs w:val="24"/>
        </w:rPr>
        <w:t>第九条 违约责任</w:t>
      </w:r>
    </w:p>
    <w:p>
      <w:pPr>
        <w:adjustRightInd w:val="0"/>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9.1乙方应按照本合同及附件约定的时间节点履行合同义务，乙方逾期履行合同义务的（包括但不限于因更换修复的返修、整改造成的逾期），每逾期1天，应按照合同总金额的5‰向甲方支付违约金，按日累进计算。若逾期</w:t>
      </w:r>
      <w:r>
        <w:rPr>
          <w:rFonts w:hint="eastAsia" w:ascii="微软雅黑" w:hAnsi="微软雅黑" w:eastAsia="微软雅黑" w:cs="微软雅黑"/>
          <w:color w:val="auto"/>
          <w:sz w:val="24"/>
          <w:szCs w:val="24"/>
        </w:rPr>
        <w:t>超过</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u w:val="single"/>
          <w:lang w:val="en-US" w:eastAsia="zh-CN"/>
        </w:rPr>
        <w:t>3</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天的，甲</w:t>
      </w:r>
      <w:r>
        <w:rPr>
          <w:rFonts w:hint="eastAsia" w:ascii="微软雅黑" w:hAnsi="微软雅黑" w:eastAsia="微软雅黑" w:cs="微软雅黑"/>
          <w:sz w:val="24"/>
          <w:szCs w:val="24"/>
        </w:rPr>
        <w:t>方有权解除合同，乙方应退还甲方已支付的合同价款，并按合同总金额的30%向甲方承担违约责任。因乙方任一项目进度逾期导致甲方被第三人追责的，甲方有权向乙方追偿。</w:t>
      </w:r>
    </w:p>
    <w:p>
      <w:pPr>
        <w:adjustRightInd w:val="0"/>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9.2合同签订后，除甲方书面同意外，乙方单方面中止履行合同或任何形式的转包、分包行为，均视为违约，甲方有权解除合同，乙方应退还甲方已支付的合同价款，并按合同总金额的30%向甲方承担违约责任。</w:t>
      </w:r>
    </w:p>
    <w:p>
      <w:pPr>
        <w:adjustRightInd w:val="0"/>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9.3乙方提供的更换修复服务不应毁损、影响甲方设备及设施的正常使用。对验收时未发现的质量问题，甲方享有在质保期内向乙方提出质量异议的权利，对存在质量问题或毁损、影响设备及设施正常使用的，乙方应予以免费维护保养，直至设备及设施满足本合同要求；如乙方不履行上述义务的，甲方有权解除合同并不支付质保金，并且乙方应按合同总金额的30%向甲方承担违约责任。</w:t>
      </w:r>
    </w:p>
    <w:p>
      <w:pPr>
        <w:adjustRightInd w:val="0"/>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9.4乙方未按本合同第8条约定提供售后服务的，应向甲方支付 10000 元/天的违约金。甲方选择自行或者委托他人提供维修改造服务的，所产生的费用及由此给甲方造成的损失均由乙方承担。</w:t>
      </w:r>
    </w:p>
    <w:p>
      <w:pPr>
        <w:adjustRightInd w:val="0"/>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9.5其他因乙方原因导致合同解除的，甲方有权要求乙方支付合同总金额30%的违约金。</w:t>
      </w:r>
    </w:p>
    <w:p>
      <w:pPr>
        <w:adjustRightInd w:val="0"/>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9.6上述违约金，甲方有权直接从应付乙方的合同款项和履约保证金（如有）中扣除；不足弥补甲方损失的，甲方均有权追偿。</w:t>
      </w:r>
    </w:p>
    <w:p>
      <w:pPr>
        <w:adjustRightInd w:val="0"/>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9.7甲方应严格按照合同约定的付款条件向乙方支付合同款项，甲方逾期付款的，应按中国人民银行同期贷款基准利率标准向乙方支付违约金。</w:t>
      </w:r>
    </w:p>
    <w:p>
      <w:pPr>
        <w:adjustRightInd w:val="0"/>
        <w:snapToGrid w:val="0"/>
        <w:spacing w:line="480" w:lineRule="exact"/>
        <w:ind w:firstLine="480" w:firstLineChars="200"/>
        <w:rPr>
          <w:rFonts w:ascii="微软雅黑" w:hAnsi="微软雅黑" w:eastAsia="微软雅黑" w:cs="微软雅黑"/>
          <w:b/>
          <w:bCs/>
          <w:sz w:val="24"/>
          <w:szCs w:val="24"/>
        </w:rPr>
      </w:pPr>
      <w:r>
        <w:rPr>
          <w:rFonts w:hint="eastAsia" w:ascii="微软雅黑" w:hAnsi="微软雅黑" w:eastAsia="微软雅黑" w:cs="微软雅黑"/>
          <w:b/>
          <w:bCs/>
          <w:sz w:val="24"/>
          <w:szCs w:val="24"/>
        </w:rPr>
        <w:t>第十条 知识产权约定</w:t>
      </w:r>
    </w:p>
    <w:p>
      <w:pPr>
        <w:pStyle w:val="38"/>
        <w:spacing w:line="480" w:lineRule="exact"/>
        <w:ind w:firstLine="480" w:firstLineChars="200"/>
        <w:rPr>
          <w:rFonts w:ascii="微软雅黑" w:hAnsi="微软雅黑" w:eastAsia="微软雅黑" w:cs="微软雅黑"/>
          <w:color w:val="auto"/>
        </w:rPr>
      </w:pPr>
      <w:r>
        <w:rPr>
          <w:rFonts w:hint="eastAsia" w:ascii="微软雅黑" w:hAnsi="微软雅黑" w:eastAsia="微软雅黑" w:cs="微软雅黑"/>
          <w:color w:val="auto"/>
        </w:rPr>
        <w:t>乙方保证其提供的更换修复服务及所使用的配件不侵犯第三方的知识产权。若因乙方提供的服务或配件嫌侵犯第三方知识产权导致甲方被提起诉讼的，由乙方应诉并承担全部责任；若因此导致乙方交付给甲方的产品被查封、扣押或者被采取其它行政、司法措施，导致甲方无法按照计划安装和使用产品的，或者被作为被告、第三人参加诉讼的，乙方应支付不超过已发生维保费用总和的违约金并赔偿包括但不限于甲方因应诉而支付的律师费、公证费、差旅费等因参与案件而发生的所有费用；并且乙方需协助甲方在指定期限内采取必要措施，包括但不限于获得知识产权权利人的许可，或提供能够满足本合同目的的替换方案/产品，使甲方维保设备的正常使用不受影响。</w:t>
      </w:r>
    </w:p>
    <w:p>
      <w:pPr>
        <w:adjustRightInd w:val="0"/>
        <w:snapToGrid w:val="0"/>
        <w:spacing w:line="480" w:lineRule="exact"/>
        <w:ind w:firstLine="480" w:firstLineChars="200"/>
        <w:rPr>
          <w:rFonts w:ascii="微软雅黑" w:hAnsi="微软雅黑" w:eastAsia="微软雅黑" w:cs="微软雅黑"/>
          <w:b/>
          <w:bCs/>
          <w:sz w:val="24"/>
          <w:szCs w:val="24"/>
        </w:rPr>
      </w:pPr>
      <w:r>
        <w:rPr>
          <w:rFonts w:hint="eastAsia" w:ascii="微软雅黑" w:hAnsi="微软雅黑" w:eastAsia="微软雅黑" w:cs="微软雅黑"/>
          <w:b/>
          <w:bCs/>
          <w:sz w:val="24"/>
          <w:szCs w:val="24"/>
        </w:rPr>
        <w:t>第十一条  保密条款</w:t>
      </w:r>
    </w:p>
    <w:p>
      <w:pPr>
        <w:adjustRightInd w:val="0"/>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11.1 乙方应对甲方的技术信息、商业信息和文件资料履行保守秘密的义务，在没有甲方书面同意的情况下，不得泄露给第三方。</w:t>
      </w:r>
    </w:p>
    <w:p>
      <w:pPr>
        <w:adjustRightInd w:val="0"/>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11.2 乙方务必在合同执行完毕后将甲方提供的数据等资料进行销毁处理。</w:t>
      </w:r>
    </w:p>
    <w:p>
      <w:pPr>
        <w:adjustRightInd w:val="0"/>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11.3 乙方应当以书面形式要求乙方员工或供应商承担相应的保密义务，并经常检查其履行保密义务的情况。</w:t>
      </w:r>
    </w:p>
    <w:p>
      <w:pPr>
        <w:adjustRightInd w:val="0"/>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11.4 本协议项下的乙方保密义务，延续至该保密信息进入公众领域并可被大众任意获取为止。</w:t>
      </w:r>
    </w:p>
    <w:p>
      <w:pPr>
        <w:adjustRightInd w:val="0"/>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11.5 乙方如违反前述条款规定的保密义务，甲方有权要求乙方支付相当于本合同总金额30%的违约金。该违约金不足以弥补甲方经济损失时，甲方有权继续追究乙方责任。</w:t>
      </w:r>
    </w:p>
    <w:p>
      <w:pPr>
        <w:adjustRightInd w:val="0"/>
        <w:snapToGrid w:val="0"/>
        <w:spacing w:line="480" w:lineRule="exact"/>
        <w:ind w:firstLine="480" w:firstLineChars="200"/>
        <w:rPr>
          <w:rFonts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第十二条 诚信自律特别协议</w:t>
      </w:r>
    </w:p>
    <w:p>
      <w:pPr>
        <w:spacing w:before="120" w:beforeLines="50" w:after="120" w:afterLines="50" w:line="44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kern w:val="24"/>
          <w:sz w:val="24"/>
          <w:szCs w:val="24"/>
        </w:rPr>
        <w:t>甲乙双方承诺在业务往来期间严格遵守诚信自律协议约定，具体详见附件3《诚信自律特别协议》。</w:t>
      </w:r>
    </w:p>
    <w:p>
      <w:pPr>
        <w:adjustRightInd w:val="0"/>
        <w:snapToGrid w:val="0"/>
        <w:spacing w:line="480" w:lineRule="exact"/>
        <w:ind w:firstLine="480" w:firstLineChars="200"/>
        <w:rPr>
          <w:rFonts w:ascii="微软雅黑" w:hAnsi="微软雅黑" w:eastAsia="微软雅黑" w:cs="微软雅黑"/>
          <w:b/>
          <w:bCs/>
          <w:sz w:val="24"/>
          <w:szCs w:val="24"/>
        </w:rPr>
      </w:pPr>
      <w:r>
        <w:rPr>
          <w:rFonts w:hint="eastAsia" w:ascii="微软雅黑" w:hAnsi="微软雅黑" w:eastAsia="微软雅黑" w:cs="微软雅黑"/>
          <w:b/>
          <w:bCs/>
          <w:sz w:val="24"/>
          <w:szCs w:val="24"/>
        </w:rPr>
        <w:t>第十三条  争议解决</w:t>
      </w:r>
    </w:p>
    <w:p>
      <w:pPr>
        <w:adjustRightInd w:val="0"/>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因执行本合同所发生的或与本合同条款有关的争议，双方当事人应通过协商解决；协商不成，双方同意由甲方所在地有管辖的人民法院诉讼解决。</w:t>
      </w:r>
    </w:p>
    <w:p>
      <w:pPr>
        <w:adjustRightInd w:val="0"/>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b/>
          <w:bCs/>
          <w:sz w:val="24"/>
          <w:szCs w:val="24"/>
        </w:rPr>
        <w:t>第十四条  附则</w:t>
      </w:r>
      <w:r>
        <w:rPr>
          <w:rFonts w:hint="eastAsia" w:ascii="微软雅黑" w:hAnsi="微软雅黑" w:eastAsia="微软雅黑" w:cs="微软雅黑"/>
          <w:sz w:val="24"/>
          <w:szCs w:val="24"/>
        </w:rPr>
        <w:tab/>
      </w:r>
    </w:p>
    <w:p>
      <w:pPr>
        <w:adjustRightInd w:val="0"/>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14.1 双方签订的技术协议、本项目的招标文件、投标文件以及招标澄清文件、投标承诺文件等均为合同的附件，与本合同有冲突时，以本合同为准。</w:t>
      </w:r>
      <w:r>
        <w:rPr>
          <w:rFonts w:hint="eastAsia" w:ascii="微软雅黑" w:hAnsi="微软雅黑" w:eastAsia="微软雅黑" w:cs="Arial"/>
          <w:sz w:val="24"/>
          <w:szCs w:val="24"/>
        </w:rPr>
        <w:t>签署了合同就意味着同意合同及其附件的全部内容。</w:t>
      </w:r>
      <w:r>
        <w:rPr>
          <w:rFonts w:ascii="宋体" w:hAnsi="宋体"/>
          <w:sz w:val="24"/>
        </w:rPr>
        <w:t xml:space="preserve">  </w:t>
      </w:r>
    </w:p>
    <w:p>
      <w:pPr>
        <w:adjustRightInd w:val="0"/>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14.2对本合同条款的任何变更、修改或增减，需经双方协商同意后由授权代表签署书面文件并盖章，作为本合同条款的组成部分并具有同等法律效力。</w:t>
      </w:r>
    </w:p>
    <w:p>
      <w:pPr>
        <w:adjustRightInd w:val="0"/>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14.3其它本合同未尽事宜，由双方协商签订补充协议，补充协议经双方签字盖章后与本合同具有同等的法律效力</w:t>
      </w:r>
      <w:r>
        <w:rPr>
          <w:rFonts w:hint="eastAsia" w:cs="Arial" w:asciiTheme="minorEastAsia" w:hAnsiTheme="minorEastAsia" w:eastAsiaTheme="minorEastAsia"/>
          <w:sz w:val="24"/>
          <w:szCs w:val="24"/>
        </w:rPr>
        <w:t>。</w:t>
      </w:r>
    </w:p>
    <w:p>
      <w:pPr>
        <w:adjustRightInd w:val="0"/>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14.4 甲方履行本合同需以当面交付、邮寄、电子邮件将相关声明、资料、文件通知乙方，乙方同意以以下方式进行：</w:t>
      </w:r>
    </w:p>
    <w:p>
      <w:pPr>
        <w:adjustRightInd/>
        <w:snapToGrid/>
        <w:spacing w:before="156" w:beforeLines="50" w:after="156" w:afterLines="50" w:line="440" w:lineRule="exact"/>
        <w:ind w:left="480" w:leftChars="150"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（1） 甲方以当面交付方式通知乙方的，乙方联系人为：</w:t>
      </w:r>
      <w:r>
        <w:rPr>
          <w:rFonts w:hint="eastAsia" w:ascii="微软雅黑" w:hAnsi="微软雅黑" w:eastAsia="微软雅黑" w:cs="微软雅黑"/>
          <w:sz w:val="24"/>
          <w:szCs w:val="24"/>
          <w:u w:val="none"/>
          <w:lang w:val="en-US" w:eastAsia="zh-CN"/>
        </w:rPr>
        <w:t>许涛13617803363</w:t>
      </w:r>
      <w:r>
        <w:rPr>
          <w:rFonts w:hint="eastAsia" w:ascii="微软雅黑" w:hAnsi="微软雅黑" w:eastAsia="微软雅黑" w:cs="微软雅黑"/>
          <w:sz w:val="24"/>
          <w:szCs w:val="24"/>
        </w:rPr>
        <w:t xml:space="preserve"> ，自乙方联系人签字确认之时视为乙方已获悉该通知内容。</w:t>
      </w:r>
    </w:p>
    <w:p>
      <w:pPr>
        <w:adjustRightInd/>
        <w:snapToGrid/>
        <w:spacing w:before="156" w:beforeLines="50" w:after="156" w:afterLines="50" w:line="440" w:lineRule="exact"/>
        <w:ind w:left="480" w:leftChars="150" w:firstLine="0" w:firstLineChars="0"/>
        <w:rPr>
          <w:rFonts w:ascii="微软雅黑" w:hAnsi="微软雅黑" w:eastAsia="微软雅黑" w:cs="微软雅黑"/>
          <w:sz w:val="24"/>
          <w:szCs w:val="24"/>
        </w:rPr>
      </w:pPr>
      <w:r>
        <w:rPr>
          <w:rFonts w:hint="eastAsia" w:ascii="微软雅黑" w:hAnsi="微软雅黑" w:eastAsia="微软雅黑" w:cs="微软雅黑"/>
          <w:sz w:val="24"/>
          <w:szCs w:val="24"/>
        </w:rPr>
        <w:t>（2） 甲方以邮寄方式通知乙方的，乙方邮寄地址为：</w:t>
      </w:r>
      <w:r>
        <w:rPr>
          <w:rFonts w:hint="eastAsia" w:ascii="微软雅黑" w:hAnsi="微软雅黑" w:eastAsia="微软雅黑" w:cs="微软雅黑"/>
          <w:b w:val="0"/>
          <w:bCs w:val="0"/>
          <w:sz w:val="24"/>
          <w:szCs w:val="24"/>
          <w:u w:val="none"/>
          <w:lang w:eastAsia="zh-CN"/>
        </w:rPr>
        <w:t>南宁市金阳路38号汇东凯旋城5号楼2705号</w:t>
      </w:r>
      <w:r>
        <w:rPr>
          <w:rFonts w:hint="eastAsia" w:ascii="微软雅黑" w:hAnsi="微软雅黑" w:eastAsia="微软雅黑" w:cs="微软雅黑"/>
          <w:sz w:val="24"/>
          <w:szCs w:val="24"/>
        </w:rPr>
        <w:t>，自甲方按本条约定地址快递寄出后5日视为乙方已获悉该通知内容。</w:t>
      </w:r>
    </w:p>
    <w:p>
      <w:pPr>
        <w:adjustRightInd w:val="0"/>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 甲方以电子邮件方式通知乙方的，乙方电子邮箱地址为：lhdl82566@163.com  ，自甲方按本条约定邮箱发出邮件之时视为乙方已获悉该通知内容。</w:t>
      </w:r>
    </w:p>
    <w:p>
      <w:pPr>
        <w:adjustRightInd w:val="0"/>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 甲方有权选择以上任意一种方式，乙方在接到甲方通知后应在 7日内做出书面答复；乙方未按本条约定进行答复的，视为承认并接受该通知内容，并承担由此产生的责任。</w:t>
      </w:r>
    </w:p>
    <w:p>
      <w:pPr>
        <w:adjustRightInd w:val="0"/>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（5） 乙方联系人、邮寄地址、电子邮箱地址发生变更的，应在三日内依本合同约定方式通知甲方，并在7日内以加盖法人公章的纸质文件方式通知甲方；若乙方未履行上述义务，应承担由此产生的责任。</w:t>
      </w:r>
    </w:p>
    <w:p>
      <w:pPr>
        <w:adjustRightInd w:val="0"/>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14.5 双方单位负责人的变动或机构的调整均不影响本合同的执行和法律效力。</w:t>
      </w:r>
    </w:p>
    <w:p>
      <w:pPr>
        <w:adjustRightInd w:val="0"/>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14.6 本合同一式叁份，甲方执贰份，乙方执壹份。</w:t>
      </w:r>
      <w:r>
        <w:rPr>
          <w:rFonts w:hint="eastAsia" w:ascii="微软雅黑" w:hAnsi="微软雅黑" w:eastAsia="微软雅黑" w:cs="Arial"/>
          <w:sz w:val="24"/>
          <w:szCs w:val="24"/>
        </w:rPr>
        <w:t>本合同自双方法定代表人或授权委托人签字并加盖公章或合同专用章后生效。</w:t>
      </w:r>
      <w:r>
        <w:rPr>
          <w:rFonts w:hint="eastAsia" w:ascii="微软雅黑" w:hAnsi="微软雅黑" w:eastAsia="微软雅黑" w:cs="微软雅黑"/>
          <w:sz w:val="24"/>
          <w:szCs w:val="24"/>
        </w:rPr>
        <w:t xml:space="preserve"> </w:t>
      </w:r>
    </w:p>
    <w:p>
      <w:pPr>
        <w:adjustRightInd/>
        <w:snapToGrid/>
        <w:spacing w:before="120" w:beforeLines="50" w:after="120" w:afterLines="50" w:line="480" w:lineRule="exact"/>
        <w:ind w:firstLine="960" w:firstLineChars="400"/>
        <w:rPr>
          <w:rFonts w:ascii="微软雅黑" w:hAnsi="微软雅黑" w:eastAsia="微软雅黑" w:cs="微软雅黑"/>
          <w:sz w:val="24"/>
          <w:szCs w:val="24"/>
        </w:rPr>
      </w:pPr>
      <w:r>
        <w:rPr>
          <w:rFonts w:hint="eastAsia" w:ascii="微软雅黑" w:hAnsi="微软雅黑" w:eastAsia="微软雅黑" w:cs="微软雅黑"/>
          <w:sz w:val="24"/>
          <w:szCs w:val="24"/>
        </w:rPr>
        <w:t>附件：</w:t>
      </w:r>
      <w:r>
        <w:rPr>
          <w:rFonts w:hint="eastAsia" w:ascii="微软雅黑" w:hAnsi="微软雅黑" w:eastAsia="微软雅黑" w:cs="微软雅黑"/>
          <w:kern w:val="24"/>
          <w:sz w:val="24"/>
          <w:szCs w:val="24"/>
          <w:lang w:val="en-US" w:eastAsia="zh-CN"/>
        </w:rPr>
        <w:t>1</w:t>
      </w:r>
      <w:r>
        <w:rPr>
          <w:rFonts w:hint="eastAsia" w:ascii="微软雅黑" w:hAnsi="微软雅黑" w:eastAsia="微软雅黑" w:cs="微软雅黑"/>
          <w:kern w:val="24"/>
          <w:sz w:val="24"/>
          <w:szCs w:val="24"/>
        </w:rPr>
        <w:t>.《诚信自律特别协议》</w:t>
      </w:r>
      <w:r>
        <w:rPr>
          <w:rFonts w:hint="eastAsia" w:ascii="微软雅黑" w:hAnsi="微软雅黑" w:eastAsia="微软雅黑" w:cs="微软雅黑"/>
          <w:sz w:val="24"/>
          <w:szCs w:val="24"/>
        </w:rPr>
        <w:t xml:space="preserve">    </w:t>
      </w:r>
    </w:p>
    <w:p>
      <w:pPr>
        <w:spacing w:before="120" w:beforeLines="50" w:after="120" w:afterLines="50" w:line="480" w:lineRule="exact"/>
        <w:ind w:firstLine="1680" w:firstLineChars="700"/>
        <w:jc w:val="left"/>
        <w:rPr>
          <w:rFonts w:ascii="宋体" w:hAnsi="宋体" w:eastAsia="宋体" w:cs="宋体"/>
          <w:sz w:val="24"/>
        </w:rPr>
      </w:pPr>
      <w:r>
        <w:rPr>
          <w:rFonts w:hint="eastAsia" w:ascii="微软雅黑" w:hAnsi="微软雅黑" w:eastAsia="微软雅黑" w:cs="微软雅黑"/>
          <w:kern w:val="24"/>
          <w:sz w:val="24"/>
          <w:szCs w:val="24"/>
          <w:lang w:val="en-US" w:eastAsia="zh-CN"/>
        </w:rPr>
        <w:t>2</w:t>
      </w:r>
      <w:r>
        <w:rPr>
          <w:rFonts w:hint="eastAsia" w:ascii="微软雅黑" w:hAnsi="微软雅黑" w:eastAsia="微软雅黑" w:cs="微软雅黑"/>
          <w:kern w:val="24"/>
          <w:sz w:val="24"/>
          <w:szCs w:val="24"/>
        </w:rPr>
        <w:t>.《施工安全环保管理协议</w:t>
      </w:r>
      <w:r>
        <w:rPr>
          <w:rFonts w:hint="eastAsia" w:ascii="宋体" w:hAnsi="宋体" w:eastAsia="宋体" w:cs="宋体"/>
          <w:sz w:val="24"/>
        </w:rPr>
        <w:t>》</w:t>
      </w:r>
    </w:p>
    <w:p>
      <w:pPr>
        <w:adjustRightInd w:val="0"/>
        <w:snapToGrid w:val="0"/>
        <w:spacing w:line="4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 xml:space="preserve">      3</w:t>
      </w:r>
      <w:r>
        <w:rPr>
          <w:rFonts w:hint="eastAsia" w:ascii="微软雅黑" w:hAnsi="微软雅黑" w:eastAsia="微软雅黑" w:cs="微软雅黑"/>
          <w:sz w:val="24"/>
          <w:szCs w:val="24"/>
        </w:rPr>
        <w:t>.《技术协议》</w:t>
      </w:r>
    </w:p>
    <w:p>
      <w:pPr>
        <w:snapToGrid w:val="0"/>
        <w:spacing w:line="480" w:lineRule="exact"/>
        <w:ind w:firstLine="1598" w:firstLineChars="666"/>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4.《价格清单》</w:t>
      </w:r>
    </w:p>
    <w:p>
      <w:pPr>
        <w:adjustRightInd w:val="0"/>
        <w:snapToGrid w:val="0"/>
        <w:spacing w:line="480" w:lineRule="exact"/>
        <w:ind w:firstLine="480" w:firstLineChars="200"/>
        <w:rPr>
          <w:rFonts w:hint="eastAsia" w:ascii="微软雅黑" w:hAnsi="微软雅黑" w:eastAsia="微软雅黑" w:cs="微软雅黑"/>
          <w:sz w:val="24"/>
          <w:szCs w:val="24"/>
        </w:rPr>
      </w:pPr>
    </w:p>
    <w:p>
      <w:pPr>
        <w:adjustRightInd w:val="0"/>
        <w:snapToGrid w:val="0"/>
        <w:spacing w:line="480" w:lineRule="exact"/>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（以下无正文）</w:t>
      </w:r>
    </w:p>
    <w:p>
      <w:pPr>
        <w:pStyle w:val="38"/>
        <w:rPr>
          <w:rFonts w:hint="eastAsia" w:ascii="微软雅黑" w:hAnsi="微软雅黑" w:eastAsia="微软雅黑" w:cs="微软雅黑"/>
          <w:sz w:val="24"/>
          <w:szCs w:val="24"/>
        </w:rPr>
      </w:pPr>
    </w:p>
    <w:p>
      <w:pPr>
        <w:pStyle w:val="40"/>
        <w:rPr>
          <w:rFonts w:hint="eastAsia" w:ascii="微软雅黑" w:hAnsi="微软雅黑" w:eastAsia="微软雅黑" w:cs="微软雅黑"/>
          <w:sz w:val="24"/>
          <w:szCs w:val="24"/>
        </w:rPr>
      </w:pPr>
    </w:p>
    <w:p>
      <w:pPr>
        <w:pStyle w:val="40"/>
        <w:rPr>
          <w:rFonts w:hint="eastAsia" w:ascii="微软雅黑" w:hAnsi="微软雅黑" w:eastAsia="微软雅黑" w:cs="微软雅黑"/>
          <w:sz w:val="24"/>
          <w:szCs w:val="24"/>
        </w:rPr>
      </w:pPr>
    </w:p>
    <w:p>
      <w:pPr>
        <w:pStyle w:val="40"/>
        <w:rPr>
          <w:rFonts w:hint="eastAsia" w:ascii="微软雅黑" w:hAnsi="微软雅黑" w:eastAsia="微软雅黑" w:cs="微软雅黑"/>
          <w:sz w:val="24"/>
          <w:szCs w:val="24"/>
        </w:rPr>
      </w:pPr>
    </w:p>
    <w:p>
      <w:pPr>
        <w:pStyle w:val="38"/>
      </w:pPr>
    </w:p>
    <w:tbl>
      <w:tblPr>
        <w:tblStyle w:val="29"/>
        <w:tblW w:w="9021" w:type="dxa"/>
        <w:tblInd w:w="188" w:type="dxa"/>
        <w:tblLayout w:type="fixed"/>
        <w:tblCellMar>
          <w:top w:w="0" w:type="dxa"/>
          <w:left w:w="108" w:type="dxa"/>
          <w:bottom w:w="0" w:type="dxa"/>
          <w:right w:w="108" w:type="dxa"/>
        </w:tblCellMar>
      </w:tblPr>
      <w:tblGrid>
        <w:gridCol w:w="1941"/>
        <w:gridCol w:w="2695"/>
        <w:gridCol w:w="1954"/>
        <w:gridCol w:w="2431"/>
      </w:tblGrid>
      <w:tr>
        <w:tblPrEx>
          <w:tblCellMar>
            <w:top w:w="0" w:type="dxa"/>
            <w:left w:w="108" w:type="dxa"/>
            <w:bottom w:w="0" w:type="dxa"/>
            <w:right w:w="108" w:type="dxa"/>
          </w:tblCellMar>
        </w:tblPrEx>
        <w:trPr>
          <w:cantSplit/>
          <w:trHeight w:val="193" w:hRule="atLeast"/>
        </w:trPr>
        <w:tc>
          <w:tcPr>
            <w:tcW w:w="4636" w:type="dxa"/>
            <w:gridSpan w:val="2"/>
            <w:tcBorders>
              <w:top w:val="single" w:color="auto" w:sz="12" w:space="0"/>
              <w:left w:val="single" w:color="auto" w:sz="12" w:space="0"/>
              <w:bottom w:val="single" w:color="auto" w:sz="4" w:space="0"/>
              <w:right w:val="single" w:color="auto" w:sz="4" w:space="0"/>
            </w:tcBorders>
            <w:vAlign w:val="center"/>
          </w:tcPr>
          <w:p>
            <w:pPr>
              <w:adjustRightInd w:val="0"/>
              <w:snapToGrid w:val="0"/>
              <w:spacing w:line="3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甲     方</w:t>
            </w:r>
          </w:p>
        </w:tc>
        <w:tc>
          <w:tcPr>
            <w:tcW w:w="4385" w:type="dxa"/>
            <w:gridSpan w:val="2"/>
            <w:tcBorders>
              <w:top w:val="single" w:color="auto" w:sz="12" w:space="0"/>
              <w:left w:val="nil"/>
              <w:bottom w:val="single" w:color="auto" w:sz="4" w:space="0"/>
              <w:right w:val="single" w:color="auto" w:sz="12" w:space="0"/>
            </w:tcBorders>
            <w:vAlign w:val="center"/>
          </w:tcPr>
          <w:p>
            <w:pPr>
              <w:adjustRightInd w:val="0"/>
              <w:snapToGrid w:val="0"/>
              <w:spacing w:line="3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乙    方</w:t>
            </w:r>
          </w:p>
        </w:tc>
      </w:tr>
      <w:tr>
        <w:tblPrEx>
          <w:tblCellMar>
            <w:top w:w="0" w:type="dxa"/>
            <w:left w:w="108" w:type="dxa"/>
            <w:bottom w:w="0" w:type="dxa"/>
            <w:right w:w="108" w:type="dxa"/>
          </w:tblCellMar>
        </w:tblPrEx>
        <w:trPr>
          <w:cantSplit/>
          <w:trHeight w:val="342" w:hRule="atLeast"/>
        </w:trPr>
        <w:tc>
          <w:tcPr>
            <w:tcW w:w="1941"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3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单位名称</w:t>
            </w:r>
          </w:p>
        </w:tc>
        <w:tc>
          <w:tcPr>
            <w:tcW w:w="2695" w:type="dxa"/>
            <w:tcBorders>
              <w:top w:val="single" w:color="auto" w:sz="4" w:space="0"/>
              <w:left w:val="nil"/>
              <w:bottom w:val="single" w:color="auto" w:sz="4" w:space="0"/>
              <w:right w:val="single" w:color="auto" w:sz="4" w:space="0"/>
            </w:tcBorders>
            <w:vAlign w:val="center"/>
          </w:tcPr>
          <w:p>
            <w:pPr>
              <w:adjustRightInd/>
              <w:snapToGrid/>
              <w:spacing w:before="0" w:beforeAutospacing="0" w:after="0" w:afterAutospacing="0" w:line="400" w:lineRule="exact"/>
              <w:jc w:val="center"/>
              <w:rPr>
                <w:rFonts w:hint="eastAsia" w:ascii="宋体" w:hAnsi="宋体" w:eastAsia="宋体" w:cs="宋体"/>
                <w:sz w:val="24"/>
                <w:szCs w:val="24"/>
              </w:rPr>
            </w:pPr>
            <w:r>
              <w:rPr>
                <w:rFonts w:hint="eastAsia" w:ascii="宋体" w:hAnsi="宋体" w:eastAsia="宋体" w:cs="宋体"/>
                <w:color w:val="auto"/>
                <w:sz w:val="24"/>
                <w:szCs w:val="24"/>
              </w:rPr>
              <w:t>百色百矿发电有限公司</w:t>
            </w:r>
          </w:p>
        </w:tc>
        <w:tc>
          <w:tcPr>
            <w:tcW w:w="1954"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单位名称</w:t>
            </w:r>
          </w:p>
        </w:tc>
        <w:tc>
          <w:tcPr>
            <w:tcW w:w="2431" w:type="dxa"/>
            <w:tcBorders>
              <w:top w:val="single" w:color="auto" w:sz="4" w:space="0"/>
              <w:left w:val="nil"/>
              <w:bottom w:val="single" w:color="auto" w:sz="4" w:space="0"/>
              <w:right w:val="single" w:color="auto" w:sz="12"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color w:val="auto"/>
                <w:sz w:val="24"/>
                <w:szCs w:val="24"/>
                <w:lang w:val="en-US" w:eastAsia="zh-CN"/>
              </w:rPr>
              <w:t>XXX公司</w:t>
            </w:r>
          </w:p>
        </w:tc>
      </w:tr>
      <w:tr>
        <w:tblPrEx>
          <w:tblCellMar>
            <w:top w:w="0" w:type="dxa"/>
            <w:left w:w="108" w:type="dxa"/>
            <w:bottom w:w="0" w:type="dxa"/>
            <w:right w:w="108" w:type="dxa"/>
          </w:tblCellMar>
        </w:tblPrEx>
        <w:trPr>
          <w:cantSplit/>
          <w:trHeight w:val="969" w:hRule="atLeast"/>
        </w:trPr>
        <w:tc>
          <w:tcPr>
            <w:tcW w:w="1941"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法定代表或授权代表</w:t>
            </w:r>
          </w:p>
        </w:tc>
        <w:tc>
          <w:tcPr>
            <w:tcW w:w="2695" w:type="dxa"/>
            <w:tcBorders>
              <w:top w:val="single" w:color="auto" w:sz="4" w:space="0"/>
              <w:left w:val="nil"/>
              <w:bottom w:val="single" w:color="auto" w:sz="4" w:space="0"/>
              <w:right w:val="single" w:color="auto" w:sz="4" w:space="0"/>
            </w:tcBorders>
            <w:vAlign w:val="center"/>
          </w:tcPr>
          <w:p>
            <w:pPr>
              <w:adjustRightInd/>
              <w:snapToGrid/>
              <w:spacing w:before="0" w:beforeAutospacing="0" w:after="0" w:afterAutospacing="0" w:line="240" w:lineRule="auto"/>
              <w:ind w:firstLine="0" w:firstLineChars="0"/>
              <w:jc w:val="center"/>
              <w:rPr>
                <w:rFonts w:hint="eastAsia" w:ascii="宋体" w:hAnsi="宋体" w:eastAsia="宋体" w:cs="宋体"/>
                <w:color w:val="auto"/>
                <w:sz w:val="24"/>
                <w:szCs w:val="24"/>
              </w:rPr>
            </w:pPr>
          </w:p>
          <w:p>
            <w:pPr>
              <w:adjustRightInd/>
              <w:snapToGrid/>
              <w:spacing w:before="0" w:beforeAutospacing="0" w:after="0" w:afterAutospacing="0" w:line="240" w:lineRule="auto"/>
              <w:ind w:firstLine="0" w:firstLineChars="0"/>
              <w:jc w:val="center"/>
              <w:rPr>
                <w:rFonts w:hint="eastAsia" w:ascii="宋体" w:hAnsi="宋体" w:eastAsia="宋体" w:cs="宋体"/>
                <w:sz w:val="24"/>
                <w:szCs w:val="24"/>
              </w:rPr>
            </w:pPr>
          </w:p>
        </w:tc>
        <w:tc>
          <w:tcPr>
            <w:tcW w:w="1954" w:type="dxa"/>
            <w:tcBorders>
              <w:top w:val="single" w:color="auto" w:sz="4" w:space="0"/>
              <w:left w:val="nil"/>
              <w:bottom w:val="single" w:color="auto" w:sz="4" w:space="0"/>
              <w:right w:val="single" w:color="auto" w:sz="4" w:space="0"/>
            </w:tcBorders>
            <w:vAlign w:val="center"/>
          </w:tcPr>
          <w:p>
            <w:pPr>
              <w:adjustRightInd w:val="0"/>
              <w:snapToGrid w:val="0"/>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法定代表或授权代表</w:t>
            </w:r>
          </w:p>
        </w:tc>
        <w:tc>
          <w:tcPr>
            <w:tcW w:w="2431" w:type="dxa"/>
            <w:tcBorders>
              <w:top w:val="single" w:color="auto" w:sz="4" w:space="0"/>
              <w:left w:val="nil"/>
              <w:bottom w:val="single" w:color="auto" w:sz="4" w:space="0"/>
              <w:right w:val="single" w:color="auto" w:sz="12" w:space="0"/>
            </w:tcBorders>
            <w:vAlign w:val="center"/>
          </w:tcPr>
          <w:p>
            <w:pPr>
              <w:spacing w:line="400" w:lineRule="exact"/>
              <w:jc w:val="center"/>
              <w:rPr>
                <w:rFonts w:hint="eastAsia" w:ascii="宋体" w:hAnsi="宋体" w:eastAsia="宋体" w:cs="宋体"/>
                <w:sz w:val="24"/>
                <w:szCs w:val="24"/>
              </w:rPr>
            </w:pPr>
          </w:p>
        </w:tc>
      </w:tr>
      <w:tr>
        <w:tblPrEx>
          <w:tblCellMar>
            <w:top w:w="0" w:type="dxa"/>
            <w:left w:w="108" w:type="dxa"/>
            <w:bottom w:w="0" w:type="dxa"/>
            <w:right w:w="108" w:type="dxa"/>
          </w:tblCellMar>
        </w:tblPrEx>
        <w:trPr>
          <w:cantSplit/>
          <w:trHeight w:val="277" w:hRule="atLeast"/>
        </w:trPr>
        <w:tc>
          <w:tcPr>
            <w:tcW w:w="1941"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3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地    址</w:t>
            </w:r>
          </w:p>
        </w:tc>
        <w:tc>
          <w:tcPr>
            <w:tcW w:w="2695" w:type="dxa"/>
            <w:tcBorders>
              <w:top w:val="single" w:color="auto" w:sz="4" w:space="0"/>
              <w:left w:val="nil"/>
              <w:bottom w:val="single" w:color="auto" w:sz="4" w:space="0"/>
              <w:right w:val="single" w:color="auto" w:sz="4" w:space="0"/>
            </w:tcBorders>
            <w:vAlign w:val="center"/>
          </w:tcPr>
          <w:p>
            <w:pPr>
              <w:adjustRightInd/>
              <w:snapToGrid/>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color w:val="auto"/>
                <w:sz w:val="24"/>
                <w:szCs w:val="24"/>
                <w:shd w:val="clear"/>
              </w:rPr>
              <w:t>广西百色市田阳区头塘镇二塘村</w:t>
            </w:r>
          </w:p>
        </w:tc>
        <w:tc>
          <w:tcPr>
            <w:tcW w:w="1954"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地    址</w:t>
            </w:r>
          </w:p>
        </w:tc>
        <w:tc>
          <w:tcPr>
            <w:tcW w:w="2431" w:type="dxa"/>
            <w:tcBorders>
              <w:top w:val="single" w:color="auto" w:sz="4" w:space="0"/>
              <w:left w:val="nil"/>
              <w:bottom w:val="single" w:color="auto" w:sz="4" w:space="0"/>
              <w:right w:val="single" w:color="auto" w:sz="12" w:space="0"/>
            </w:tcBorders>
            <w:vAlign w:val="center"/>
          </w:tcPr>
          <w:p>
            <w:pPr>
              <w:spacing w:line="400" w:lineRule="exact"/>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cantSplit/>
          <w:trHeight w:val="197" w:hRule="atLeast"/>
        </w:trPr>
        <w:tc>
          <w:tcPr>
            <w:tcW w:w="1941"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3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联 系 人</w:t>
            </w:r>
          </w:p>
        </w:tc>
        <w:tc>
          <w:tcPr>
            <w:tcW w:w="2695" w:type="dxa"/>
            <w:tcBorders>
              <w:top w:val="single" w:color="auto" w:sz="4" w:space="0"/>
              <w:left w:val="nil"/>
              <w:bottom w:val="single" w:color="auto" w:sz="4" w:space="0"/>
              <w:right w:val="single" w:color="auto" w:sz="4" w:space="0"/>
            </w:tcBorders>
            <w:vAlign w:val="center"/>
          </w:tcPr>
          <w:p>
            <w:pPr>
              <w:adjustRightInd/>
              <w:snapToGrid/>
              <w:spacing w:before="0" w:beforeAutospacing="0" w:after="0" w:afterAutospacing="0" w:line="4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张建飞</w:t>
            </w:r>
          </w:p>
        </w:tc>
        <w:tc>
          <w:tcPr>
            <w:tcW w:w="1954"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联 系 人</w:t>
            </w:r>
          </w:p>
        </w:tc>
        <w:tc>
          <w:tcPr>
            <w:tcW w:w="2431" w:type="dxa"/>
            <w:tcBorders>
              <w:top w:val="single" w:color="auto" w:sz="4" w:space="0"/>
              <w:left w:val="nil"/>
              <w:bottom w:val="single" w:color="auto" w:sz="4" w:space="0"/>
              <w:right w:val="single" w:color="auto" w:sz="12" w:space="0"/>
            </w:tcBorders>
            <w:vAlign w:val="center"/>
          </w:tcPr>
          <w:p>
            <w:pPr>
              <w:spacing w:line="400" w:lineRule="exact"/>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cantSplit/>
          <w:trHeight w:val="323" w:hRule="atLeast"/>
        </w:trPr>
        <w:tc>
          <w:tcPr>
            <w:tcW w:w="1941"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3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电    话</w:t>
            </w:r>
          </w:p>
        </w:tc>
        <w:tc>
          <w:tcPr>
            <w:tcW w:w="2695" w:type="dxa"/>
            <w:tcBorders>
              <w:top w:val="single" w:color="auto" w:sz="4" w:space="0"/>
              <w:left w:val="nil"/>
              <w:bottom w:val="single" w:color="auto" w:sz="4" w:space="0"/>
              <w:right w:val="single" w:color="auto" w:sz="4" w:space="0"/>
            </w:tcBorders>
            <w:vAlign w:val="center"/>
          </w:tcPr>
          <w:p>
            <w:pPr>
              <w:adjustRightInd/>
              <w:snapToGrid/>
              <w:spacing w:before="0" w:beforeAutospacing="0" w:after="0" w:afterAutospacing="0"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15949394010</w:t>
            </w:r>
          </w:p>
        </w:tc>
        <w:tc>
          <w:tcPr>
            <w:tcW w:w="1954"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电    话</w:t>
            </w:r>
          </w:p>
        </w:tc>
        <w:tc>
          <w:tcPr>
            <w:tcW w:w="2431" w:type="dxa"/>
            <w:tcBorders>
              <w:top w:val="single" w:color="auto" w:sz="4" w:space="0"/>
              <w:left w:val="nil"/>
              <w:bottom w:val="single" w:color="auto" w:sz="4" w:space="0"/>
              <w:right w:val="single" w:color="auto" w:sz="12" w:space="0"/>
            </w:tcBorders>
            <w:vAlign w:val="center"/>
          </w:tcPr>
          <w:p>
            <w:pPr>
              <w:spacing w:line="400" w:lineRule="exact"/>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cantSplit/>
          <w:trHeight w:val="277" w:hRule="atLeast"/>
        </w:trPr>
        <w:tc>
          <w:tcPr>
            <w:tcW w:w="1941"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3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邮    编</w:t>
            </w:r>
          </w:p>
        </w:tc>
        <w:tc>
          <w:tcPr>
            <w:tcW w:w="2695" w:type="dxa"/>
            <w:tcBorders>
              <w:top w:val="single" w:color="auto" w:sz="4" w:space="0"/>
              <w:left w:val="nil"/>
              <w:bottom w:val="single" w:color="auto" w:sz="4" w:space="0"/>
              <w:right w:val="single" w:color="auto" w:sz="4" w:space="0"/>
            </w:tcBorders>
            <w:vAlign w:val="center"/>
          </w:tcPr>
          <w:p>
            <w:pPr>
              <w:adjustRightInd/>
              <w:snapToGrid/>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color w:val="auto"/>
                <w:sz w:val="24"/>
                <w:szCs w:val="24"/>
                <w:lang w:val="en-US" w:eastAsia="zh-CN"/>
              </w:rPr>
              <w:t>/</w:t>
            </w:r>
          </w:p>
        </w:tc>
        <w:tc>
          <w:tcPr>
            <w:tcW w:w="1954"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邮    编</w:t>
            </w:r>
          </w:p>
        </w:tc>
        <w:tc>
          <w:tcPr>
            <w:tcW w:w="2431" w:type="dxa"/>
            <w:tcBorders>
              <w:top w:val="single" w:color="auto" w:sz="4" w:space="0"/>
              <w:left w:val="nil"/>
              <w:bottom w:val="single" w:color="auto" w:sz="4" w:space="0"/>
              <w:right w:val="single" w:color="auto" w:sz="12" w:space="0"/>
            </w:tcBorders>
            <w:vAlign w:val="center"/>
          </w:tcPr>
          <w:p>
            <w:pPr>
              <w:spacing w:line="400" w:lineRule="exact"/>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cantSplit/>
          <w:trHeight w:val="566" w:hRule="atLeast"/>
        </w:trPr>
        <w:tc>
          <w:tcPr>
            <w:tcW w:w="1941"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3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开户银行</w:t>
            </w:r>
          </w:p>
        </w:tc>
        <w:tc>
          <w:tcPr>
            <w:tcW w:w="2695" w:type="dxa"/>
            <w:tcBorders>
              <w:top w:val="single" w:color="auto" w:sz="4" w:space="0"/>
              <w:left w:val="nil"/>
              <w:bottom w:val="single" w:color="auto" w:sz="4" w:space="0"/>
              <w:right w:val="single" w:color="auto" w:sz="4" w:space="0"/>
            </w:tcBorders>
            <w:vAlign w:val="center"/>
          </w:tcPr>
          <w:p>
            <w:pPr>
              <w:adjustRightInd/>
              <w:snapToGrid/>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color w:val="auto"/>
                <w:sz w:val="24"/>
                <w:szCs w:val="24"/>
              </w:rPr>
              <w:t>广西百色右江农村合作银行城郊支行</w:t>
            </w:r>
          </w:p>
        </w:tc>
        <w:tc>
          <w:tcPr>
            <w:tcW w:w="1954"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开户银行</w:t>
            </w:r>
          </w:p>
        </w:tc>
        <w:tc>
          <w:tcPr>
            <w:tcW w:w="2431" w:type="dxa"/>
            <w:tcBorders>
              <w:top w:val="single" w:color="auto" w:sz="4" w:space="0"/>
              <w:left w:val="nil"/>
              <w:bottom w:val="single" w:color="auto" w:sz="4" w:space="0"/>
              <w:right w:val="single" w:color="auto" w:sz="12" w:space="0"/>
            </w:tcBorders>
            <w:vAlign w:val="center"/>
          </w:tcPr>
          <w:p>
            <w:pPr>
              <w:spacing w:line="400" w:lineRule="exact"/>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cantSplit/>
          <w:trHeight w:val="189" w:hRule="atLeast"/>
        </w:trPr>
        <w:tc>
          <w:tcPr>
            <w:tcW w:w="1941"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3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帐    号</w:t>
            </w:r>
          </w:p>
        </w:tc>
        <w:tc>
          <w:tcPr>
            <w:tcW w:w="2695" w:type="dxa"/>
            <w:tcBorders>
              <w:top w:val="single" w:color="auto" w:sz="4" w:space="0"/>
              <w:left w:val="nil"/>
              <w:bottom w:val="single" w:color="auto" w:sz="4" w:space="0"/>
              <w:right w:val="single" w:color="auto" w:sz="4" w:space="0"/>
            </w:tcBorders>
            <w:vAlign w:val="center"/>
          </w:tcPr>
          <w:p>
            <w:pPr>
              <w:adjustRightInd/>
              <w:snapToGrid/>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color w:val="auto"/>
                <w:sz w:val="24"/>
                <w:szCs w:val="24"/>
              </w:rPr>
              <w:t>603512010108950888</w:t>
            </w:r>
          </w:p>
        </w:tc>
        <w:tc>
          <w:tcPr>
            <w:tcW w:w="1954" w:type="dxa"/>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帐    号</w:t>
            </w:r>
          </w:p>
        </w:tc>
        <w:tc>
          <w:tcPr>
            <w:tcW w:w="2431" w:type="dxa"/>
            <w:tcBorders>
              <w:top w:val="single" w:color="auto" w:sz="4" w:space="0"/>
              <w:left w:val="nil"/>
              <w:bottom w:val="single" w:color="auto" w:sz="4" w:space="0"/>
              <w:right w:val="single" w:color="auto" w:sz="12" w:space="0"/>
            </w:tcBorders>
            <w:vAlign w:val="center"/>
          </w:tcPr>
          <w:p>
            <w:pPr>
              <w:spacing w:line="400" w:lineRule="exact"/>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cantSplit/>
          <w:trHeight w:val="277" w:hRule="atLeast"/>
        </w:trPr>
        <w:tc>
          <w:tcPr>
            <w:tcW w:w="1941" w:type="dxa"/>
            <w:tcBorders>
              <w:top w:val="single" w:color="auto" w:sz="4" w:space="0"/>
              <w:left w:val="single" w:color="auto" w:sz="12" w:space="0"/>
              <w:bottom w:val="single" w:color="auto" w:sz="12" w:space="0"/>
              <w:right w:val="single" w:color="auto" w:sz="4" w:space="0"/>
            </w:tcBorders>
            <w:vAlign w:val="center"/>
          </w:tcPr>
          <w:p>
            <w:pPr>
              <w:adjustRightInd w:val="0"/>
              <w:snapToGrid w:val="0"/>
              <w:spacing w:line="300" w:lineRule="exact"/>
              <w:ind w:left="960" w:leftChars="150" w:hanging="480" w:hangingChars="200"/>
              <w:rPr>
                <w:rFonts w:ascii="微软雅黑" w:hAnsi="微软雅黑" w:eastAsia="微软雅黑" w:cs="微软雅黑"/>
                <w:sz w:val="24"/>
                <w:szCs w:val="24"/>
              </w:rPr>
            </w:pPr>
            <w:r>
              <w:rPr>
                <w:rFonts w:hint="eastAsia" w:ascii="微软雅黑" w:hAnsi="微软雅黑" w:eastAsia="微软雅黑" w:cs="微软雅黑"/>
                <w:sz w:val="24"/>
                <w:szCs w:val="24"/>
              </w:rPr>
              <w:t>统一社会</w:t>
            </w:r>
          </w:p>
          <w:p>
            <w:pPr>
              <w:adjustRightInd w:val="0"/>
              <w:snapToGrid w:val="0"/>
              <w:spacing w:line="300" w:lineRule="exact"/>
              <w:ind w:left="960" w:leftChars="150" w:hanging="480" w:hangingChars="200"/>
              <w:rPr>
                <w:rFonts w:ascii="微软雅黑" w:hAnsi="微软雅黑" w:eastAsia="微软雅黑" w:cs="微软雅黑"/>
                <w:sz w:val="24"/>
                <w:szCs w:val="24"/>
              </w:rPr>
            </w:pPr>
            <w:r>
              <w:rPr>
                <w:rFonts w:hint="eastAsia" w:ascii="微软雅黑" w:hAnsi="微软雅黑" w:eastAsia="微软雅黑" w:cs="微软雅黑"/>
                <w:sz w:val="24"/>
                <w:szCs w:val="24"/>
              </w:rPr>
              <w:t>信用代码</w:t>
            </w:r>
          </w:p>
        </w:tc>
        <w:tc>
          <w:tcPr>
            <w:tcW w:w="2695" w:type="dxa"/>
            <w:tcBorders>
              <w:top w:val="single" w:color="auto" w:sz="4" w:space="0"/>
              <w:left w:val="nil"/>
              <w:bottom w:val="single" w:color="auto" w:sz="12" w:space="0"/>
              <w:right w:val="single" w:color="auto" w:sz="4" w:space="0"/>
            </w:tcBorders>
            <w:vAlign w:val="center"/>
          </w:tcPr>
          <w:p>
            <w:pPr>
              <w:jc w:val="center"/>
              <w:rPr>
                <w:rFonts w:hint="eastAsia" w:ascii="宋体" w:hAnsi="宋体" w:eastAsia="宋体" w:cs="宋体"/>
                <w:color w:val="0000FF"/>
                <w:sz w:val="24"/>
                <w:szCs w:val="24"/>
              </w:rPr>
            </w:pPr>
            <w:r>
              <w:rPr>
                <w:rFonts w:hint="eastAsia" w:ascii="宋体" w:hAnsi="宋体" w:eastAsia="宋体" w:cs="宋体"/>
                <w:color w:val="auto"/>
                <w:sz w:val="24"/>
                <w:szCs w:val="24"/>
              </w:rPr>
              <w:t>91451021090719587L</w:t>
            </w:r>
          </w:p>
        </w:tc>
        <w:tc>
          <w:tcPr>
            <w:tcW w:w="1954" w:type="dxa"/>
            <w:tcBorders>
              <w:top w:val="single" w:color="auto" w:sz="4" w:space="0"/>
              <w:left w:val="nil"/>
              <w:bottom w:val="single" w:color="auto" w:sz="12" w:space="0"/>
              <w:right w:val="single" w:color="auto" w:sz="4" w:space="0"/>
            </w:tcBorders>
            <w:vAlign w:val="center"/>
          </w:tcPr>
          <w:p>
            <w:pPr>
              <w:adjustRightInd w:val="0"/>
              <w:snapToGrid w:val="0"/>
              <w:spacing w:line="300" w:lineRule="exact"/>
              <w:ind w:firstLine="240" w:firstLineChars="100"/>
              <w:rPr>
                <w:rFonts w:ascii="微软雅黑" w:hAnsi="微软雅黑" w:eastAsia="微软雅黑" w:cs="微软雅黑"/>
                <w:sz w:val="24"/>
                <w:szCs w:val="24"/>
              </w:rPr>
            </w:pPr>
            <w:r>
              <w:rPr>
                <w:rFonts w:hint="eastAsia" w:ascii="微软雅黑" w:hAnsi="微软雅黑" w:eastAsia="微软雅黑" w:cs="微软雅黑"/>
                <w:sz w:val="24"/>
                <w:szCs w:val="24"/>
              </w:rPr>
              <w:t xml:space="preserve">统一社会 </w:t>
            </w:r>
          </w:p>
          <w:p>
            <w:pPr>
              <w:adjustRightInd w:val="0"/>
              <w:snapToGrid w:val="0"/>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 xml:space="preserve"> 信用代码</w:t>
            </w:r>
          </w:p>
        </w:tc>
        <w:tc>
          <w:tcPr>
            <w:tcW w:w="2431" w:type="dxa"/>
            <w:tcBorders>
              <w:top w:val="single" w:color="auto" w:sz="4" w:space="0"/>
              <w:left w:val="nil"/>
              <w:bottom w:val="single" w:color="auto" w:sz="12" w:space="0"/>
              <w:right w:val="single" w:color="auto" w:sz="12" w:space="0"/>
            </w:tcBorders>
            <w:vAlign w:val="center"/>
          </w:tcPr>
          <w:p>
            <w:pPr>
              <w:spacing w:line="400" w:lineRule="exact"/>
              <w:jc w:val="center"/>
              <w:rPr>
                <w:rFonts w:hint="eastAsia" w:ascii="宋体" w:hAnsi="宋体" w:eastAsia="宋体" w:cs="宋体"/>
                <w:color w:val="auto"/>
                <w:sz w:val="24"/>
                <w:szCs w:val="24"/>
              </w:rPr>
            </w:pPr>
          </w:p>
        </w:tc>
      </w:tr>
    </w:tbl>
    <w:p>
      <w:pPr>
        <w:snapToGrid w:val="0"/>
        <w:spacing w:line="440" w:lineRule="exact"/>
        <w:rPr>
          <w:rFonts w:hint="eastAsia" w:ascii="微软雅黑" w:hAnsi="微软雅黑" w:eastAsia="微软雅黑" w:cs="微软雅黑"/>
          <w:bCs/>
          <w:sz w:val="24"/>
          <w:szCs w:val="24"/>
        </w:rPr>
      </w:pPr>
    </w:p>
    <w:p>
      <w:pPr>
        <w:snapToGrid w:val="0"/>
        <w:spacing w:line="440" w:lineRule="exact"/>
        <w:rPr>
          <w:rFonts w:hint="eastAsia" w:ascii="微软雅黑" w:hAnsi="微软雅黑" w:eastAsia="微软雅黑" w:cs="微软雅黑"/>
          <w:bCs/>
          <w:sz w:val="24"/>
          <w:szCs w:val="24"/>
        </w:rPr>
      </w:pPr>
    </w:p>
    <w:p>
      <w:pPr>
        <w:snapToGrid w:val="0"/>
        <w:spacing w:line="440" w:lineRule="exact"/>
        <w:rPr>
          <w:rFonts w:hint="eastAsia" w:ascii="微软雅黑" w:hAnsi="微软雅黑" w:eastAsia="微软雅黑" w:cs="微软雅黑"/>
          <w:bCs/>
          <w:sz w:val="24"/>
          <w:szCs w:val="24"/>
        </w:rPr>
      </w:pPr>
    </w:p>
    <w:p>
      <w:pPr>
        <w:snapToGrid w:val="0"/>
        <w:spacing w:line="440" w:lineRule="exact"/>
        <w:rPr>
          <w:rFonts w:hint="eastAsia" w:ascii="微软雅黑" w:hAnsi="微软雅黑" w:eastAsia="微软雅黑" w:cs="微软雅黑"/>
          <w:bCs/>
          <w:sz w:val="24"/>
          <w:szCs w:val="24"/>
        </w:rPr>
      </w:pPr>
    </w:p>
    <w:p>
      <w:pPr>
        <w:snapToGrid w:val="0"/>
        <w:spacing w:line="440" w:lineRule="exact"/>
        <w:rPr>
          <w:rFonts w:hint="eastAsia" w:ascii="微软雅黑" w:hAnsi="微软雅黑" w:eastAsia="微软雅黑" w:cs="微软雅黑"/>
          <w:bCs/>
          <w:sz w:val="24"/>
          <w:szCs w:val="24"/>
        </w:rPr>
      </w:pPr>
    </w:p>
    <w:p>
      <w:pPr>
        <w:snapToGrid w:val="0"/>
        <w:spacing w:line="440" w:lineRule="exact"/>
        <w:rPr>
          <w:rFonts w:hint="eastAsia" w:ascii="微软雅黑" w:hAnsi="微软雅黑" w:eastAsia="微软雅黑" w:cs="微软雅黑"/>
          <w:bCs/>
          <w:sz w:val="24"/>
          <w:szCs w:val="24"/>
        </w:rPr>
      </w:pPr>
    </w:p>
    <w:p>
      <w:pPr>
        <w:snapToGrid w:val="0"/>
        <w:spacing w:line="440" w:lineRule="exact"/>
        <w:rPr>
          <w:rFonts w:hint="eastAsia" w:ascii="微软雅黑" w:hAnsi="微软雅黑" w:eastAsia="微软雅黑" w:cs="微软雅黑"/>
          <w:bCs/>
          <w:sz w:val="24"/>
          <w:szCs w:val="24"/>
        </w:rPr>
      </w:pPr>
    </w:p>
    <w:p>
      <w:pPr>
        <w:snapToGrid w:val="0"/>
        <w:spacing w:line="440" w:lineRule="exact"/>
        <w:rPr>
          <w:rFonts w:hint="eastAsia" w:ascii="微软雅黑" w:hAnsi="微软雅黑" w:eastAsia="微软雅黑" w:cs="微软雅黑"/>
          <w:bCs/>
          <w:sz w:val="24"/>
          <w:szCs w:val="24"/>
        </w:rPr>
      </w:pPr>
    </w:p>
    <w:p>
      <w:pPr>
        <w:snapToGrid w:val="0"/>
        <w:spacing w:line="440" w:lineRule="exact"/>
        <w:rPr>
          <w:rFonts w:hint="eastAsia" w:ascii="微软雅黑" w:hAnsi="微软雅黑" w:eastAsia="微软雅黑" w:cs="微软雅黑"/>
          <w:bCs/>
          <w:sz w:val="24"/>
          <w:szCs w:val="24"/>
        </w:rPr>
      </w:pPr>
    </w:p>
    <w:p>
      <w:pPr>
        <w:snapToGrid w:val="0"/>
        <w:spacing w:line="440" w:lineRule="exact"/>
        <w:rPr>
          <w:rFonts w:hint="eastAsia" w:ascii="微软雅黑" w:hAnsi="微软雅黑" w:eastAsia="微软雅黑" w:cs="微软雅黑"/>
          <w:bCs/>
          <w:sz w:val="24"/>
          <w:szCs w:val="24"/>
        </w:rPr>
      </w:pPr>
    </w:p>
    <w:p>
      <w:pPr>
        <w:snapToGrid w:val="0"/>
        <w:spacing w:line="440" w:lineRule="exact"/>
        <w:rPr>
          <w:rFonts w:hint="eastAsia" w:ascii="微软雅黑" w:hAnsi="微软雅黑" w:eastAsia="微软雅黑" w:cs="微软雅黑"/>
          <w:bCs/>
          <w:sz w:val="24"/>
          <w:szCs w:val="24"/>
        </w:rPr>
      </w:pPr>
    </w:p>
    <w:p>
      <w:pPr>
        <w:snapToGrid w:val="0"/>
        <w:spacing w:line="440" w:lineRule="exact"/>
        <w:rPr>
          <w:rFonts w:hint="eastAsia" w:ascii="微软雅黑" w:hAnsi="微软雅黑" w:eastAsia="微软雅黑" w:cs="微软雅黑"/>
          <w:bCs/>
          <w:sz w:val="24"/>
          <w:szCs w:val="24"/>
        </w:rPr>
      </w:pPr>
    </w:p>
    <w:p>
      <w:pPr>
        <w:snapToGrid w:val="0"/>
        <w:spacing w:line="440" w:lineRule="exact"/>
        <w:rPr>
          <w:rFonts w:hint="eastAsia" w:ascii="微软雅黑" w:hAnsi="微软雅黑" w:eastAsia="微软雅黑" w:cs="微软雅黑"/>
          <w:bCs/>
          <w:sz w:val="24"/>
          <w:szCs w:val="24"/>
        </w:rPr>
      </w:pPr>
    </w:p>
    <w:p>
      <w:pPr>
        <w:snapToGrid w:val="0"/>
        <w:spacing w:line="440" w:lineRule="exact"/>
        <w:rPr>
          <w:rFonts w:hint="eastAsia" w:ascii="微软雅黑" w:hAnsi="微软雅黑" w:eastAsia="微软雅黑" w:cs="微软雅黑"/>
          <w:bCs/>
          <w:sz w:val="24"/>
          <w:szCs w:val="24"/>
        </w:rPr>
      </w:pPr>
    </w:p>
    <w:p>
      <w:pPr>
        <w:pStyle w:val="38"/>
        <w:rPr>
          <w:rFonts w:hint="eastAsia"/>
        </w:rPr>
      </w:pPr>
    </w:p>
    <w:p>
      <w:pPr>
        <w:snapToGrid w:val="0"/>
        <w:spacing w:line="440" w:lineRule="exact"/>
        <w:rPr>
          <w:rFonts w:hint="eastAsia" w:ascii="微软雅黑" w:hAnsi="微软雅黑" w:eastAsia="微软雅黑" w:cs="微软雅黑"/>
          <w:bCs/>
          <w:sz w:val="24"/>
          <w:szCs w:val="24"/>
        </w:rPr>
      </w:pPr>
    </w:p>
    <w:p>
      <w:pPr>
        <w:snapToGrid w:val="0"/>
        <w:spacing w:line="440" w:lineRule="exact"/>
        <w:rPr>
          <w:rFonts w:hint="eastAsia" w:ascii="微软雅黑" w:hAnsi="微软雅黑" w:eastAsia="微软雅黑" w:cs="微软雅黑"/>
          <w:bCs/>
          <w:sz w:val="24"/>
          <w:szCs w:val="24"/>
        </w:rPr>
      </w:pPr>
    </w:p>
    <w:p>
      <w:pPr>
        <w:snapToGrid w:val="0"/>
        <w:spacing w:line="440" w:lineRule="exact"/>
        <w:rPr>
          <w:rFonts w:hint="eastAsia" w:ascii="微软雅黑" w:hAnsi="微软雅黑" w:eastAsia="微软雅黑" w:cs="微软雅黑"/>
          <w:bCs/>
          <w:sz w:val="24"/>
          <w:szCs w:val="24"/>
        </w:rPr>
      </w:pPr>
    </w:p>
    <w:p>
      <w:pPr>
        <w:snapToGrid w:val="0"/>
        <w:spacing w:line="440" w:lineRule="exact"/>
        <w:rPr>
          <w:rFonts w:hint="eastAsia" w:ascii="微软雅黑" w:hAnsi="微软雅黑" w:eastAsia="微软雅黑" w:cs="微软雅黑"/>
          <w:bCs/>
          <w:sz w:val="24"/>
          <w:szCs w:val="24"/>
        </w:rPr>
      </w:pPr>
    </w:p>
    <w:p>
      <w:pPr>
        <w:snapToGrid w:val="0"/>
        <w:spacing w:line="440" w:lineRule="exact"/>
        <w:rPr>
          <w:rFonts w:ascii="微软雅黑" w:hAnsi="微软雅黑" w:eastAsia="微软雅黑" w:cs="微软雅黑"/>
          <w:bCs/>
          <w:sz w:val="24"/>
          <w:szCs w:val="24"/>
        </w:rPr>
      </w:pPr>
      <w:r>
        <w:rPr>
          <w:rFonts w:hint="eastAsia" w:ascii="微软雅黑" w:hAnsi="微软雅黑" w:eastAsia="微软雅黑" w:cs="微软雅黑"/>
          <w:bCs/>
          <w:sz w:val="24"/>
          <w:szCs w:val="24"/>
        </w:rPr>
        <w:t>附件</w:t>
      </w:r>
      <w:r>
        <w:rPr>
          <w:rFonts w:hint="eastAsia" w:ascii="微软雅黑" w:hAnsi="微软雅黑" w:eastAsia="微软雅黑" w:cs="微软雅黑"/>
          <w:bCs/>
          <w:sz w:val="24"/>
          <w:szCs w:val="24"/>
          <w:lang w:val="en-US" w:eastAsia="zh-CN"/>
        </w:rPr>
        <w:t>1</w:t>
      </w:r>
      <w:r>
        <w:rPr>
          <w:rFonts w:hint="eastAsia" w:ascii="微软雅黑" w:hAnsi="微软雅黑" w:eastAsia="微软雅黑" w:cs="微软雅黑"/>
          <w:bCs/>
          <w:sz w:val="24"/>
          <w:szCs w:val="24"/>
        </w:rPr>
        <w:t>：</w:t>
      </w:r>
    </w:p>
    <w:p>
      <w:pPr>
        <w:snapToGrid w:val="0"/>
        <w:spacing w:line="440" w:lineRule="exact"/>
        <w:jc w:val="center"/>
        <w:rPr>
          <w:rFonts w:ascii="微软雅黑" w:hAnsi="微软雅黑" w:eastAsia="微软雅黑" w:cs="微软雅黑"/>
          <w:b/>
          <w:sz w:val="36"/>
          <w:szCs w:val="36"/>
        </w:rPr>
      </w:pPr>
      <w:r>
        <w:rPr>
          <w:rFonts w:hint="eastAsia" w:ascii="微软雅黑" w:hAnsi="微软雅黑" w:eastAsia="微软雅黑" w:cs="微软雅黑"/>
          <w:b/>
          <w:sz w:val="36"/>
          <w:szCs w:val="36"/>
        </w:rPr>
        <w:t>诚信自律特别协议</w:t>
      </w:r>
    </w:p>
    <w:p>
      <w:pPr>
        <w:snapToGrid w:val="0"/>
        <w:spacing w:line="4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甲方：</w:t>
      </w:r>
      <w:r>
        <w:rPr>
          <w:rFonts w:hint="eastAsia" w:ascii="微软雅黑" w:hAnsi="微软雅黑" w:eastAsia="微软雅黑" w:cs="微软雅黑"/>
          <w:color w:val="auto"/>
          <w:sz w:val="24"/>
          <w:szCs w:val="24"/>
        </w:rPr>
        <w:t>百色百矿发电有限公司</w:t>
      </w:r>
    </w:p>
    <w:p>
      <w:pPr>
        <w:pStyle w:val="38"/>
        <w:ind w:firstLine="480" w:firstLineChars="200"/>
        <w:rPr>
          <w:rFonts w:hint="eastAsia" w:ascii="微软雅黑" w:hAnsi="微软雅黑" w:eastAsia="微软雅黑" w:cs="微软雅黑"/>
          <w:bCs/>
          <w:color w:val="auto"/>
        </w:rPr>
      </w:pPr>
      <w:r>
        <w:rPr>
          <w:rFonts w:hint="eastAsia" w:ascii="微软雅黑" w:hAnsi="微软雅黑" w:eastAsia="微软雅黑" w:cs="微软雅黑"/>
        </w:rPr>
        <w:t>乙方 ；</w:t>
      </w:r>
      <w:r>
        <w:rPr>
          <w:rFonts w:hint="eastAsia" w:ascii="微软雅黑" w:hAnsi="微软雅黑" w:eastAsia="微软雅黑" w:cs="微软雅黑"/>
          <w:bCs/>
          <w:color w:val="auto"/>
          <w:sz w:val="24"/>
          <w:lang w:val="en-US" w:eastAsia="zh-CN"/>
        </w:rPr>
        <w:t>XXX公司</w:t>
      </w:r>
    </w:p>
    <w:p>
      <w:pPr>
        <w:snapToGrid w:val="0"/>
        <w:spacing w:line="4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鉴于乙方为甲方提供产品/服务/工程或双方存在其他经济业务往来，为促使双方建立长期的诚信合作关系，保证在公平、公正、公开原则下履行业务合同，依据相关法律法规，经甲乙双方友好协商，达成如下约定。</w:t>
      </w:r>
    </w:p>
    <w:p>
      <w:pPr>
        <w:snapToGrid w:val="0"/>
        <w:spacing w:line="460" w:lineRule="exact"/>
        <w:ind w:firstLine="480" w:firstLineChars="200"/>
        <w:rPr>
          <w:rFonts w:ascii="微软雅黑" w:hAnsi="微软雅黑" w:eastAsia="微软雅黑" w:cs="微软雅黑"/>
          <w:b/>
          <w:sz w:val="24"/>
          <w:szCs w:val="24"/>
        </w:rPr>
      </w:pPr>
      <w:r>
        <w:rPr>
          <w:rFonts w:hint="eastAsia" w:ascii="微软雅黑" w:hAnsi="微软雅黑" w:eastAsia="微软雅黑" w:cs="微软雅黑"/>
          <w:b/>
          <w:sz w:val="24"/>
          <w:szCs w:val="24"/>
        </w:rPr>
        <w:t>第一条 诚信责任</w:t>
      </w:r>
    </w:p>
    <w:p>
      <w:pPr>
        <w:snapToGrid w:val="0"/>
        <w:spacing w:line="4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 xml:space="preserve">乙方(包括乙方、乙方关联方及其相关工作人员，下同），应与甲方（包括甲方及其关联方，下同）人员（包括但不限于亲属、利益关系人等，下同）保持正常、合法的业务交往，按照有关法律法规和程序开展业务工作，严格履行双方合同约定。乙方应当遵守以下要求： </w:t>
      </w:r>
    </w:p>
    <w:p>
      <w:pPr>
        <w:snapToGrid w:val="0"/>
        <w:spacing w:line="4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1.1不得向甲方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p>
    <w:p>
      <w:pPr>
        <w:snapToGrid w:val="0"/>
        <w:spacing w:line="4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1.2不得以任何理由为甲方人员报销应由甲方或个人支付的费用；</w:t>
      </w:r>
    </w:p>
    <w:p>
      <w:pPr>
        <w:snapToGrid w:val="0"/>
        <w:spacing w:line="4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1.3不得与甲方人员发生任何合资合作、借贷关系，也不得参与甲方人员的婚丧嫁娶活动；</w:t>
      </w:r>
    </w:p>
    <w:p>
      <w:pPr>
        <w:snapToGrid w:val="0"/>
        <w:spacing w:line="4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1.4原则上不得与甲方人员发生例如房屋装修/租赁、车辆租赁等经济往来活动，如上述经济往来活动不存在可能影响甲方人员公正执行业务的，乙方与甲方人员发生的经济往来活动应符合市场公允定价原则，且乙方应当保留双方交易凭证；</w:t>
      </w:r>
    </w:p>
    <w:p>
      <w:pPr>
        <w:snapToGrid w:val="0"/>
        <w:spacing w:line="4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1.5不得以任何理由为甲方人员提供黄赌毒等违法活动；</w:t>
      </w:r>
    </w:p>
    <w:p>
      <w:pPr>
        <w:snapToGrid w:val="0"/>
        <w:spacing w:line="4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1.6乙方保证甲方人员没有直接或间接投资乙方，没有直接或间接持有乙方的股权或干股，也没有到乙方任职（含兼职及担任董事、监事、高级管理人员等）。乙方保证其股东、实际控制人、主要管理人员和甲方人员没有亲属关系或其他特殊关系；若有以上关系，乙方应如实书面报告甲方；</w:t>
      </w:r>
    </w:p>
    <w:p>
      <w:pPr>
        <w:snapToGrid w:val="0"/>
        <w:spacing w:line="4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1.7乙方不得以任何借口和理由给予甲方人员任何形式的利益或好处。</w:t>
      </w:r>
    </w:p>
    <w:p>
      <w:pPr>
        <w:snapToGrid w:val="0"/>
        <w:spacing w:line="4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乙方同意约束其工作人员遵守上述约定并为其工作人员行为后果负责。</w:t>
      </w:r>
    </w:p>
    <w:p>
      <w:pPr>
        <w:snapToGrid w:val="0"/>
        <w:spacing w:line="460" w:lineRule="exact"/>
        <w:ind w:firstLine="480" w:firstLineChars="200"/>
        <w:rPr>
          <w:rFonts w:ascii="微软雅黑" w:hAnsi="微软雅黑" w:eastAsia="微软雅黑" w:cs="微软雅黑"/>
          <w:b/>
          <w:sz w:val="24"/>
          <w:szCs w:val="24"/>
        </w:rPr>
      </w:pPr>
      <w:r>
        <w:rPr>
          <w:rFonts w:hint="eastAsia" w:ascii="微软雅黑" w:hAnsi="微软雅黑" w:eastAsia="微软雅黑" w:cs="微软雅黑"/>
          <w:b/>
          <w:sz w:val="24"/>
          <w:szCs w:val="24"/>
        </w:rPr>
        <w:t>第二条  违约责任</w:t>
      </w:r>
    </w:p>
    <w:p>
      <w:pPr>
        <w:snapToGrid w:val="0"/>
        <w:spacing w:line="4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 xml:space="preserve">2.1在双方业务往来期间及合作终止后2年内：乙方不得接受违反本诚信自律特别协议的甲方人员任职或提供服务；乙方不得直接或间接游说、雇用或聘请与业务合同有直接关联的甲方人员；但甲方同意的除外。 </w:t>
      </w:r>
    </w:p>
    <w:p>
      <w:pPr>
        <w:snapToGrid w:val="0"/>
        <w:spacing w:line="4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2.2 甲方人员如有违反本诚信自律特别协议的，一经查实，甲方将对责任人给予警告、处分、直至解除劳动合同。涉嫌犯罪的，则送交司法机关追究其法律责任。</w:t>
      </w:r>
    </w:p>
    <w:p>
      <w:pPr>
        <w:snapToGrid w:val="0"/>
        <w:spacing w:line="4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2.3 乙方违反本诚信自律特别协议或甲方提出乙方违反本协议约定的初步证据（如甲方员工的自述、相关证人证言及其他相关证据），乙方同意自乙方违约或甲方提出初步证据之日，甲方有权暂停支付乙方的所有款项且不承担逾期付款的违约责任直至甲方出具调查结果。</w:t>
      </w:r>
    </w:p>
    <w:p>
      <w:pPr>
        <w:snapToGrid w:val="0"/>
        <w:spacing w:line="4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2.4 如乙方违反本诚信自律特别协议的，应按以下对应情形向甲方承担违约责任且甲方有权从应付款项或各类保证金中直接扣除乙方应承担的赔偿金：</w:t>
      </w:r>
    </w:p>
    <w:p>
      <w:pPr>
        <w:snapToGrid w:val="0"/>
        <w:spacing w:line="4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2.4.1乙方在调查期间积极配合甲方并主动提供证据的：如调查结果为甲方人员主动索贿导致乙方输送不当利益的，则乙方应赔偿甲方损失；如调查结果为乙方主动向甲方人员输送不当利益的，乙方应赔偿甲方损失并承担合同金额（非固定金额的合同按照实际已发生的金额，下同）10%的违约责任；无法确定合同金额的，乙方应向甲方支付违约金10万元。</w:t>
      </w:r>
    </w:p>
    <w:p>
      <w:pPr>
        <w:snapToGrid w:val="0"/>
        <w:spacing w:line="4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2.4.2乙方不配合调查或未提供证据的：甲方有权独立查实直至得出结论。如乙方违反本诚信自律特别协议的，甲方有权按合同金额的30%追究乙方违约责任；无法确定合同金额的，乙方应向甲方支付违约金30万元。</w:t>
      </w:r>
    </w:p>
    <w:p>
      <w:pPr>
        <w:snapToGrid w:val="0"/>
        <w:spacing w:line="4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涉嫌犯罪的，则送交司法机关追究其法律责任。</w:t>
      </w:r>
    </w:p>
    <w:p>
      <w:pPr>
        <w:snapToGrid w:val="0"/>
        <w:spacing w:line="4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2.5如乙方违反本诚信自律特别协议约定的，甲方均有权终止双方合作并将乙方列入黑名单、以后不再作为供应商纳入等处理措施。</w:t>
      </w:r>
    </w:p>
    <w:p>
      <w:pPr>
        <w:snapToGrid w:val="0"/>
        <w:spacing w:line="460" w:lineRule="exact"/>
        <w:ind w:firstLine="480" w:firstLineChars="200"/>
        <w:rPr>
          <w:rFonts w:ascii="微软雅黑" w:hAnsi="微软雅黑" w:eastAsia="微软雅黑" w:cs="微软雅黑"/>
          <w:b/>
          <w:sz w:val="24"/>
          <w:szCs w:val="24"/>
        </w:rPr>
      </w:pPr>
      <w:r>
        <w:rPr>
          <w:rFonts w:hint="eastAsia" w:ascii="微软雅黑" w:hAnsi="微软雅黑" w:eastAsia="微软雅黑" w:cs="微软雅黑"/>
          <w:b/>
          <w:sz w:val="24"/>
          <w:szCs w:val="24"/>
        </w:rPr>
        <w:t>第三条  举报</w:t>
      </w:r>
    </w:p>
    <w:p>
      <w:pPr>
        <w:snapToGrid w:val="0"/>
        <w:spacing w:line="4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乙方可通过以下方式对甲方人员违反本诚信自律特别协议的行为如实举报或投诉，甲方受理渠道为：吉利科技集团有限公司法务合规部，电话400-016-0023，邮箱</w:t>
      </w:r>
      <w:r>
        <w:fldChar w:fldCharType="begin"/>
      </w:r>
      <w:r>
        <w:instrText xml:space="preserve"> HYPERLINK "mailto:integrity@Geely.com" </w:instrText>
      </w:r>
      <w:r>
        <w:fldChar w:fldCharType="separate"/>
      </w:r>
      <w:r>
        <w:rPr>
          <w:rFonts w:hint="eastAsia" w:ascii="微软雅黑" w:hAnsi="微软雅黑" w:eastAsia="微软雅黑" w:cs="微软雅黑"/>
          <w:sz w:val="24"/>
          <w:szCs w:val="24"/>
        </w:rPr>
        <w:t>COC-t@Geely.com</w:t>
      </w:r>
      <w:r>
        <w:rPr>
          <w:rFonts w:hint="eastAsia" w:ascii="微软雅黑" w:hAnsi="微软雅黑" w:eastAsia="微软雅黑" w:cs="微软雅黑"/>
          <w:sz w:val="24"/>
          <w:szCs w:val="24"/>
        </w:rPr>
        <w:fldChar w:fldCharType="end"/>
      </w:r>
      <w:r>
        <w:rPr>
          <w:rFonts w:hint="eastAsia" w:ascii="微软雅黑" w:hAnsi="微软雅黑" w:eastAsia="微软雅黑" w:cs="微软雅黑"/>
          <w:sz w:val="24"/>
          <w:szCs w:val="24"/>
        </w:rPr>
        <w:t>。</w:t>
      </w:r>
    </w:p>
    <w:p>
      <w:pPr>
        <w:snapToGrid w:val="0"/>
        <w:spacing w:line="460" w:lineRule="exact"/>
        <w:ind w:firstLine="480" w:firstLineChars="200"/>
        <w:rPr>
          <w:rFonts w:ascii="微软雅黑" w:hAnsi="微软雅黑" w:eastAsia="微软雅黑" w:cs="微软雅黑"/>
          <w:b/>
          <w:sz w:val="24"/>
          <w:szCs w:val="24"/>
        </w:rPr>
      </w:pPr>
      <w:r>
        <w:rPr>
          <w:rFonts w:hint="eastAsia" w:ascii="微软雅黑" w:hAnsi="微软雅黑" w:eastAsia="微软雅黑" w:cs="微软雅黑"/>
          <w:b/>
          <w:sz w:val="24"/>
          <w:szCs w:val="24"/>
        </w:rPr>
        <w:t>第四条  其他约定</w:t>
      </w:r>
    </w:p>
    <w:p>
      <w:pPr>
        <w:snapToGrid w:val="0"/>
        <w:spacing w:line="4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4.1本诚信自律特别协议与业务合同具有同等法律效力，作为业务合同的附件。</w:t>
      </w:r>
    </w:p>
    <w:p>
      <w:pPr>
        <w:snapToGrid w:val="0"/>
        <w:spacing w:line="4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4.2业务合同的变更、转让、终止或被撤销、无效不影响本诚信自律特别协议的效力。</w:t>
      </w:r>
    </w:p>
    <w:p>
      <w:pPr>
        <w:snapToGrid w:val="0"/>
        <w:spacing w:line="46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4.3本协议履行中任何争议均应向甲方所在地人民法院诉讼解决。</w:t>
      </w:r>
    </w:p>
    <w:p>
      <w:pPr>
        <w:rPr>
          <w:rFonts w:ascii="微软雅黑" w:hAnsi="微软雅黑" w:eastAsia="微软雅黑"/>
          <w:sz w:val="24"/>
        </w:rPr>
      </w:pPr>
    </w:p>
    <w:p>
      <w:pPr>
        <w:rPr>
          <w:rFonts w:ascii="微软雅黑" w:hAnsi="微软雅黑" w:eastAsia="微软雅黑"/>
          <w:sz w:val="24"/>
        </w:rPr>
      </w:pPr>
      <w:r>
        <w:rPr>
          <w:rFonts w:hint="eastAsia" w:ascii="微软雅黑" w:hAnsi="微软雅黑" w:eastAsia="微软雅黑"/>
          <w:sz w:val="24"/>
        </w:rPr>
        <w:t>附件</w:t>
      </w:r>
      <w:r>
        <w:rPr>
          <w:rFonts w:hint="eastAsia" w:ascii="微软雅黑" w:hAnsi="微软雅黑" w:eastAsia="微软雅黑"/>
          <w:sz w:val="24"/>
          <w:lang w:val="en-US" w:eastAsia="zh-CN"/>
        </w:rPr>
        <w:t>2</w:t>
      </w:r>
      <w:r>
        <w:rPr>
          <w:rFonts w:hint="eastAsia" w:ascii="微软雅黑" w:hAnsi="微软雅黑" w:eastAsia="微软雅黑"/>
          <w:sz w:val="24"/>
        </w:rPr>
        <w:t>、安全环保管理协议</w:t>
      </w:r>
    </w:p>
    <w:p>
      <w:pPr>
        <w:snapToGrid w:val="0"/>
        <w:spacing w:line="360" w:lineRule="auto"/>
        <w:jc w:val="center"/>
        <w:rPr>
          <w:rFonts w:ascii="微软雅黑" w:hAnsi="微软雅黑" w:eastAsia="微软雅黑"/>
          <w:b/>
        </w:rPr>
      </w:pPr>
      <w:r>
        <w:rPr>
          <w:rFonts w:ascii="微软雅黑" w:hAnsi="微软雅黑" w:eastAsia="微软雅黑"/>
          <w:b/>
        </w:rPr>
        <w:t>安全环保管理协议</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为了切实落实安全生产的责任，确保人员在施工过程中的安全，依据《中华人民共和国安全生产法》、《职业病防治法》等有关法律、法规，遵循平等、公平和诚实信用的原则，结合此次项目的具体情况，双方就安全生产管理协商达成一致，订立本协议。</w:t>
      </w:r>
    </w:p>
    <w:p>
      <w:pPr>
        <w:snapToGrid w:val="0"/>
        <w:spacing w:line="480" w:lineRule="exact"/>
        <w:ind w:firstLine="480" w:firstLineChars="200"/>
        <w:rPr>
          <w:rFonts w:ascii="微软雅黑" w:hAnsi="微软雅黑" w:eastAsia="微软雅黑" w:cs="微软雅黑"/>
          <w:b/>
          <w:bCs/>
          <w:sz w:val="24"/>
          <w:szCs w:val="24"/>
        </w:rPr>
      </w:pPr>
      <w:r>
        <w:rPr>
          <w:rFonts w:hint="eastAsia" w:ascii="微软雅黑" w:hAnsi="微软雅黑" w:eastAsia="微软雅黑" w:cs="微软雅黑"/>
          <w:b/>
          <w:bCs/>
          <w:sz w:val="24"/>
          <w:szCs w:val="24"/>
        </w:rPr>
        <w:t>第一条 项目名称</w:t>
      </w:r>
    </w:p>
    <w:p>
      <w:pPr>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项目名称：</w:t>
      </w:r>
      <w:r>
        <w:rPr>
          <w:rFonts w:hint="eastAsia" w:ascii="微软雅黑" w:hAnsi="微软雅黑" w:eastAsia="微软雅黑" w:cs="微软雅黑"/>
          <w:b w:val="0"/>
          <w:bCs w:val="0"/>
          <w:kern w:val="2"/>
          <w:sz w:val="24"/>
          <w:szCs w:val="24"/>
          <w:u w:val="none"/>
          <w:lang w:eastAsia="zh-CN"/>
        </w:rPr>
        <w:t>百色百矿发电有限公司2024年度#2机组检修各类阀门内漏外委维修项目</w:t>
      </w:r>
      <w:r>
        <w:rPr>
          <w:rFonts w:hint="eastAsia" w:ascii="微软雅黑" w:hAnsi="微软雅黑" w:eastAsia="微软雅黑" w:cs="微软雅黑"/>
          <w:sz w:val="24"/>
          <w:szCs w:val="24"/>
          <w:u w:val="none"/>
        </w:rPr>
        <w:t xml:space="preserve">。  </w:t>
      </w:r>
      <w:r>
        <w:rPr>
          <w:rFonts w:hint="eastAsia" w:ascii="微软雅黑" w:hAnsi="微软雅黑" w:eastAsia="微软雅黑" w:cs="微软雅黑"/>
          <w:sz w:val="24"/>
          <w:szCs w:val="24"/>
        </w:rPr>
        <w:t xml:space="preserve">                           </w:t>
      </w:r>
    </w:p>
    <w:p>
      <w:pPr>
        <w:snapToGrid w:val="0"/>
        <w:spacing w:line="480" w:lineRule="exact"/>
        <w:ind w:firstLine="480" w:firstLineChars="200"/>
        <w:rPr>
          <w:rFonts w:ascii="微软雅黑" w:hAnsi="微软雅黑" w:eastAsia="微软雅黑" w:cs="微软雅黑"/>
          <w:b/>
          <w:bCs/>
          <w:sz w:val="24"/>
          <w:szCs w:val="24"/>
        </w:rPr>
      </w:pPr>
      <w:r>
        <w:rPr>
          <w:rFonts w:hint="eastAsia" w:ascii="微软雅黑" w:hAnsi="微软雅黑" w:eastAsia="微软雅黑" w:cs="微软雅黑"/>
          <w:b/>
          <w:bCs/>
          <w:sz w:val="24"/>
          <w:szCs w:val="24"/>
        </w:rPr>
        <w:t>第二条 甲方权利和义务</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2.1 甲方如实告知乙方承包场所、设备设施存在的危险因素及企业有关安全生产管理制度并形成记录，双方签字、盖章存档。</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2.2 甲方负责对乙方作业场所安全生产、环保、消防、交通、治安等工作统一监管与协调，甲方有义务向乙方告知甲方公司的安全消防管理规定及安全生产工作要求。防治乙方在甲方厂区工作期间发生各类事故，内容包括但不限于人身设备安全、厂区交通安全、环境保护、治安消防等方面。</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2.3 甲方有权对乙方作业现场进行安全、环保、消防、交通检查，对发现的不安全因素有权要求乙方进行限期或停工整改。</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2.4 甲方有权依照附表.《相关方管理考核标准》和HSE管理制度对乙方未限期整改和违规违章行为进行考核及经济处罚。</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2.5 甲方有权对乙方的违规行为、隐患整改落实、安全检查等情况，通过乙方提供的邮箱反馈给乙方。</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2.6 发生以下情况或乙方责任造成的停工整顿，因停工造成的违约责任由乙方全部承担。</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2.6.1 发生人身伤亡事故；</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2.6.2 发生施工机械、生产主设备严重损坏事故；</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2.6.3 施工现场发生火灾事故；</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2.6.4 发生违章作业、冒险作业不听劝告的；</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2.6.5 项目施工现场脏、乱、差，不符合安全和文明施工要求的。</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2.7 乙方在协议期间如发生事故，甲方有权督促乙方立即报告当地政府相关部门、保护事故现场、提供事故调查书面结论及处理意见。</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2.8 乙方发生人员伤亡事故时，甲方为乙方抢救提供必要的条件，发生的费用由乙方承担。</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2.9 甲方有权对乙方作业过程中安全防护措施的落实到位进行监督、检查。发现事故隐患、违章违纪或者冒险等行为，甲方有权按照合同条款和甲方的考核标准进行考核，并以邮件形式发送至乙方指定邮箱。乙方如有异议，应在收到邮件后24小时内进行申诉，否则即视为乙方同意甲方的判定及考核。甲方有权根据合同条款及本协议直接从乙方的履约保证金（如有）中扣除相应金额，履约保证金不足以支付的，甲方有权从应付的款项中扣除。</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2.10对乙方不服从安全管理、野蛮施工、管理混乱的情况，甲方项目主管部门或安全环保部门有权令其停工、停产整改，直至通过甲方认可方可作业。</w:t>
      </w:r>
    </w:p>
    <w:p>
      <w:pPr>
        <w:snapToGrid w:val="0"/>
        <w:spacing w:line="480" w:lineRule="exact"/>
        <w:ind w:firstLine="480" w:firstLineChars="200"/>
        <w:rPr>
          <w:rFonts w:ascii="微软雅黑" w:hAnsi="微软雅黑" w:eastAsia="微软雅黑" w:cs="微软雅黑"/>
          <w:b/>
          <w:bCs/>
          <w:sz w:val="24"/>
          <w:szCs w:val="24"/>
        </w:rPr>
      </w:pPr>
      <w:r>
        <w:rPr>
          <w:rFonts w:hint="eastAsia" w:ascii="微软雅黑" w:hAnsi="微软雅黑" w:eastAsia="微软雅黑" w:cs="微软雅黑"/>
          <w:b/>
          <w:bCs/>
          <w:sz w:val="24"/>
          <w:szCs w:val="24"/>
        </w:rPr>
        <w:t>第三条 乙方权利和义务</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3.1 乙方应遵守国家《中华人民共和国民法典》《安全生产法》、《环境保护法》及甲方制定《安全生产管理办法》和危险作业管理标准等各级各项安全环保规章制度。</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3.2 建立健全并落实安全环保管理制度和安全操作规程，编制HSE应急预案，应急装备齐全有效。对承包项目的质量、安全（包括施工作业、消防、环保、职业健康、交通、保卫等）承担相应责任。</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3.3 健全HSE组织机构。依法配备现场安全管理人员、特种作业人员（对涉及特种作业及特种设备的操作岗位，其岗位人员应持证上岗，证书类型与所从事工作内容相一致）。</w:t>
      </w:r>
    </w:p>
    <w:p>
      <w:pPr>
        <w:pStyle w:val="46"/>
        <w:snapToGrid w:val="0"/>
        <w:spacing w:line="480" w:lineRule="exact"/>
        <w:ind w:firstLine="461"/>
        <w:rPr>
          <w:rFonts w:ascii="微软雅黑" w:hAnsi="微软雅黑" w:eastAsia="微软雅黑" w:cs="微软雅黑"/>
          <w:w w:val="96"/>
          <w:sz w:val="24"/>
          <w:szCs w:val="24"/>
        </w:rPr>
      </w:pPr>
      <w:r>
        <w:rPr>
          <w:rFonts w:hint="eastAsia" w:ascii="微软雅黑" w:hAnsi="微软雅黑" w:eastAsia="微软雅黑" w:cs="微软雅黑"/>
          <w:w w:val="96"/>
          <w:sz w:val="24"/>
          <w:szCs w:val="24"/>
        </w:rPr>
        <w:t>3.4 乙方须依法为从业人员缴纳工伤保险。对接触职业危害的相关方从业人员，应安排岗前、岗中和离岗时的职业健康体检，并将检查结果如实告知从业人员。对存在职业危害作业场所，应当委托具有相应资质的中介技术服务机构，每年至少进行一次职业危害因素检测。</w:t>
      </w:r>
    </w:p>
    <w:p>
      <w:pPr>
        <w:pStyle w:val="46"/>
        <w:snapToGrid w:val="0"/>
        <w:spacing w:line="480" w:lineRule="exact"/>
        <w:ind w:firstLine="461"/>
        <w:rPr>
          <w:rFonts w:ascii="微软雅黑" w:hAnsi="微软雅黑" w:eastAsia="微软雅黑" w:cs="微软雅黑"/>
          <w:sz w:val="24"/>
          <w:szCs w:val="24"/>
        </w:rPr>
      </w:pPr>
      <w:r>
        <w:rPr>
          <w:rFonts w:hint="eastAsia" w:ascii="微软雅黑" w:hAnsi="微软雅黑" w:eastAsia="微软雅黑" w:cs="微软雅黑"/>
          <w:w w:val="96"/>
          <w:sz w:val="24"/>
          <w:szCs w:val="24"/>
        </w:rPr>
        <w:t xml:space="preserve">3.5 </w:t>
      </w:r>
      <w:r>
        <w:rPr>
          <w:rFonts w:hint="eastAsia" w:ascii="微软雅黑" w:hAnsi="微软雅黑" w:eastAsia="微软雅黑" w:cs="微软雅黑"/>
          <w:sz w:val="24"/>
          <w:szCs w:val="24"/>
        </w:rPr>
        <w:t>为作业人员配备合格适用的劳动防护用品并督促其正确使用。</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3.6 不得安排有职业禁忌或职业病人员从事其所禁忌的作业。不得安排未成年工从事接触职业病危害的作业；不得安排孕期、哺乳期的女职工从事对本人和胎儿、婴儿有危害的作业。</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3.7 在合同期限内，不得从事非法经营或者其它违法活动；不得擅自将承包项目分包或转包他人，更不得将承包项目分包或转包给不具备安全生产条件的单位和个人，一经发现甲方有权令其停工整顿或解除合同。</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3.8 未经甲方书面同意，不得擅自搭建、改建、改变场所和房屋使用性质。</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3.9 未经公司审核书面同意，禁止在承租的场所和房屋内居住人员。乙方自备的各类物资由乙方自行妥善保管，因乙方自行保管不善而造成丢失、损坏的，由乙方自行承担责任。</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3.10 在合同有效期内，对所租的房屋、场地、设备设施负有全部安全责任和经济责任。同时，乙方负责督促教育其人员遵守甲方的有关管理制度，服从甲方管理人员的指挥与要求，并对所派人员的一切安全负责。</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3.11 做好安全用电、防汛防台、防中毒、防盗窃等工作，对场所的公用设施要自觉维护，一旦损坏将无条件赔付。</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3.12 严禁存放易燃、易爆物品及危险化学品，禁止超负荷使用电气设备，严禁使用不合格、不安全、已经命令禁止的电气设备设施。如擅自存放和使用，造成的一切后果由乙方承担，即赔付给甲方等造成的全部损失。</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3.13 对场所、房屋内固定的电源线路，严禁私自更改或违章搭建，对必须更改的应提出书面申请，得到甲方同意后，在确保安全的情况下方可实施。</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3.14  所用的机械、电气设备和线路必须符合有关安全技术规定要求，危险部位必须有安全可靠的防护装置。对于安全设备设施、特种设备依照法律法规和甲方要求执行检查、维保等工作。</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3.15 物品放置、设备布置和各类临时设施均应符合安全、消防要求，不得占用消防安全通道，不得影响安全设备设施的正常使用。</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3.16 从事各种活动时，应遵守甲方安全生产要求，制订可靠的安全防范措施。不得违章指挥、违章作业、违反劳动纪律。</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3.17 经常组织安全学习活动，进行定期的安全检查，积极配合甲方组织的安全环保检查和应急演练活动等主题活动。</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3.18 乙方出入甲方区域，必须遵守甲方的门卫管理，服从甲方门卫及厂区现场管理人员的安排管理，不得拒绝甲方检查。进入甲方生产现场后，必须遵守甲方生产现场的安全环保要求，严禁在甲方区域内发生群体性事件。遇有特殊情况需与相关单位事先沟通。</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3.19 乙方车辆出入，应遵守甲方车辆管理有关规定，防止交通事故发生，原、辅材料（包括垃圾）运输应符合有关规定，不得拒绝正常检查。</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3.20 乙方严格按照甲方工作区域的各种提示、警示性标志开展相关业务工作，未经甲方允许不得随意动用/使用甲方的任何设备、物资和各种设施，不得进入甲方特殊危险场所及要害部门，否则因此给甲方造成的损失由乙方承担。</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3.21 如因工作需要，乙方借用甲方设备设施时必须遵守甲方的相关规定及操作</w:t>
      </w:r>
      <w:r>
        <w:rPr>
          <w:rFonts w:hint="eastAsia" w:ascii="微软雅黑" w:hAnsi="微软雅黑" w:eastAsia="微软雅黑" w:cs="微软雅黑"/>
          <w:w w:val="95"/>
          <w:sz w:val="24"/>
          <w:szCs w:val="24"/>
        </w:rPr>
        <w:t>规程。如因乙方原因造成设备设施损坏或人员伤害，由乙方承担因此造成的损失。</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3.22 乙方对高空作业及生产作业现场的坑、沟、洞、易燃易爆场所，要有防范措施及明显标志。在进行有毒物、有机溶剂、粉尘、噪音等有害作业时，必须事前告之双方人员并制定安全施工计划。</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3.23 当发生两个及以上单位进行交叉作业时，乙方应第一时间通知并与发生交叉作业的单位进行协商，保证安全作业。无论协商成果与否，乙方均应报知甲方。</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3.24 乙方在甲方厂区内作业过程中，产生的危险废弃物要依照法规和甲方要求合法处置，禁止随意丢弃或与其他一般非危废垃圾混放，不得出现大气、水体和土壤污染事件，因乙方造成的环保污染或被行政处罚的，由乙方负责整改并恢复原状，并承担一切费用损失。</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3.25 合同期限内，因履行主合同义务发生不安全情况或人身伤亡事故的，乙方必须第一时间告甲方的项目组。</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3.26 项目服务应编制相应的安全技术措施，乙方在开展项目服务业务前，必须告知项目主管部门并由项目主管部门规定其工作区域，未经许可不得进入与主合同项下项目工作无关区域。</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3.27 动火作业、临时用电作业、高空作业、吊装作业、有限空间作业、挖掘作业等危险作业均严格按照危险作业管理标准执行。作业区须事先通知相关方主管部门并办理相关审批手续后方可进行，同时，甲方有权不定期对乙方危险作业审批执行情况监督检查。</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3.28 如遇安全状况不清时，应先停止工作，主动与项目主管部门联系。在未经同意情况下，不得擅自动用非本单位的工具、设备和其它装置。</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3.29 乙方确保承租区域内所有安全、环保、消防设备设施和器材的完好，并定期进行检查、维护、保养。有约定乙方负责在承租区域配置消防器材的，乙方应按照标准要求进行配置，并定期更换。</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3.30 乙方在作业过程中必须服从甲方统一协调、管理。由于乙方因违规、违章或不服从甲方管理等原因而造成的安全事故、火灾事故、治安案件等后果，或造成人员伤害或财产损失的一切损失、法律责任，均由乙方承担。</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3.31 发生不安全情况或人身伤亡事故，必须立即报告甲方的相关方主管部门和安全和环保部门。</w:t>
      </w:r>
    </w:p>
    <w:p>
      <w:pPr>
        <w:pStyle w:val="46"/>
        <w:snapToGrid w:val="0"/>
        <w:spacing w:line="480" w:lineRule="exact"/>
        <w:ind w:firstLine="480"/>
        <w:rPr>
          <w:rFonts w:ascii="微软雅黑" w:hAnsi="微软雅黑" w:eastAsia="微软雅黑" w:cs="微软雅黑"/>
          <w:b/>
          <w:bCs/>
          <w:sz w:val="24"/>
          <w:szCs w:val="24"/>
        </w:rPr>
      </w:pPr>
      <w:r>
        <w:rPr>
          <w:rFonts w:hint="eastAsia" w:ascii="微软雅黑" w:hAnsi="微软雅黑" w:eastAsia="微软雅黑" w:cs="微软雅黑"/>
          <w:b/>
          <w:bCs/>
          <w:sz w:val="24"/>
          <w:szCs w:val="24"/>
        </w:rPr>
        <w:t>第四条 事故责任处理</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4.1 乙方按有关规定在生产作业过程中采取适当有效的安全防护措施，承担由于违章作业、管理不力、设备设施不良等原因造成的事故责任和因此产生的一切费用及后果。</w:t>
      </w:r>
    </w:p>
    <w:p>
      <w:pPr>
        <w:pStyle w:val="46"/>
        <w:snapToGrid w:val="0"/>
        <w:spacing w:line="480" w:lineRule="exact"/>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4.2 乙方发生人员伤亡事故时，应保护好事故现场，并按国家、地方政府有关规定程序，立即上报甲方和有关部门进行调查处理。甲方为抢救提供必要的条件，产生的相关费用由乙方承担。</w:t>
      </w:r>
    </w:p>
    <w:p>
      <w:pPr>
        <w:snapToGrid w:val="0"/>
        <w:spacing w:line="480" w:lineRule="exact"/>
        <w:ind w:firstLine="480" w:firstLineChars="200"/>
        <w:rPr>
          <w:rFonts w:ascii="微软雅黑" w:hAnsi="微软雅黑" w:eastAsia="微软雅黑" w:cs="微软雅黑"/>
          <w:b/>
          <w:bCs/>
          <w:sz w:val="24"/>
          <w:szCs w:val="24"/>
        </w:rPr>
      </w:pPr>
      <w:r>
        <w:rPr>
          <w:rFonts w:hint="eastAsia" w:ascii="微软雅黑" w:hAnsi="微软雅黑" w:eastAsia="微软雅黑" w:cs="微软雅黑"/>
          <w:b/>
          <w:bCs/>
          <w:sz w:val="24"/>
          <w:szCs w:val="24"/>
        </w:rPr>
        <w:t>第五条 违约责任</w:t>
      </w:r>
    </w:p>
    <w:p>
      <w:pPr>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如因甲方未按照本协议履行相关要求，给乙方造成损失的，甲方应承担相应的赔偿责任；因乙方未按照本协议履行其相关职责的，按双方签订的《XX项目服务合同》扣减相应合同履约保证金（如有），给甲方造成损失的，应按照双方签订的《项目服务合同》赔偿甲方损失。</w:t>
      </w:r>
    </w:p>
    <w:p>
      <w:pPr>
        <w:snapToGrid w:val="0"/>
        <w:spacing w:line="480" w:lineRule="exact"/>
        <w:ind w:firstLine="480" w:firstLineChars="200"/>
        <w:rPr>
          <w:rFonts w:ascii="微软雅黑" w:hAnsi="微软雅黑" w:eastAsia="微软雅黑" w:cs="微软雅黑"/>
          <w:b/>
          <w:bCs/>
          <w:sz w:val="24"/>
          <w:szCs w:val="24"/>
        </w:rPr>
      </w:pPr>
      <w:r>
        <w:rPr>
          <w:rFonts w:hint="eastAsia" w:ascii="微软雅黑" w:hAnsi="微软雅黑" w:eastAsia="微软雅黑" w:cs="微软雅黑"/>
          <w:b/>
          <w:bCs/>
          <w:sz w:val="24"/>
          <w:szCs w:val="24"/>
        </w:rPr>
        <w:t>第六条 其它事项</w:t>
      </w:r>
    </w:p>
    <w:p>
      <w:pPr>
        <w:snapToGrid w:val="0"/>
        <w:spacing w:line="480" w:lineRule="exact"/>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6.1 本协议作为《</w:t>
      </w:r>
      <w:r>
        <w:rPr>
          <w:rFonts w:hint="eastAsia" w:ascii="微软雅黑" w:hAnsi="微软雅黑" w:eastAsia="微软雅黑" w:cs="微软雅黑"/>
          <w:b w:val="0"/>
          <w:bCs w:val="0"/>
          <w:kern w:val="2"/>
          <w:sz w:val="24"/>
          <w:szCs w:val="24"/>
          <w:u w:val="none"/>
          <w:lang w:eastAsia="zh-CN"/>
        </w:rPr>
        <w:t>百色百矿发电有限公司2024年度#2机组检修各类阀门内漏外委维修项目</w:t>
      </w:r>
      <w:r>
        <w:rPr>
          <w:rFonts w:hint="eastAsia" w:ascii="微软雅黑" w:hAnsi="微软雅黑" w:eastAsia="微软雅黑" w:cs="微软雅黑"/>
          <w:sz w:val="24"/>
          <w:szCs w:val="24"/>
        </w:rPr>
        <w:t>》附件，如与项目服务合同相关内容发生冲突的，以合同内容为准。</w:t>
      </w:r>
    </w:p>
    <w:p>
      <w:pPr>
        <w:pStyle w:val="38"/>
        <w:spacing w:line="480" w:lineRule="exact"/>
        <w:ind w:firstLine="480" w:firstLineChars="200"/>
        <w:rPr>
          <w:rFonts w:ascii="微软雅黑" w:hAnsi="微软雅黑" w:eastAsia="微软雅黑" w:cs="微软雅黑"/>
          <w:color w:val="auto"/>
        </w:rPr>
      </w:pPr>
      <w:r>
        <w:rPr>
          <w:rFonts w:hint="eastAsia" w:ascii="微软雅黑" w:hAnsi="微软雅黑" w:eastAsia="微软雅黑" w:cs="微软雅黑"/>
          <w:color w:val="auto"/>
        </w:rPr>
        <w:t>6.2 本协议自双方法定代表人或授权代表签字并盖章之日起生效，☑至主合同履行结束；□至项目施工结束；□本协议有效期为一年。</w:t>
      </w:r>
    </w:p>
    <w:p>
      <w:pPr>
        <w:pStyle w:val="38"/>
        <w:spacing w:line="480" w:lineRule="exact"/>
        <w:rPr>
          <w:rFonts w:ascii="微软雅黑" w:hAnsi="微软雅黑" w:eastAsia="微软雅黑" w:cs="微软雅黑"/>
          <w:color w:val="auto"/>
        </w:rPr>
      </w:pPr>
      <w:r>
        <w:rPr>
          <w:rFonts w:hint="eastAsia" w:ascii="微软雅黑" w:hAnsi="微软雅黑" w:eastAsia="微软雅黑" w:cs="微软雅黑"/>
          <w:color w:val="auto"/>
        </w:rPr>
        <w:t xml:space="preserve">    6.3 本协议一式叁份，甲方执贰份，乙方执壹份，与主合同具有同等法律效力</w:t>
      </w:r>
    </w:p>
    <w:p>
      <w:pPr>
        <w:pStyle w:val="38"/>
        <w:snapToGrid w:val="0"/>
        <w:spacing w:line="480" w:lineRule="exact"/>
        <w:ind w:firstLine="480" w:firstLineChars="200"/>
        <w:jc w:val="left"/>
        <w:rPr>
          <w:rFonts w:ascii="微软雅黑" w:hAnsi="微软雅黑" w:eastAsia="微软雅黑" w:cs="微软雅黑"/>
          <w:color w:val="auto"/>
        </w:rPr>
      </w:pPr>
      <w:r>
        <w:rPr>
          <w:rFonts w:hint="eastAsia" w:ascii="微软雅黑" w:hAnsi="微软雅黑" w:eastAsia="微软雅黑" w:cs="微软雅黑"/>
          <w:color w:val="auto"/>
        </w:rPr>
        <w:t>6.4 其它未尽事宜由双方协商解决。</w:t>
      </w:r>
    </w:p>
    <w:p>
      <w:pPr>
        <w:snapToGrid w:val="0"/>
        <w:spacing w:line="440" w:lineRule="exact"/>
        <w:ind w:left="4800" w:leftChars="75" w:hanging="4560" w:hangingChars="1900"/>
        <w:rPr>
          <w:rFonts w:ascii="微软雅黑" w:hAnsi="微软雅黑" w:eastAsia="微软雅黑" w:cs="微软雅黑"/>
          <w:sz w:val="24"/>
          <w:szCs w:val="24"/>
        </w:rPr>
      </w:pPr>
    </w:p>
    <w:p>
      <w:pPr>
        <w:rPr>
          <w:rFonts w:ascii="微软雅黑" w:hAnsi="微软雅黑" w:eastAsia="微软雅黑"/>
          <w:b/>
        </w:rPr>
      </w:pPr>
    </w:p>
    <w:p>
      <w:pPr>
        <w:rPr>
          <w:rFonts w:ascii="微软雅黑" w:hAnsi="微软雅黑" w:eastAsia="微软雅黑"/>
          <w:b/>
        </w:rPr>
      </w:pPr>
    </w:p>
    <w:p>
      <w:pPr>
        <w:rPr>
          <w:rFonts w:ascii="微软雅黑" w:hAnsi="微软雅黑" w:eastAsia="微软雅黑"/>
          <w:b/>
        </w:rPr>
      </w:pPr>
    </w:p>
    <w:p>
      <w:pPr>
        <w:rPr>
          <w:rFonts w:ascii="微软雅黑" w:hAnsi="微软雅黑" w:eastAsia="微软雅黑"/>
          <w:b/>
        </w:rPr>
      </w:pPr>
    </w:p>
    <w:p>
      <w:pPr>
        <w:rPr>
          <w:rFonts w:ascii="微软雅黑" w:hAnsi="微软雅黑" w:eastAsia="微软雅黑"/>
          <w:b/>
        </w:rPr>
      </w:pPr>
      <w:r>
        <w:rPr>
          <w:rFonts w:hint="eastAsia" w:ascii="微软雅黑" w:hAnsi="微软雅黑" w:eastAsia="微软雅黑"/>
          <w:b/>
        </w:rPr>
        <w:t>附</w:t>
      </w:r>
      <w:r>
        <w:rPr>
          <w:rFonts w:ascii="微软雅黑" w:hAnsi="微软雅黑" w:eastAsia="微软雅黑"/>
          <w:b/>
        </w:rPr>
        <w:t>：</w:t>
      </w:r>
      <w:r>
        <w:rPr>
          <w:rFonts w:hint="eastAsia" w:ascii="微软雅黑" w:hAnsi="微软雅黑" w:eastAsia="微软雅黑"/>
          <w:b/>
        </w:rPr>
        <w:t>相 关 方 管 理 考 核 标 准</w:t>
      </w:r>
    </w:p>
    <w:tbl>
      <w:tblPr>
        <w:tblStyle w:val="29"/>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57" w:type="dxa"/>
        </w:tblCellMar>
      </w:tblPr>
      <w:tblGrid>
        <w:gridCol w:w="1161"/>
        <w:gridCol w:w="750"/>
        <w:gridCol w:w="5542"/>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exact"/>
          <w:tblHeader/>
          <w:jc w:val="center"/>
        </w:trPr>
        <w:tc>
          <w:tcPr>
            <w:tcW w:w="1161"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b/>
                <w:sz w:val="22"/>
                <w:szCs w:val="22"/>
              </w:rPr>
            </w:pPr>
            <w:r>
              <w:rPr>
                <w:rFonts w:hint="eastAsia" w:ascii="微软雅黑" w:hAnsi="微软雅黑" w:eastAsia="微软雅黑"/>
                <w:b/>
                <w:sz w:val="22"/>
                <w:szCs w:val="22"/>
              </w:rPr>
              <w:t>项目分类</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b/>
                <w:sz w:val="22"/>
                <w:szCs w:val="22"/>
              </w:rPr>
            </w:pPr>
            <w:r>
              <w:rPr>
                <w:rFonts w:hint="eastAsia" w:ascii="微软雅黑" w:hAnsi="微软雅黑" w:eastAsia="微软雅黑"/>
                <w:b/>
                <w:sz w:val="22"/>
                <w:szCs w:val="22"/>
              </w:rPr>
              <w:t>序号</w:t>
            </w:r>
          </w:p>
        </w:tc>
        <w:tc>
          <w:tcPr>
            <w:tcW w:w="5542"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b/>
                <w:sz w:val="22"/>
                <w:szCs w:val="22"/>
              </w:rPr>
            </w:pPr>
            <w:r>
              <w:rPr>
                <w:rFonts w:hint="eastAsia" w:ascii="微软雅黑" w:hAnsi="微软雅黑" w:eastAsia="微软雅黑"/>
                <w:b/>
                <w:sz w:val="22"/>
                <w:szCs w:val="22"/>
              </w:rPr>
              <w:t>违规内容</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b/>
                <w:sz w:val="22"/>
                <w:szCs w:val="22"/>
              </w:rPr>
            </w:pPr>
            <w:r>
              <w:rPr>
                <w:rFonts w:hint="eastAsia" w:ascii="微软雅黑" w:hAnsi="微软雅黑" w:eastAsia="微软雅黑"/>
                <w:b/>
                <w:sz w:val="22"/>
                <w:szCs w:val="22"/>
              </w:rPr>
              <w:t>处罚金额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82" w:hRule="atLeast"/>
          <w:jc w:val="center"/>
        </w:trPr>
        <w:tc>
          <w:tcPr>
            <w:tcW w:w="1161"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微软雅黑" w:hAnsi="微软雅黑" w:eastAsia="微软雅黑"/>
                <w:sz w:val="22"/>
                <w:szCs w:val="22"/>
              </w:rPr>
            </w:pPr>
            <w:r>
              <w:rPr>
                <w:rFonts w:hint="eastAsia" w:ascii="微软雅黑" w:hAnsi="微软雅黑" w:eastAsia="微软雅黑"/>
                <w:sz w:val="22"/>
                <w:szCs w:val="22"/>
              </w:rPr>
              <w:t>日常管理</w:t>
            </w: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入场作业手续未完成即入场作业</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ascii="微软雅黑" w:hAnsi="微软雅黑" w:eastAsia="微软雅黑"/>
                <w:sz w:val="22"/>
                <w:szCs w:val="22"/>
              </w:rPr>
              <w:t>5000</w:t>
            </w:r>
            <w:r>
              <w:rPr>
                <w:rFonts w:hint="eastAsia" w:ascii="微软雅黑" w:hAnsi="微软雅黑" w:eastAsia="微软雅黑"/>
                <w:sz w:val="22"/>
                <w:szCs w:val="22"/>
              </w:rPr>
              <w:t>元</w:t>
            </w:r>
            <w:r>
              <w:rPr>
                <w:rFonts w:ascii="微软雅黑" w:hAnsi="微软雅黑" w:eastAsia="微软雅黑"/>
                <w:sz w:val="22"/>
                <w:szCs w:val="22"/>
              </w:rPr>
              <w:t>/</w:t>
            </w:r>
            <w:r>
              <w:rPr>
                <w:rFonts w:hint="eastAsia" w:ascii="微软雅黑" w:hAnsi="微软雅黑" w:eastAsia="微软雅黑"/>
                <w:sz w:val="22"/>
                <w:szCs w:val="22"/>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82"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2"/>
                <w:szCs w:val="22"/>
              </w:rPr>
            </w:pPr>
            <w:r>
              <w:rPr>
                <w:rFonts w:hint="eastAsia" w:ascii="微软雅黑" w:hAnsi="微软雅黑" w:eastAsia="微软雅黑"/>
                <w:sz w:val="22"/>
                <w:szCs w:val="22"/>
              </w:rPr>
              <w:t>违反法律法规和公司各级各项安全环保规章制度</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82"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2"/>
                <w:szCs w:val="22"/>
              </w:rPr>
            </w:pPr>
            <w:r>
              <w:rPr>
                <w:rFonts w:hint="eastAsia" w:ascii="微软雅黑" w:hAnsi="微软雅黑" w:eastAsia="微软雅黑"/>
                <w:sz w:val="22"/>
                <w:szCs w:val="22"/>
              </w:rPr>
              <w:t>未建立健全安全环保管理制度和安全操作规程</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82"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2"/>
                <w:szCs w:val="22"/>
              </w:rPr>
            </w:pPr>
            <w:r>
              <w:rPr>
                <w:rFonts w:hint="eastAsia" w:ascii="微软雅黑" w:hAnsi="微软雅黑" w:eastAsia="微软雅黑"/>
                <w:sz w:val="22"/>
                <w:szCs w:val="22"/>
              </w:rPr>
              <w:t>应急预案不具有针对性，应急装备缺失</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82"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2"/>
                <w:szCs w:val="22"/>
              </w:rPr>
            </w:pPr>
            <w:r>
              <w:rPr>
                <w:rFonts w:hint="eastAsia" w:ascii="微软雅黑" w:hAnsi="微软雅黑" w:eastAsia="微软雅黑"/>
                <w:sz w:val="22"/>
                <w:szCs w:val="22"/>
              </w:rPr>
              <w:t>HSE组织不健全，未依法配备专兼职安全环保管理人员</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82"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2"/>
                <w:szCs w:val="22"/>
              </w:rPr>
            </w:pPr>
            <w:r>
              <w:rPr>
                <w:rFonts w:hint="eastAsia" w:ascii="微软雅黑" w:hAnsi="微软雅黑" w:eastAsia="微软雅黑"/>
                <w:sz w:val="22"/>
                <w:szCs w:val="22"/>
              </w:rPr>
              <w:t>未给从业人员缴纳工伤保险</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82"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2"/>
                <w:szCs w:val="22"/>
              </w:rPr>
            </w:pPr>
            <w:r>
              <w:rPr>
                <w:rFonts w:hint="eastAsia" w:ascii="微软雅黑" w:hAnsi="微软雅黑" w:eastAsia="微软雅黑"/>
                <w:sz w:val="22"/>
                <w:szCs w:val="22"/>
              </w:rPr>
              <w:t>对接触职业病危害的作业人员未安排职业病体检</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82"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2"/>
                <w:szCs w:val="22"/>
              </w:rPr>
            </w:pPr>
            <w:r>
              <w:rPr>
                <w:rFonts w:hint="eastAsia" w:ascii="微软雅黑" w:hAnsi="微软雅黑" w:eastAsia="微软雅黑"/>
                <w:sz w:val="22"/>
                <w:szCs w:val="22"/>
              </w:rPr>
              <w:t>没有给作业人员配备合格适用的劳动防护用品并督促其正确使用</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500元/人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2"/>
                <w:szCs w:val="22"/>
              </w:rPr>
            </w:pPr>
            <w:r>
              <w:rPr>
                <w:rFonts w:hint="eastAsia" w:ascii="微软雅黑" w:hAnsi="微软雅黑" w:eastAsia="微软雅黑"/>
                <w:sz w:val="22"/>
                <w:szCs w:val="22"/>
              </w:rPr>
              <w:t>安排有职业禁忌或职业病人员从事其所禁忌的作业。安排未成年工从事接触职业病危害的作业；安排孕期、哺乳期的女职工从事有毒物品的作业及其他国家禁止进行的作业。</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82"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2"/>
                <w:szCs w:val="22"/>
              </w:rPr>
            </w:pPr>
            <w:r>
              <w:rPr>
                <w:rFonts w:hint="eastAsia" w:ascii="微软雅黑" w:hAnsi="微软雅黑" w:eastAsia="微软雅黑"/>
                <w:sz w:val="22"/>
                <w:szCs w:val="22"/>
              </w:rPr>
              <w:t>机械、电器设备和线路不符合有关安全技术规定要求</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82"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2"/>
                <w:szCs w:val="22"/>
              </w:rPr>
            </w:pPr>
            <w:r>
              <w:rPr>
                <w:rFonts w:hint="eastAsia" w:ascii="微软雅黑" w:hAnsi="微软雅黑" w:eastAsia="微软雅黑"/>
                <w:sz w:val="22"/>
                <w:szCs w:val="22"/>
              </w:rPr>
              <w:t>特种设备未按期校验或校验不合格仍继续使用</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82"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2"/>
                <w:szCs w:val="22"/>
              </w:rPr>
            </w:pPr>
            <w:r>
              <w:rPr>
                <w:rFonts w:hint="eastAsia" w:ascii="微软雅黑" w:hAnsi="微软雅黑" w:eastAsia="微软雅黑"/>
                <w:sz w:val="22"/>
                <w:szCs w:val="22"/>
              </w:rPr>
              <w:t>安全设施设备、特种设备未按要求检查、维保</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2"/>
                <w:szCs w:val="22"/>
              </w:rPr>
            </w:pPr>
            <w:r>
              <w:rPr>
                <w:rFonts w:hint="eastAsia" w:ascii="微软雅黑" w:hAnsi="微软雅黑" w:eastAsia="微软雅黑"/>
                <w:sz w:val="22"/>
                <w:szCs w:val="22"/>
              </w:rPr>
              <w:t>物品放置、设备布置和各类临时设施不符合安全、消防要求。占用消防安全通道，影响安全设备设施的正常使用。</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2"/>
                <w:szCs w:val="22"/>
              </w:rPr>
            </w:pPr>
            <w:r>
              <w:rPr>
                <w:rFonts w:hint="eastAsia" w:ascii="微软雅黑" w:hAnsi="微软雅黑" w:eastAsia="微软雅黑"/>
                <w:sz w:val="22"/>
                <w:szCs w:val="22"/>
              </w:rPr>
              <w:t>从事各种活动时，未遵守企业安全生产要求，未制订可靠的安全防范措施</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82"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2"/>
                <w:szCs w:val="22"/>
              </w:rPr>
            </w:pPr>
            <w:r>
              <w:rPr>
                <w:rFonts w:hint="eastAsia" w:ascii="微软雅黑" w:hAnsi="微软雅黑" w:eastAsia="微软雅黑"/>
                <w:sz w:val="22"/>
                <w:szCs w:val="22"/>
              </w:rPr>
              <w:t>违章指挥</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82"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2"/>
                <w:szCs w:val="22"/>
              </w:rPr>
            </w:pPr>
            <w:r>
              <w:rPr>
                <w:rFonts w:hint="eastAsia" w:ascii="微软雅黑" w:hAnsi="微软雅黑" w:eastAsia="微软雅黑"/>
                <w:sz w:val="22"/>
                <w:szCs w:val="22"/>
              </w:rPr>
              <w:t>违章作业、违反劳动纪律</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500元/人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82"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2"/>
                <w:szCs w:val="22"/>
              </w:rPr>
            </w:pPr>
            <w:r>
              <w:rPr>
                <w:rFonts w:hint="eastAsia" w:ascii="微软雅黑" w:hAnsi="微软雅黑" w:eastAsia="微软雅黑"/>
                <w:sz w:val="22"/>
                <w:szCs w:val="22"/>
              </w:rPr>
              <w:t>未经常组织安全学习活动，不按规定进行安全检查</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2"/>
                <w:szCs w:val="22"/>
              </w:rPr>
            </w:pPr>
            <w:r>
              <w:rPr>
                <w:rFonts w:hint="eastAsia" w:ascii="微软雅黑" w:hAnsi="微软雅黑" w:eastAsia="微软雅黑"/>
                <w:sz w:val="22"/>
                <w:szCs w:val="22"/>
              </w:rPr>
              <w:t>未积极配合公司组织的安全环保检查和应急演练等主题活动</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2"/>
                <w:szCs w:val="22"/>
              </w:rPr>
            </w:pPr>
            <w:r>
              <w:rPr>
                <w:rFonts w:hint="eastAsia" w:ascii="微软雅黑" w:hAnsi="微软雅黑" w:eastAsia="微软雅黑"/>
                <w:sz w:val="22"/>
                <w:szCs w:val="22"/>
              </w:rPr>
              <w:t>安全检查、隐患排查治理未进行，未保存相关记录，未按照要求反馈整改结果</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39"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2"/>
                <w:szCs w:val="22"/>
              </w:rPr>
            </w:pPr>
            <w:r>
              <w:rPr>
                <w:rFonts w:hint="eastAsia" w:ascii="微软雅黑" w:hAnsi="微软雅黑" w:eastAsia="微软雅黑"/>
                <w:sz w:val="22"/>
                <w:szCs w:val="22"/>
              </w:rPr>
              <w:t>不能按期整改事故隐患</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39"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2"/>
                <w:szCs w:val="22"/>
              </w:rPr>
            </w:pPr>
            <w:r>
              <w:rPr>
                <w:rFonts w:hint="eastAsia" w:ascii="微软雅黑" w:hAnsi="微软雅黑" w:eastAsia="微软雅黑"/>
                <w:sz w:val="22"/>
                <w:szCs w:val="22"/>
              </w:rPr>
              <w:t>隐患整改弄虚作假</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39"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2"/>
                <w:szCs w:val="22"/>
              </w:rPr>
            </w:pPr>
            <w:r>
              <w:rPr>
                <w:rFonts w:hint="eastAsia" w:ascii="微软雅黑" w:hAnsi="微软雅黑" w:eastAsia="微软雅黑"/>
                <w:sz w:val="22"/>
                <w:szCs w:val="22"/>
              </w:rPr>
              <w:t>未进行安全教育即上岗作业或不能提供有效培训记录</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39"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2"/>
                <w:szCs w:val="22"/>
              </w:rPr>
            </w:pPr>
            <w:r>
              <w:rPr>
                <w:rFonts w:hint="eastAsia" w:ascii="微软雅黑" w:hAnsi="微软雅黑" w:eastAsia="微软雅黑"/>
                <w:sz w:val="22"/>
                <w:szCs w:val="22"/>
              </w:rPr>
              <w:t>擅自更换项目负责人、安全管理人员</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39"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2"/>
                <w:szCs w:val="22"/>
              </w:rPr>
            </w:pPr>
            <w:r>
              <w:rPr>
                <w:rFonts w:hint="eastAsia" w:ascii="微软雅黑" w:hAnsi="微软雅黑" w:eastAsia="微软雅黑"/>
                <w:sz w:val="22"/>
                <w:szCs w:val="22"/>
              </w:rPr>
              <w:t>从事非法经营或者其它违法活动；擅自转租</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50000元/次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680"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2"/>
                <w:szCs w:val="22"/>
              </w:rPr>
            </w:pPr>
            <w:r>
              <w:rPr>
                <w:rFonts w:hint="eastAsia" w:ascii="微软雅黑" w:hAnsi="微软雅黑" w:eastAsia="微软雅黑"/>
                <w:sz w:val="22"/>
                <w:szCs w:val="22"/>
              </w:rPr>
              <w:t>擅自将承包项目分包或转包他人；分包或转包不具备安全生产条件的单位和个人</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50000元/次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82"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 w:val="22"/>
                <w:szCs w:val="22"/>
              </w:rPr>
            </w:pPr>
            <w:r>
              <w:rPr>
                <w:rFonts w:hint="eastAsia" w:ascii="微软雅黑" w:hAnsi="微软雅黑" w:eastAsia="微软雅黑"/>
                <w:sz w:val="22"/>
                <w:szCs w:val="22"/>
              </w:rPr>
              <w:t>擅自搭建、改建、改变场所和房屋使用性质</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82"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发生不安全情况或人身伤亡事故，相关方未立即报告相关方主管部门和安全环保部门</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82"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发生重伤事故</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10000-30000元/次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82"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发生死亡事故</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30000-50000元/次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82"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对事故情况瞒报、谎报、弄虚作假</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20000元/次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82"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未及时组织抢救伤员，未保护好现场</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20000元/次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82" w:hRule="atLeast"/>
          <w:jc w:val="center"/>
        </w:trPr>
        <w:tc>
          <w:tcPr>
            <w:tcW w:w="116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施工管理</w:t>
            </w: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未制定施工安全技术方案，就进行现场施工</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82"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未在施工现场设置必要的HSE标志</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82"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未经施工主管部门同意，擅自开展施工业务</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82"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施工前未进行安全技术交底</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82"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出现影响其他部门或人员安全行为未提前告知或采取防护措施</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82"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施工人员不了解周围环境和作业对象的危险性和应急措施</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82"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未按规定着装或佩戴劳动保护用品，从事与工作无关的事情</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200元/次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82"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施工作业期间，未按要求挂牌上锁</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82"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安全不明仍冒险作业，擅自动用未经许可的工具、设备和其它装置</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未经施工主管部门同意，动用或拆除公司水、电、蒸汽、机电、设备、仪表、工艺装置、建筑物、地面、预留孔盖板，各类安全装置</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洞口、坑、沟、临边未采取安全护栏、封闭盖板或其他防护措施的；防护措施不完善</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生活垃圾、施工垃圾随意丢弃、处理不当</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680"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使用登高设施作业，登高设施安全防护措施缺失、下方无人监护</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 xml:space="preserve">危险作业未事先办理作业施工许可，未严格按照施工方案进行施工 </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未经相关部门同意擅自使用消防水</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人员管理</w:t>
            </w: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入场作业人员未接受三级安全教育培训</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500元/人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项目负责人、专职安全管理人员、特种设备操作、特种作业人员未持证上岗或证件过期、伪造</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82"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发生群体性事件</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82"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违法公司门卫管理制度，车辆进出拒绝检查</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82"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存在酒后作业或其他不适宜作业行为</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设备设施管理</w:t>
            </w: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防护、保险、信号等装置缺乏或有缺陷：无防护罩、无安全保险装置、无报警装置、无安全标志、无护栏或护栏损坏、（电气）未接地、防护罩未在适当位置、防护装置调整不当、作业安全距离不够等</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设备、设施、工具、附件有缺陷：设备在非正常状态下运行；维修、调整不良，强度不足</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电线电缆破皮、裸露，存在触电危险</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临时电源线采用仅有绝缘层的电线，未使用电缆线或护套软线；临时电盘无漏电保护开关或漏电保护开关失效；用电设备及电盘金属外壳未接保护线；电工作业且未采取停电挂牌、验电、绝缘鞋等安全措施</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使用明令禁止的设备设施，存在重大隐患仍继续使用</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危险作业未使用或正确使用安全带、安全帽、防护面罩等安全防护用品</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损坏、挪用消防器材，使用后未及时上报更换</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新安装设备(施)，或机动车辆，未经安全验收就进行生产作业</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环境健康管理</w:t>
            </w: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职业危害防护设备设施、环保治理设备设施及安全防护设备设施未正常运行</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82"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现场作业脏乱差</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82"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发生环境污染事件（大气、水体、土壤污染）</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82"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危险废物违规处理</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作业管理</w:t>
            </w: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操作错误，造成安全装置失效</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物体（指成品、半成品、材料、工具、切屑和生产用品等）存放不符合安全、环保要求</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 xml:space="preserve">未经许可进入有限空间；在起吊物、吊臂下作业、停留、穿行；机器运转时加油、修理、检查、调整、焊接、清扫等作业；调整、检修、清扫设备时未切断电源，测量工件时未停车等 </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操作特种设备或特种作业人员违反安全操作规程</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7"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违规穿戴：留长发、披发、发辫而不戴工作帽或不将发辫塞入帽内</w:t>
            </w:r>
            <w:r>
              <w:rPr>
                <w:rFonts w:hint="eastAsia" w:ascii="微软雅黑" w:hAnsi="微软雅黑" w:eastAsia="微软雅黑" w:cs="宋体"/>
                <w:kern w:val="0"/>
                <w:sz w:val="22"/>
                <w:szCs w:val="22"/>
              </w:rPr>
              <w:t>；戴手套操作旋转机床；穿化纤服装进入易燃易爆作业场所</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82"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在禁火区抽烟，擅自动火</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82"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挥发类、腐蚀类及易燃类化学品使用后未封闭存放</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82"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电线私拉乱接</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82"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厂内机动车辆未按规定载人、载物；机动车辆行驶时，进行上、下及抛掷物品</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82"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高空作业时，任意掷扔物件，不设警戒，无监护人</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82"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检修电气设备(施)时未停电、验电、接地及挂牌操作</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82"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微软雅黑" w:hAnsi="微软雅黑" w:eastAsia="微软雅黑"/>
                <w:sz w:val="22"/>
                <w:szCs w:val="22"/>
              </w:rPr>
            </w:pPr>
            <w:r>
              <w:rPr>
                <w:rFonts w:hint="eastAsia" w:ascii="微软雅黑" w:hAnsi="微软雅黑" w:eastAsia="微软雅黑"/>
                <w:sz w:val="22"/>
                <w:szCs w:val="22"/>
              </w:rPr>
              <w:t>其它</w:t>
            </w:r>
          </w:p>
        </w:tc>
        <w:tc>
          <w:tcPr>
            <w:tcW w:w="750"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jc w:val="right"/>
              <w:rPr>
                <w:rFonts w:ascii="微软雅黑" w:hAnsi="微软雅黑" w:eastAsia="微软雅黑" w:cs="等线"/>
                <w:kern w:val="0"/>
                <w:sz w:val="22"/>
                <w:szCs w:val="22"/>
              </w:rPr>
            </w:pPr>
          </w:p>
        </w:tc>
        <w:tc>
          <w:tcPr>
            <w:tcW w:w="5542"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2"/>
                <w:szCs w:val="22"/>
              </w:rPr>
            </w:pPr>
            <w:r>
              <w:rPr>
                <w:rFonts w:hint="eastAsia" w:ascii="微软雅黑" w:hAnsi="微软雅黑" w:eastAsia="微软雅黑"/>
                <w:sz w:val="22"/>
                <w:szCs w:val="22"/>
              </w:rPr>
              <w:t>其它不符合安全环保职业健康要求事项</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微软雅黑" w:hAnsi="微软雅黑" w:eastAsia="微软雅黑"/>
                <w:sz w:val="22"/>
                <w:szCs w:val="22"/>
              </w:rPr>
            </w:pPr>
            <w:r>
              <w:rPr>
                <w:rFonts w:hint="eastAsia" w:ascii="微软雅黑" w:hAnsi="微软雅黑" w:eastAsia="微软雅黑"/>
                <w:sz w:val="22"/>
                <w:szCs w:val="22"/>
              </w:rPr>
              <w:t>500元/次</w:t>
            </w:r>
          </w:p>
        </w:tc>
      </w:tr>
    </w:tbl>
    <w:p>
      <w:pPr>
        <w:pStyle w:val="38"/>
        <w:rPr>
          <w:rFonts w:ascii="微软雅黑" w:hAnsi="微软雅黑" w:eastAsia="微软雅黑" w:cs="微软雅黑"/>
          <w:color w:val="auto"/>
        </w:rPr>
      </w:pPr>
    </w:p>
    <w:p>
      <w:pPr>
        <w:pStyle w:val="25"/>
        <w:adjustRightInd w:val="0"/>
        <w:snapToGrid w:val="0"/>
        <w:spacing w:before="0" w:after="0"/>
        <w:rPr>
          <w:rFonts w:cs="微软雅黑"/>
          <w:sz w:val="24"/>
          <w:szCs w:val="24"/>
        </w:rPr>
      </w:pPr>
    </w:p>
    <w:p>
      <w:pPr>
        <w:pStyle w:val="25"/>
        <w:adjustRightInd w:val="0"/>
        <w:snapToGrid w:val="0"/>
        <w:spacing w:before="0" w:after="0"/>
        <w:rPr>
          <w:rFonts w:cs="微软雅黑"/>
          <w:sz w:val="24"/>
          <w:szCs w:val="24"/>
        </w:rPr>
      </w:pPr>
    </w:p>
    <w:p>
      <w:pPr>
        <w:pStyle w:val="25"/>
        <w:adjustRightInd w:val="0"/>
        <w:snapToGrid w:val="0"/>
        <w:spacing w:before="0" w:after="0"/>
        <w:rPr>
          <w:rFonts w:cs="微软雅黑"/>
          <w:sz w:val="24"/>
          <w:szCs w:val="24"/>
        </w:rPr>
      </w:pPr>
    </w:p>
    <w:p>
      <w:pPr>
        <w:pStyle w:val="25"/>
        <w:adjustRightInd w:val="0"/>
        <w:snapToGrid w:val="0"/>
        <w:spacing w:before="0" w:after="0"/>
        <w:rPr>
          <w:rFonts w:cs="微软雅黑"/>
          <w:sz w:val="24"/>
          <w:szCs w:val="24"/>
        </w:rPr>
      </w:pPr>
    </w:p>
    <w:p>
      <w:pPr>
        <w:pStyle w:val="25"/>
        <w:adjustRightInd w:val="0"/>
        <w:snapToGrid w:val="0"/>
        <w:spacing w:before="0" w:after="0"/>
        <w:rPr>
          <w:rFonts w:cs="微软雅黑"/>
          <w:sz w:val="24"/>
          <w:szCs w:val="24"/>
        </w:rPr>
      </w:pPr>
    </w:p>
    <w:p>
      <w:pPr>
        <w:pStyle w:val="25"/>
        <w:adjustRightInd w:val="0"/>
        <w:snapToGrid w:val="0"/>
        <w:spacing w:before="0" w:after="0"/>
        <w:rPr>
          <w:rFonts w:cs="微软雅黑"/>
          <w:sz w:val="24"/>
          <w:szCs w:val="24"/>
        </w:rPr>
      </w:pPr>
    </w:p>
    <w:p/>
    <w:p/>
    <w:p/>
    <w:p/>
    <w:p>
      <w:pPr>
        <w:rPr>
          <w:rFonts w:ascii="微软雅黑" w:hAnsi="微软雅黑" w:eastAsia="微软雅黑"/>
          <w:sz w:val="24"/>
        </w:rPr>
      </w:pPr>
      <w:r>
        <w:rPr>
          <w:rFonts w:hint="eastAsia" w:ascii="微软雅黑" w:hAnsi="微软雅黑" w:eastAsia="微软雅黑"/>
          <w:sz w:val="24"/>
        </w:rPr>
        <w:t>附件</w:t>
      </w:r>
      <w:r>
        <w:rPr>
          <w:rFonts w:hint="eastAsia" w:ascii="微软雅黑" w:hAnsi="微软雅黑" w:eastAsia="微软雅黑"/>
          <w:sz w:val="24"/>
          <w:lang w:val="en-US" w:eastAsia="zh-CN"/>
        </w:rPr>
        <w:t>3</w:t>
      </w:r>
      <w:r>
        <w:rPr>
          <w:rFonts w:hint="eastAsia" w:ascii="微软雅黑" w:hAnsi="微软雅黑" w:eastAsia="微软雅黑"/>
          <w:sz w:val="24"/>
        </w:rPr>
        <w:t>、</w:t>
      </w:r>
      <w:r>
        <w:rPr>
          <w:rFonts w:hint="eastAsia" w:ascii="微软雅黑" w:hAnsi="微软雅黑" w:eastAsia="微软雅黑" w:cs="微软雅黑"/>
          <w:sz w:val="24"/>
          <w:szCs w:val="24"/>
        </w:rPr>
        <w:t>技术协议</w:t>
      </w:r>
    </w:p>
    <w:p/>
    <w:p/>
    <w:p>
      <w:pPr>
        <w:sectPr>
          <w:headerReference r:id="rId5" w:type="first"/>
          <w:footerReference r:id="rId8" w:type="first"/>
          <w:headerReference r:id="rId3" w:type="default"/>
          <w:footerReference r:id="rId6" w:type="default"/>
          <w:headerReference r:id="rId4" w:type="even"/>
          <w:footerReference r:id="rId7" w:type="even"/>
          <w:pgSz w:w="11905" w:h="16838"/>
          <w:pgMar w:top="1191" w:right="1417" w:bottom="1191" w:left="1417" w:header="624" w:footer="850" w:gutter="0"/>
          <w:cols w:space="0" w:num="1"/>
          <w:titlePg/>
          <w:docGrid w:linePitch="435" w:charSpace="0"/>
        </w:sectPr>
      </w:pPr>
    </w:p>
    <w:p>
      <w:pPr>
        <w:pStyle w:val="46"/>
        <w:ind w:left="0" w:firstLine="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附件4：价格清单</w:t>
      </w:r>
    </w:p>
    <w:tbl>
      <w:tblPr>
        <w:tblStyle w:val="29"/>
        <w:tblW w:w="140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5"/>
        <w:gridCol w:w="5880"/>
        <w:gridCol w:w="922"/>
        <w:gridCol w:w="922"/>
        <w:gridCol w:w="922"/>
        <w:gridCol w:w="1913"/>
        <w:gridCol w:w="2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403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b/>
                <w:bCs/>
                <w:i w:val="0"/>
                <w:iCs w:val="0"/>
                <w:color w:val="000000"/>
                <w:sz w:val="28"/>
                <w:szCs w:val="28"/>
                <w:u w:val="none"/>
                <w:lang w:val="en-US"/>
              </w:rPr>
            </w:pPr>
            <w:r>
              <w:rPr>
                <w:rFonts w:hint="eastAsia" w:ascii="宋体" w:hAnsi="宋体"/>
                <w:b/>
                <w:bCs/>
                <w:kern w:val="0"/>
                <w:sz w:val="28"/>
                <w:szCs w:val="28"/>
                <w:u w:val="single"/>
                <w:lang w:eastAsia="zh-CN"/>
              </w:rPr>
              <w:t>百色百矿发电有限公司2024年度#2机组检修各类阀门内漏外委维修项目</w:t>
            </w:r>
            <w:r>
              <w:rPr>
                <w:rFonts w:hint="eastAsia" w:ascii="宋体" w:hAnsi="宋体" w:eastAsia="楷体_GB2312" w:cs="Times New Roman"/>
                <w:b/>
                <w:bCs/>
                <w:i w:val="0"/>
                <w:iCs w:val="0"/>
                <w:kern w:val="0"/>
                <w:sz w:val="28"/>
                <w:szCs w:val="28"/>
                <w:u w:val="single"/>
                <w:lang w:val="en-US" w:eastAsia="zh-CN" w:bidi="ar"/>
              </w:rPr>
              <w:t>价格清单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工日</w:t>
            </w: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w:t>
            </w: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center" w:pos="1126"/>
                <w:tab w:val="right" w:pos="2133"/>
              </w:tabs>
              <w:jc w:val="center"/>
              <w:textAlignment w:val="bottom"/>
              <w:rPr>
                <w:rFonts w:hint="default"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5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5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5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sz w:val="21"/>
                <w:szCs w:val="21"/>
                <w:u w:val="none"/>
                <w:lang w:val="en-US"/>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sz w:val="21"/>
                <w:szCs w:val="21"/>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w:t>
            </w: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590"/>
                <w:tab w:val="center" w:pos="896"/>
              </w:tabs>
              <w:jc w:val="center"/>
              <w:textAlignment w:val="bottom"/>
              <w:rPr>
                <w:rFonts w:hint="default" w:ascii="宋体" w:hAnsi="宋体" w:eastAsia="宋体" w:cs="宋体"/>
                <w:b/>
                <w:bCs/>
                <w:i w:val="0"/>
                <w:iCs w:val="0"/>
                <w:color w:val="000000"/>
                <w:sz w:val="24"/>
                <w:szCs w:val="24"/>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宋体" w:hAnsi="宋体" w:eastAsia="宋体" w:cs="宋体"/>
                <w:i w:val="0"/>
                <w:iCs w:val="0"/>
                <w:color w:val="000000"/>
                <w:sz w:val="21"/>
                <w:szCs w:val="21"/>
                <w:u w:val="none"/>
                <w:lang w:val="en-US"/>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bottom"/>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5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b/>
                <w:bCs/>
                <w:i w:val="0"/>
                <w:iCs w:val="0"/>
                <w:color w:val="000000"/>
                <w:sz w:val="21"/>
                <w:szCs w:val="21"/>
                <w:u w:val="none"/>
              </w:rPr>
            </w:pPr>
            <w:r>
              <w:rPr>
                <w:rFonts w:hint="eastAsia" w:ascii="微软雅黑" w:hAnsi="微软雅黑" w:eastAsia="微软雅黑" w:cs="微软雅黑"/>
                <w:b/>
                <w:bCs/>
                <w:i w:val="0"/>
                <w:iCs w:val="0"/>
                <w:color w:val="000000"/>
                <w:kern w:val="0"/>
                <w:sz w:val="21"/>
                <w:szCs w:val="21"/>
                <w:u w:val="none"/>
                <w:lang w:val="en-US" w:eastAsia="zh-CN" w:bidi="ar"/>
              </w:rPr>
              <w:t>三</w:t>
            </w: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b/>
                <w:bCs/>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b/>
                <w:bCs/>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b/>
                <w:bCs/>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b/>
                <w:bCs/>
                <w:i w:val="0"/>
                <w:iCs w:val="0"/>
                <w:color w:val="000000"/>
                <w:sz w:val="21"/>
                <w:szCs w:val="21"/>
                <w:u w:val="none"/>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b/>
                <w:bCs/>
                <w:i w:val="0"/>
                <w:iCs w:val="0"/>
                <w:color w:val="000000"/>
                <w:sz w:val="21"/>
                <w:szCs w:val="21"/>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微软雅黑" w:hAnsi="微软雅黑" w:eastAsia="微软雅黑" w:cs="微软雅黑"/>
                <w:b/>
                <w:bCs/>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bottom"/>
              <w:rPr>
                <w:rFonts w:hint="eastAsia" w:ascii="微软雅黑" w:hAnsi="微软雅黑" w:eastAsia="微软雅黑" w:cs="微软雅黑"/>
                <w:b w:val="0"/>
                <w:bCs w:val="0"/>
                <w:i w:val="0"/>
                <w:iCs w:val="0"/>
                <w:color w:val="000000"/>
                <w:sz w:val="21"/>
                <w:szCs w:val="21"/>
                <w:u w:val="none"/>
              </w:rPr>
            </w:pPr>
            <w:r>
              <w:rPr>
                <w:rFonts w:hint="eastAsia" w:ascii="微软雅黑" w:hAnsi="微软雅黑" w:eastAsia="微软雅黑" w:cs="微软雅黑"/>
                <w:b w:val="0"/>
                <w:bCs w:val="0"/>
                <w:i w:val="0"/>
                <w:iCs w:val="0"/>
                <w:color w:val="000000"/>
                <w:kern w:val="0"/>
                <w:sz w:val="21"/>
                <w:szCs w:val="21"/>
                <w:u w:val="none"/>
                <w:lang w:val="en-US" w:eastAsia="zh-CN" w:bidi="ar"/>
              </w:rPr>
              <w:t>1</w:t>
            </w:r>
          </w:p>
        </w:tc>
        <w:tc>
          <w:tcPr>
            <w:tcW w:w="5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微软雅黑" w:hAnsi="微软雅黑" w:eastAsia="微软雅黑" w:cs="微软雅黑"/>
                <w:b w:val="0"/>
                <w:bCs w:val="0"/>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b w:val="0"/>
                <w:bCs w:val="0"/>
                <w:i w:val="0"/>
                <w:iCs w:val="0"/>
                <w:color w:val="000000"/>
                <w:sz w:val="21"/>
                <w:szCs w:val="21"/>
                <w:u w:val="none"/>
                <w:lang w:val="en-US"/>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b w:val="0"/>
                <w:bCs w:val="0"/>
                <w:i w:val="0"/>
                <w:iCs w:val="0"/>
                <w:color w:val="000000"/>
                <w:sz w:val="21"/>
                <w:szCs w:val="21"/>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b w:val="0"/>
                <w:bCs w:val="0"/>
                <w:i w:val="0"/>
                <w:iCs w:val="0"/>
                <w:color w:val="000000"/>
                <w:sz w:val="21"/>
                <w:szCs w:val="21"/>
                <w:u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微软雅黑" w:hAnsi="微软雅黑" w:eastAsia="微软雅黑" w:cs="微软雅黑"/>
                <w:b w:val="0"/>
                <w:bCs w:val="0"/>
                <w:i w:val="0"/>
                <w:iCs w:val="0"/>
                <w:color w:val="000000"/>
                <w:sz w:val="21"/>
                <w:szCs w:val="21"/>
                <w:u w:val="none"/>
                <w:lang w:val="en-US" w:eastAsia="zh-CN"/>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b w:val="0"/>
                <w:bCs w:val="0"/>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6" w:hRule="atLeast"/>
        </w:trPr>
        <w:tc>
          <w:tcPr>
            <w:tcW w:w="6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b w:val="0"/>
                <w:bCs w:val="0"/>
                <w:i w:val="0"/>
                <w:iCs w:val="0"/>
                <w:color w:val="000000"/>
                <w:sz w:val="28"/>
                <w:szCs w:val="28"/>
                <w:u w:val="none"/>
                <w:lang w:val="en-US" w:eastAsia="zh-CN"/>
              </w:rPr>
            </w:pPr>
            <w:r>
              <w:rPr>
                <w:rFonts w:hint="eastAsia" w:ascii="微软雅黑" w:hAnsi="微软雅黑" w:eastAsia="微软雅黑" w:cs="微软雅黑"/>
                <w:b w:val="0"/>
                <w:bCs w:val="0"/>
                <w:i w:val="0"/>
                <w:iCs w:val="0"/>
                <w:color w:val="000000"/>
                <w:kern w:val="0"/>
                <w:sz w:val="28"/>
                <w:szCs w:val="28"/>
                <w:u w:val="none"/>
                <w:lang w:val="en-US" w:eastAsia="zh-CN" w:bidi="ar"/>
              </w:rPr>
              <w:t>合计</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b w:val="0"/>
                <w:bCs w:val="0"/>
                <w:i w:val="0"/>
                <w:iCs w:val="0"/>
                <w:color w:val="000000"/>
                <w:kern w:val="0"/>
                <w:sz w:val="28"/>
                <w:szCs w:val="2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微软雅黑" w:hAnsi="微软雅黑" w:eastAsia="微软雅黑" w:cs="微软雅黑"/>
                <w:b w:val="0"/>
                <w:bCs w:val="0"/>
                <w:i w:val="0"/>
                <w:iCs w:val="0"/>
                <w:color w:val="000000"/>
                <w:kern w:val="0"/>
                <w:sz w:val="28"/>
                <w:szCs w:val="28"/>
                <w:u w:val="none"/>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b w:val="0"/>
                <w:bCs w:val="0"/>
                <w:i w:val="0"/>
                <w:iCs w:val="0"/>
                <w:color w:val="000000"/>
                <w:sz w:val="28"/>
                <w:szCs w:val="28"/>
                <w:u w:val="none"/>
                <w:lang w:val="en-US" w:eastAsia="zh-CN"/>
              </w:rPr>
            </w:pPr>
          </w:p>
        </w:tc>
        <w:tc>
          <w:tcPr>
            <w:tcW w:w="1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b w:val="0"/>
                <w:bCs w:val="0"/>
                <w:i w:val="0"/>
                <w:iCs w:val="0"/>
                <w:color w:val="000000"/>
                <w:sz w:val="28"/>
                <w:szCs w:val="28"/>
                <w:u w:val="none"/>
                <w:lang w:val="en-US" w:eastAsia="zh-CN"/>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微软雅黑" w:hAnsi="微软雅黑" w:eastAsia="微软雅黑" w:cs="微软雅黑"/>
                <w:b w:val="0"/>
                <w:bCs w:val="0"/>
                <w:i w:val="0"/>
                <w:iCs w:val="0"/>
                <w:color w:val="000000"/>
                <w:sz w:val="28"/>
                <w:szCs w:val="28"/>
                <w:u w:val="none"/>
                <w:lang w:val="en-US" w:eastAsia="zh-CN"/>
              </w:rPr>
            </w:pPr>
          </w:p>
        </w:tc>
      </w:tr>
    </w:tbl>
    <w:p>
      <w:pPr>
        <w:pStyle w:val="38"/>
        <w:rPr>
          <w:rFonts w:hint="eastAsia"/>
          <w:lang w:eastAsia="zh-CN"/>
        </w:rPr>
      </w:pPr>
    </w:p>
    <w:sectPr>
      <w:pgSz w:w="16838" w:h="11905" w:orient="landscape"/>
      <w:pgMar w:top="1417" w:right="1191" w:bottom="1417" w:left="1191" w:header="624" w:footer="850" w:gutter="0"/>
      <w:cols w:space="0" w:num="1"/>
      <w:titlePg/>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23</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both"/>
      <w:rPr>
        <w:sz w:val="21"/>
      </w:rPr>
    </w:pPr>
    <w:r>
      <w:drawing>
        <wp:inline distT="0" distB="0" distL="114300" distR="114300">
          <wp:extent cx="1304925" cy="314325"/>
          <wp:effectExtent l="0" t="0" r="9525" b="9525"/>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pic:cNvPicPr>
                </pic:nvPicPr>
                <pic:blipFill>
                  <a:blip r:embed="rId1"/>
                  <a:stretch>
                    <a:fillRect/>
                  </a:stretch>
                </pic:blipFill>
                <pic:spPr>
                  <a:xfrm>
                    <a:off x="0" y="0"/>
                    <a:ext cx="1304925" cy="314325"/>
                  </a:xfrm>
                  <a:prstGeom prst="rect">
                    <a:avLst/>
                  </a:prstGeom>
                  <a:noFill/>
                  <a:ln w="9525">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jc w:val="left"/>
    </w:pPr>
    <w:r>
      <w:drawing>
        <wp:inline distT="0" distB="0" distL="114300" distR="114300">
          <wp:extent cx="1304925" cy="314325"/>
          <wp:effectExtent l="0" t="0" r="5715" b="5715"/>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1"/>
                  <a:stretch>
                    <a:fillRect/>
                  </a:stretch>
                </pic:blipFill>
                <pic:spPr>
                  <a:xfrm>
                    <a:off x="0" y="0"/>
                    <a:ext cx="1304925" cy="314325"/>
                  </a:xfrm>
                  <a:prstGeom prst="rect">
                    <a:avLst/>
                  </a:prstGeom>
                  <a:noFill/>
                  <a:ln w="9525">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r>
      <w:drawing>
        <wp:inline distT="0" distB="0" distL="114300" distR="114300">
          <wp:extent cx="1304925" cy="314325"/>
          <wp:effectExtent l="0" t="0" r="9525" b="9525"/>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1"/>
                  <a:stretch>
                    <a:fillRect/>
                  </a:stretch>
                </pic:blipFill>
                <pic:spPr>
                  <a:xfrm>
                    <a:off x="0" y="0"/>
                    <a:ext cx="1304925" cy="314325"/>
                  </a:xfrm>
                  <a:prstGeom prst="rect">
                    <a:avLst/>
                  </a:prstGeom>
                  <a:noFill/>
                  <a:ln w="9525">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D2CAEA"/>
    <w:multiLevelType w:val="singleLevel"/>
    <w:tmpl w:val="A3D2CAEA"/>
    <w:lvl w:ilvl="0" w:tentative="0">
      <w:start w:val="4"/>
      <w:numFmt w:val="chineseCounting"/>
      <w:suff w:val="space"/>
      <w:lvlText w:val="第%1条"/>
      <w:lvlJc w:val="left"/>
      <w:rPr>
        <w:rFonts w:hint="eastAsia"/>
      </w:rPr>
    </w:lvl>
  </w:abstractNum>
  <w:abstractNum w:abstractNumId="1">
    <w:nsid w:val="534D737C"/>
    <w:multiLevelType w:val="multilevel"/>
    <w:tmpl w:val="534D73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6"/>
  <w:evenAndOddHeaders w:val="1"/>
  <w:drawingGridHorizontalSpacing w:val="320"/>
  <w:drawingGridVerticalSpacing w:val="-794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mNTY1OTg5NTQwOTYzNWU5MDBkMzAyM2I0ZDhiODkifQ=="/>
  </w:docVars>
  <w:rsids>
    <w:rsidRoot w:val="00172A27"/>
    <w:rsid w:val="0001613F"/>
    <w:rsid w:val="0002519D"/>
    <w:rsid w:val="00031B82"/>
    <w:rsid w:val="00034000"/>
    <w:rsid w:val="000366E9"/>
    <w:rsid w:val="00041C80"/>
    <w:rsid w:val="00042D06"/>
    <w:rsid w:val="00045836"/>
    <w:rsid w:val="00061AA1"/>
    <w:rsid w:val="000753A9"/>
    <w:rsid w:val="00084883"/>
    <w:rsid w:val="00092FFC"/>
    <w:rsid w:val="000942C9"/>
    <w:rsid w:val="00097489"/>
    <w:rsid w:val="000A508C"/>
    <w:rsid w:val="000A7CEC"/>
    <w:rsid w:val="000B31C5"/>
    <w:rsid w:val="000B3F77"/>
    <w:rsid w:val="000C408F"/>
    <w:rsid w:val="000C6CCA"/>
    <w:rsid w:val="000D3943"/>
    <w:rsid w:val="000D4A5C"/>
    <w:rsid w:val="000D57E8"/>
    <w:rsid w:val="000D6A2B"/>
    <w:rsid w:val="000E73A0"/>
    <w:rsid w:val="001010C4"/>
    <w:rsid w:val="00107C5A"/>
    <w:rsid w:val="00120D80"/>
    <w:rsid w:val="0013080B"/>
    <w:rsid w:val="00134592"/>
    <w:rsid w:val="00151B12"/>
    <w:rsid w:val="00153A9F"/>
    <w:rsid w:val="00153BC6"/>
    <w:rsid w:val="00154150"/>
    <w:rsid w:val="00160063"/>
    <w:rsid w:val="0016103E"/>
    <w:rsid w:val="0016680D"/>
    <w:rsid w:val="00183CDA"/>
    <w:rsid w:val="00184059"/>
    <w:rsid w:val="00186247"/>
    <w:rsid w:val="00186C25"/>
    <w:rsid w:val="00193B5E"/>
    <w:rsid w:val="001A061F"/>
    <w:rsid w:val="001A0BA1"/>
    <w:rsid w:val="001B0B43"/>
    <w:rsid w:val="001B38EB"/>
    <w:rsid w:val="001B61B4"/>
    <w:rsid w:val="001C20EC"/>
    <w:rsid w:val="001C2405"/>
    <w:rsid w:val="001D013D"/>
    <w:rsid w:val="001D4B6B"/>
    <w:rsid w:val="001E582D"/>
    <w:rsid w:val="001F05D1"/>
    <w:rsid w:val="0020233B"/>
    <w:rsid w:val="00206690"/>
    <w:rsid w:val="00210EB1"/>
    <w:rsid w:val="00213F9F"/>
    <w:rsid w:val="00217639"/>
    <w:rsid w:val="002223FE"/>
    <w:rsid w:val="00222C6E"/>
    <w:rsid w:val="0023009A"/>
    <w:rsid w:val="0023107A"/>
    <w:rsid w:val="00231758"/>
    <w:rsid w:val="00242A38"/>
    <w:rsid w:val="00247A49"/>
    <w:rsid w:val="00250A78"/>
    <w:rsid w:val="00252F1E"/>
    <w:rsid w:val="00291F9A"/>
    <w:rsid w:val="002B0A26"/>
    <w:rsid w:val="002B3943"/>
    <w:rsid w:val="002D25CC"/>
    <w:rsid w:val="002D789B"/>
    <w:rsid w:val="003062DC"/>
    <w:rsid w:val="00316711"/>
    <w:rsid w:val="00317451"/>
    <w:rsid w:val="003230B2"/>
    <w:rsid w:val="003445AD"/>
    <w:rsid w:val="00347276"/>
    <w:rsid w:val="00362C77"/>
    <w:rsid w:val="00363C50"/>
    <w:rsid w:val="003747F7"/>
    <w:rsid w:val="0038270C"/>
    <w:rsid w:val="00384F1D"/>
    <w:rsid w:val="00397937"/>
    <w:rsid w:val="003B3DC3"/>
    <w:rsid w:val="003C24E7"/>
    <w:rsid w:val="003D4504"/>
    <w:rsid w:val="003E2015"/>
    <w:rsid w:val="003E5B22"/>
    <w:rsid w:val="003F541E"/>
    <w:rsid w:val="0042212E"/>
    <w:rsid w:val="00445134"/>
    <w:rsid w:val="004549F9"/>
    <w:rsid w:val="00476370"/>
    <w:rsid w:val="00486DEB"/>
    <w:rsid w:val="00491906"/>
    <w:rsid w:val="004B16BC"/>
    <w:rsid w:val="004D15A5"/>
    <w:rsid w:val="004D1A50"/>
    <w:rsid w:val="004D2549"/>
    <w:rsid w:val="004E3A21"/>
    <w:rsid w:val="004E4FE7"/>
    <w:rsid w:val="004E515C"/>
    <w:rsid w:val="004F5DC4"/>
    <w:rsid w:val="005070EB"/>
    <w:rsid w:val="00511CEA"/>
    <w:rsid w:val="0052464A"/>
    <w:rsid w:val="00525932"/>
    <w:rsid w:val="005453D8"/>
    <w:rsid w:val="0054595C"/>
    <w:rsid w:val="005478D5"/>
    <w:rsid w:val="00557BFB"/>
    <w:rsid w:val="00563C03"/>
    <w:rsid w:val="00566BA7"/>
    <w:rsid w:val="00597DE3"/>
    <w:rsid w:val="005B0152"/>
    <w:rsid w:val="005B318A"/>
    <w:rsid w:val="005C04E1"/>
    <w:rsid w:val="005C25DC"/>
    <w:rsid w:val="005D63AB"/>
    <w:rsid w:val="005E4233"/>
    <w:rsid w:val="005E4751"/>
    <w:rsid w:val="005F0ED4"/>
    <w:rsid w:val="005F28D0"/>
    <w:rsid w:val="005F6344"/>
    <w:rsid w:val="00611E91"/>
    <w:rsid w:val="00631AC7"/>
    <w:rsid w:val="00642903"/>
    <w:rsid w:val="00647D1E"/>
    <w:rsid w:val="00650C06"/>
    <w:rsid w:val="00661C4A"/>
    <w:rsid w:val="006800D3"/>
    <w:rsid w:val="00690CA8"/>
    <w:rsid w:val="00691448"/>
    <w:rsid w:val="006A0EDF"/>
    <w:rsid w:val="006A131F"/>
    <w:rsid w:val="006B30C8"/>
    <w:rsid w:val="006D046E"/>
    <w:rsid w:val="006D332A"/>
    <w:rsid w:val="006D41E2"/>
    <w:rsid w:val="006D6B57"/>
    <w:rsid w:val="006E38C0"/>
    <w:rsid w:val="006F30B5"/>
    <w:rsid w:val="006F7CC7"/>
    <w:rsid w:val="00705A41"/>
    <w:rsid w:val="007071B4"/>
    <w:rsid w:val="00711FA7"/>
    <w:rsid w:val="00733D2A"/>
    <w:rsid w:val="00742A9E"/>
    <w:rsid w:val="00742BC2"/>
    <w:rsid w:val="0074591C"/>
    <w:rsid w:val="00791FDB"/>
    <w:rsid w:val="007A416E"/>
    <w:rsid w:val="007B2ED1"/>
    <w:rsid w:val="007B6BEF"/>
    <w:rsid w:val="007B7776"/>
    <w:rsid w:val="007C0585"/>
    <w:rsid w:val="007C1FC0"/>
    <w:rsid w:val="007C4951"/>
    <w:rsid w:val="007C5BF0"/>
    <w:rsid w:val="007E546A"/>
    <w:rsid w:val="007E73FF"/>
    <w:rsid w:val="007F1A7A"/>
    <w:rsid w:val="007F63CC"/>
    <w:rsid w:val="00800E5D"/>
    <w:rsid w:val="00812179"/>
    <w:rsid w:val="008136A5"/>
    <w:rsid w:val="00813D6B"/>
    <w:rsid w:val="00823373"/>
    <w:rsid w:val="00826748"/>
    <w:rsid w:val="00827845"/>
    <w:rsid w:val="008309AC"/>
    <w:rsid w:val="008325E3"/>
    <w:rsid w:val="00854E32"/>
    <w:rsid w:val="00855AE4"/>
    <w:rsid w:val="008602A8"/>
    <w:rsid w:val="00861351"/>
    <w:rsid w:val="0086407C"/>
    <w:rsid w:val="00867B5F"/>
    <w:rsid w:val="008770F6"/>
    <w:rsid w:val="00877B45"/>
    <w:rsid w:val="0088189F"/>
    <w:rsid w:val="00895EDC"/>
    <w:rsid w:val="008A03B8"/>
    <w:rsid w:val="008A5B95"/>
    <w:rsid w:val="008B6050"/>
    <w:rsid w:val="008C1F3E"/>
    <w:rsid w:val="008C1F6D"/>
    <w:rsid w:val="008D6557"/>
    <w:rsid w:val="008E2AF3"/>
    <w:rsid w:val="008E43C1"/>
    <w:rsid w:val="008F272E"/>
    <w:rsid w:val="008F29BD"/>
    <w:rsid w:val="008F5E39"/>
    <w:rsid w:val="008F6580"/>
    <w:rsid w:val="00901C03"/>
    <w:rsid w:val="00910674"/>
    <w:rsid w:val="0091080D"/>
    <w:rsid w:val="00910A9C"/>
    <w:rsid w:val="0091356E"/>
    <w:rsid w:val="00914948"/>
    <w:rsid w:val="0092315A"/>
    <w:rsid w:val="00925C24"/>
    <w:rsid w:val="0092789A"/>
    <w:rsid w:val="00936746"/>
    <w:rsid w:val="009477A3"/>
    <w:rsid w:val="0096255C"/>
    <w:rsid w:val="009630E7"/>
    <w:rsid w:val="00971DFB"/>
    <w:rsid w:val="00973DD1"/>
    <w:rsid w:val="00976519"/>
    <w:rsid w:val="00980874"/>
    <w:rsid w:val="00994CA3"/>
    <w:rsid w:val="009A12C5"/>
    <w:rsid w:val="009A17B5"/>
    <w:rsid w:val="009B36EC"/>
    <w:rsid w:val="009B4712"/>
    <w:rsid w:val="009B53E2"/>
    <w:rsid w:val="009B5910"/>
    <w:rsid w:val="009C3C57"/>
    <w:rsid w:val="009E4110"/>
    <w:rsid w:val="009E4B7B"/>
    <w:rsid w:val="009E5EA0"/>
    <w:rsid w:val="009E7DFA"/>
    <w:rsid w:val="009F0934"/>
    <w:rsid w:val="009F64BF"/>
    <w:rsid w:val="009F6B09"/>
    <w:rsid w:val="00A1359D"/>
    <w:rsid w:val="00A14C94"/>
    <w:rsid w:val="00A22216"/>
    <w:rsid w:val="00A3082E"/>
    <w:rsid w:val="00A31C05"/>
    <w:rsid w:val="00A328D2"/>
    <w:rsid w:val="00A3513B"/>
    <w:rsid w:val="00A37238"/>
    <w:rsid w:val="00A42F9E"/>
    <w:rsid w:val="00A43414"/>
    <w:rsid w:val="00A44D60"/>
    <w:rsid w:val="00A47AEC"/>
    <w:rsid w:val="00A53444"/>
    <w:rsid w:val="00A62CE3"/>
    <w:rsid w:val="00A63148"/>
    <w:rsid w:val="00A64F5F"/>
    <w:rsid w:val="00A73237"/>
    <w:rsid w:val="00A75E3C"/>
    <w:rsid w:val="00A85597"/>
    <w:rsid w:val="00AA0D76"/>
    <w:rsid w:val="00AB4CE5"/>
    <w:rsid w:val="00AB52DC"/>
    <w:rsid w:val="00AD2224"/>
    <w:rsid w:val="00AE2579"/>
    <w:rsid w:val="00AE4717"/>
    <w:rsid w:val="00B02834"/>
    <w:rsid w:val="00B03AF2"/>
    <w:rsid w:val="00B04C50"/>
    <w:rsid w:val="00B10B5A"/>
    <w:rsid w:val="00B11BE7"/>
    <w:rsid w:val="00B22EDE"/>
    <w:rsid w:val="00B27195"/>
    <w:rsid w:val="00B4447A"/>
    <w:rsid w:val="00B5338B"/>
    <w:rsid w:val="00B61AE9"/>
    <w:rsid w:val="00B63271"/>
    <w:rsid w:val="00B76BE6"/>
    <w:rsid w:val="00B77788"/>
    <w:rsid w:val="00B83DC9"/>
    <w:rsid w:val="00B862B4"/>
    <w:rsid w:val="00B94816"/>
    <w:rsid w:val="00BA3277"/>
    <w:rsid w:val="00BC3709"/>
    <w:rsid w:val="00BD2900"/>
    <w:rsid w:val="00C209D5"/>
    <w:rsid w:val="00C2550B"/>
    <w:rsid w:val="00C34E78"/>
    <w:rsid w:val="00C454E9"/>
    <w:rsid w:val="00C501BE"/>
    <w:rsid w:val="00C52EA3"/>
    <w:rsid w:val="00C62B7B"/>
    <w:rsid w:val="00C675BD"/>
    <w:rsid w:val="00C70EAF"/>
    <w:rsid w:val="00C727C9"/>
    <w:rsid w:val="00C73206"/>
    <w:rsid w:val="00CB7A20"/>
    <w:rsid w:val="00D00593"/>
    <w:rsid w:val="00D033A2"/>
    <w:rsid w:val="00D03535"/>
    <w:rsid w:val="00D133E0"/>
    <w:rsid w:val="00D27B83"/>
    <w:rsid w:val="00D3367A"/>
    <w:rsid w:val="00D4166B"/>
    <w:rsid w:val="00D51FA3"/>
    <w:rsid w:val="00D60C4C"/>
    <w:rsid w:val="00D71321"/>
    <w:rsid w:val="00D74B8D"/>
    <w:rsid w:val="00D90321"/>
    <w:rsid w:val="00D9414C"/>
    <w:rsid w:val="00DA3B72"/>
    <w:rsid w:val="00DB7DD0"/>
    <w:rsid w:val="00DC176A"/>
    <w:rsid w:val="00DC56DD"/>
    <w:rsid w:val="00DC72D9"/>
    <w:rsid w:val="00DC7D28"/>
    <w:rsid w:val="00DD4A42"/>
    <w:rsid w:val="00DD50E3"/>
    <w:rsid w:val="00DD5601"/>
    <w:rsid w:val="00DF385F"/>
    <w:rsid w:val="00DF4C7C"/>
    <w:rsid w:val="00E02E1C"/>
    <w:rsid w:val="00E23178"/>
    <w:rsid w:val="00E2787F"/>
    <w:rsid w:val="00E32990"/>
    <w:rsid w:val="00E353C8"/>
    <w:rsid w:val="00E41728"/>
    <w:rsid w:val="00E54E39"/>
    <w:rsid w:val="00E56FEC"/>
    <w:rsid w:val="00E7059B"/>
    <w:rsid w:val="00E85F5E"/>
    <w:rsid w:val="00E93B64"/>
    <w:rsid w:val="00EA0936"/>
    <w:rsid w:val="00ED158E"/>
    <w:rsid w:val="00EE76D0"/>
    <w:rsid w:val="00EF18EB"/>
    <w:rsid w:val="00F0366A"/>
    <w:rsid w:val="00F04629"/>
    <w:rsid w:val="00F26559"/>
    <w:rsid w:val="00F34D1D"/>
    <w:rsid w:val="00F36C4F"/>
    <w:rsid w:val="00F5031B"/>
    <w:rsid w:val="00F71D1D"/>
    <w:rsid w:val="00F72416"/>
    <w:rsid w:val="00F76B15"/>
    <w:rsid w:val="00F81599"/>
    <w:rsid w:val="00F9635F"/>
    <w:rsid w:val="00F96468"/>
    <w:rsid w:val="00FD5ABD"/>
    <w:rsid w:val="00FE10BF"/>
    <w:rsid w:val="013E3B50"/>
    <w:rsid w:val="01982A2B"/>
    <w:rsid w:val="01DA3956"/>
    <w:rsid w:val="01F703B2"/>
    <w:rsid w:val="01FC0BC0"/>
    <w:rsid w:val="0233025C"/>
    <w:rsid w:val="026E6835"/>
    <w:rsid w:val="02BD75DA"/>
    <w:rsid w:val="043649DC"/>
    <w:rsid w:val="04992553"/>
    <w:rsid w:val="04A75FD5"/>
    <w:rsid w:val="04C37FBA"/>
    <w:rsid w:val="050910A3"/>
    <w:rsid w:val="0598192D"/>
    <w:rsid w:val="07391925"/>
    <w:rsid w:val="076B7100"/>
    <w:rsid w:val="083639FF"/>
    <w:rsid w:val="08827926"/>
    <w:rsid w:val="091B436A"/>
    <w:rsid w:val="093D4517"/>
    <w:rsid w:val="095963B9"/>
    <w:rsid w:val="0B50012B"/>
    <w:rsid w:val="0BB57BE7"/>
    <w:rsid w:val="0BD062B3"/>
    <w:rsid w:val="0BD346F0"/>
    <w:rsid w:val="0C96363D"/>
    <w:rsid w:val="0CDA4DE0"/>
    <w:rsid w:val="0D23213C"/>
    <w:rsid w:val="0DA53A12"/>
    <w:rsid w:val="0DEF6CB1"/>
    <w:rsid w:val="0E010707"/>
    <w:rsid w:val="0F4800F8"/>
    <w:rsid w:val="0F935DC0"/>
    <w:rsid w:val="0F986F29"/>
    <w:rsid w:val="0FE42752"/>
    <w:rsid w:val="10453CE0"/>
    <w:rsid w:val="10663C1A"/>
    <w:rsid w:val="10750B0F"/>
    <w:rsid w:val="109368FA"/>
    <w:rsid w:val="11AD2F67"/>
    <w:rsid w:val="11E63929"/>
    <w:rsid w:val="123E2229"/>
    <w:rsid w:val="1309444E"/>
    <w:rsid w:val="145B0F9D"/>
    <w:rsid w:val="14D139E4"/>
    <w:rsid w:val="14F75E49"/>
    <w:rsid w:val="1544031F"/>
    <w:rsid w:val="15A44040"/>
    <w:rsid w:val="1616389F"/>
    <w:rsid w:val="162C528C"/>
    <w:rsid w:val="1701046F"/>
    <w:rsid w:val="17165445"/>
    <w:rsid w:val="173A6D83"/>
    <w:rsid w:val="17577597"/>
    <w:rsid w:val="17581B2C"/>
    <w:rsid w:val="17872239"/>
    <w:rsid w:val="180E3CD3"/>
    <w:rsid w:val="18CF62DA"/>
    <w:rsid w:val="18FE652B"/>
    <w:rsid w:val="190B01C1"/>
    <w:rsid w:val="19D534EF"/>
    <w:rsid w:val="1A593D8D"/>
    <w:rsid w:val="1A6926D0"/>
    <w:rsid w:val="1B7A3E63"/>
    <w:rsid w:val="1BD02D64"/>
    <w:rsid w:val="1BE73D45"/>
    <w:rsid w:val="1C1A0216"/>
    <w:rsid w:val="1C551C3D"/>
    <w:rsid w:val="1C832138"/>
    <w:rsid w:val="1CC10165"/>
    <w:rsid w:val="1DD737EE"/>
    <w:rsid w:val="1DDF0528"/>
    <w:rsid w:val="1E085A8A"/>
    <w:rsid w:val="1E171E3D"/>
    <w:rsid w:val="1E4C7046"/>
    <w:rsid w:val="1E5D06EF"/>
    <w:rsid w:val="1EE2244B"/>
    <w:rsid w:val="1F6E600A"/>
    <w:rsid w:val="1FDB6864"/>
    <w:rsid w:val="20232F22"/>
    <w:rsid w:val="20A31787"/>
    <w:rsid w:val="20CF1208"/>
    <w:rsid w:val="21847A00"/>
    <w:rsid w:val="21FE2494"/>
    <w:rsid w:val="224E5BA4"/>
    <w:rsid w:val="236F0D45"/>
    <w:rsid w:val="23A229BA"/>
    <w:rsid w:val="24AC7783"/>
    <w:rsid w:val="25AC3ECC"/>
    <w:rsid w:val="262C0C4F"/>
    <w:rsid w:val="26AA2224"/>
    <w:rsid w:val="26CD578F"/>
    <w:rsid w:val="26D3526E"/>
    <w:rsid w:val="26F05DD0"/>
    <w:rsid w:val="27406441"/>
    <w:rsid w:val="27BE462B"/>
    <w:rsid w:val="28592218"/>
    <w:rsid w:val="28901BBF"/>
    <w:rsid w:val="28B355B1"/>
    <w:rsid w:val="29936878"/>
    <w:rsid w:val="29B424EF"/>
    <w:rsid w:val="2B2F6A18"/>
    <w:rsid w:val="2B4B0391"/>
    <w:rsid w:val="2C52664A"/>
    <w:rsid w:val="2C546481"/>
    <w:rsid w:val="2C8624A0"/>
    <w:rsid w:val="2D3B5531"/>
    <w:rsid w:val="2D42601A"/>
    <w:rsid w:val="2D4A47DC"/>
    <w:rsid w:val="2D5C7876"/>
    <w:rsid w:val="2DE2671D"/>
    <w:rsid w:val="2EAB7A0E"/>
    <w:rsid w:val="2EEA7633"/>
    <w:rsid w:val="2F74503B"/>
    <w:rsid w:val="30033F62"/>
    <w:rsid w:val="309535F4"/>
    <w:rsid w:val="313B4A8D"/>
    <w:rsid w:val="31837BD1"/>
    <w:rsid w:val="3227669B"/>
    <w:rsid w:val="33C57E8B"/>
    <w:rsid w:val="33E241F0"/>
    <w:rsid w:val="341A0BD7"/>
    <w:rsid w:val="34273B41"/>
    <w:rsid w:val="34863FD0"/>
    <w:rsid w:val="34FA1E45"/>
    <w:rsid w:val="35845AD0"/>
    <w:rsid w:val="35DF0325"/>
    <w:rsid w:val="35FB3A6A"/>
    <w:rsid w:val="361A4D5C"/>
    <w:rsid w:val="362C1791"/>
    <w:rsid w:val="36E25ADA"/>
    <w:rsid w:val="3709558F"/>
    <w:rsid w:val="374F14F0"/>
    <w:rsid w:val="37507CA5"/>
    <w:rsid w:val="37544851"/>
    <w:rsid w:val="37A32655"/>
    <w:rsid w:val="37C93A2C"/>
    <w:rsid w:val="38201F2C"/>
    <w:rsid w:val="38AD3828"/>
    <w:rsid w:val="391935E2"/>
    <w:rsid w:val="3922015D"/>
    <w:rsid w:val="3A2D4E75"/>
    <w:rsid w:val="3AB239E2"/>
    <w:rsid w:val="3B2E1EA3"/>
    <w:rsid w:val="3B6B04EB"/>
    <w:rsid w:val="3BCC63A7"/>
    <w:rsid w:val="3C85502F"/>
    <w:rsid w:val="3D15655A"/>
    <w:rsid w:val="3D7605D0"/>
    <w:rsid w:val="3D8F5D84"/>
    <w:rsid w:val="3E0B21CF"/>
    <w:rsid w:val="3EB13C0A"/>
    <w:rsid w:val="3EDE2270"/>
    <w:rsid w:val="3FB57446"/>
    <w:rsid w:val="3FF51B86"/>
    <w:rsid w:val="400C5122"/>
    <w:rsid w:val="403F72A5"/>
    <w:rsid w:val="409918E1"/>
    <w:rsid w:val="40A55C93"/>
    <w:rsid w:val="40F053F7"/>
    <w:rsid w:val="415B2A37"/>
    <w:rsid w:val="419F43B0"/>
    <w:rsid w:val="41AA18AD"/>
    <w:rsid w:val="433E304C"/>
    <w:rsid w:val="434E5B41"/>
    <w:rsid w:val="43ED48B4"/>
    <w:rsid w:val="44335F16"/>
    <w:rsid w:val="44C50132"/>
    <w:rsid w:val="456D5FAD"/>
    <w:rsid w:val="45921C25"/>
    <w:rsid w:val="46A56A8E"/>
    <w:rsid w:val="46D30E86"/>
    <w:rsid w:val="475A3BEE"/>
    <w:rsid w:val="475E44B5"/>
    <w:rsid w:val="47D70701"/>
    <w:rsid w:val="47E16D3B"/>
    <w:rsid w:val="47ED4792"/>
    <w:rsid w:val="48136A5C"/>
    <w:rsid w:val="481E59F2"/>
    <w:rsid w:val="483871A2"/>
    <w:rsid w:val="484F2050"/>
    <w:rsid w:val="485B6D8C"/>
    <w:rsid w:val="48D373D6"/>
    <w:rsid w:val="48D85674"/>
    <w:rsid w:val="4A480925"/>
    <w:rsid w:val="4B10319A"/>
    <w:rsid w:val="4B3F1E2E"/>
    <w:rsid w:val="4B441618"/>
    <w:rsid w:val="4BDB2564"/>
    <w:rsid w:val="4CBA4F60"/>
    <w:rsid w:val="4D4A2A90"/>
    <w:rsid w:val="4DC5405D"/>
    <w:rsid w:val="4E031912"/>
    <w:rsid w:val="4E086ECA"/>
    <w:rsid w:val="4E2F16C7"/>
    <w:rsid w:val="4E837555"/>
    <w:rsid w:val="4EAF3848"/>
    <w:rsid w:val="4F3350AA"/>
    <w:rsid w:val="4F36596A"/>
    <w:rsid w:val="4F6A5DFE"/>
    <w:rsid w:val="4FAA7FF9"/>
    <w:rsid w:val="502C7737"/>
    <w:rsid w:val="5092500C"/>
    <w:rsid w:val="51FD5734"/>
    <w:rsid w:val="523446EC"/>
    <w:rsid w:val="5236225F"/>
    <w:rsid w:val="531711CF"/>
    <w:rsid w:val="534A7FE3"/>
    <w:rsid w:val="537868FE"/>
    <w:rsid w:val="54D21E84"/>
    <w:rsid w:val="552A3C28"/>
    <w:rsid w:val="559945CE"/>
    <w:rsid w:val="56150C66"/>
    <w:rsid w:val="562F75CC"/>
    <w:rsid w:val="569E0B5F"/>
    <w:rsid w:val="57101BE8"/>
    <w:rsid w:val="573B211D"/>
    <w:rsid w:val="580F36F6"/>
    <w:rsid w:val="58296419"/>
    <w:rsid w:val="586460C1"/>
    <w:rsid w:val="5906371D"/>
    <w:rsid w:val="5922093A"/>
    <w:rsid w:val="59233944"/>
    <w:rsid w:val="5A130D72"/>
    <w:rsid w:val="5A732011"/>
    <w:rsid w:val="5AD871C0"/>
    <w:rsid w:val="5AEB5017"/>
    <w:rsid w:val="5AF36139"/>
    <w:rsid w:val="5B1D2242"/>
    <w:rsid w:val="5B494C40"/>
    <w:rsid w:val="5B5E2B03"/>
    <w:rsid w:val="5BE53523"/>
    <w:rsid w:val="5BE74621"/>
    <w:rsid w:val="5BF1120B"/>
    <w:rsid w:val="5C515511"/>
    <w:rsid w:val="5C6927EC"/>
    <w:rsid w:val="5CB11FA4"/>
    <w:rsid w:val="5D47566E"/>
    <w:rsid w:val="5F7524B8"/>
    <w:rsid w:val="5F8F757E"/>
    <w:rsid w:val="5FD4310E"/>
    <w:rsid w:val="60D55390"/>
    <w:rsid w:val="60FA001A"/>
    <w:rsid w:val="61265F3A"/>
    <w:rsid w:val="62F44C65"/>
    <w:rsid w:val="65084FE7"/>
    <w:rsid w:val="653338A8"/>
    <w:rsid w:val="654A6EC0"/>
    <w:rsid w:val="654C7BEB"/>
    <w:rsid w:val="656159AD"/>
    <w:rsid w:val="65FF497E"/>
    <w:rsid w:val="6603752A"/>
    <w:rsid w:val="66670243"/>
    <w:rsid w:val="667A44FB"/>
    <w:rsid w:val="670064F3"/>
    <w:rsid w:val="676A70D7"/>
    <w:rsid w:val="677F7E04"/>
    <w:rsid w:val="68F7149A"/>
    <w:rsid w:val="6911655B"/>
    <w:rsid w:val="697F33FF"/>
    <w:rsid w:val="69BD65F8"/>
    <w:rsid w:val="69EB79D2"/>
    <w:rsid w:val="69F11D17"/>
    <w:rsid w:val="6AA8496E"/>
    <w:rsid w:val="6AE15E31"/>
    <w:rsid w:val="6B7C4DF3"/>
    <w:rsid w:val="6B8F2910"/>
    <w:rsid w:val="6B9557F5"/>
    <w:rsid w:val="6BA47B5C"/>
    <w:rsid w:val="6BAD7163"/>
    <w:rsid w:val="6BD41A83"/>
    <w:rsid w:val="6CAC3500"/>
    <w:rsid w:val="6CB2377B"/>
    <w:rsid w:val="6CC56E1F"/>
    <w:rsid w:val="6CC91B21"/>
    <w:rsid w:val="6CDC1854"/>
    <w:rsid w:val="6D4274F6"/>
    <w:rsid w:val="6E1364DC"/>
    <w:rsid w:val="6E2C6F5B"/>
    <w:rsid w:val="6F9C5B11"/>
    <w:rsid w:val="7214383E"/>
    <w:rsid w:val="723C434C"/>
    <w:rsid w:val="729055BB"/>
    <w:rsid w:val="730C3F9F"/>
    <w:rsid w:val="740F2691"/>
    <w:rsid w:val="7442680F"/>
    <w:rsid w:val="753F233A"/>
    <w:rsid w:val="75895275"/>
    <w:rsid w:val="75E26062"/>
    <w:rsid w:val="75F236D6"/>
    <w:rsid w:val="75FC04CA"/>
    <w:rsid w:val="763312D5"/>
    <w:rsid w:val="78410706"/>
    <w:rsid w:val="78AB054F"/>
    <w:rsid w:val="78E0447A"/>
    <w:rsid w:val="79713260"/>
    <w:rsid w:val="79820104"/>
    <w:rsid w:val="79E30E5A"/>
    <w:rsid w:val="7A0D6D41"/>
    <w:rsid w:val="7A247A1C"/>
    <w:rsid w:val="7A6D59BF"/>
    <w:rsid w:val="7A925C48"/>
    <w:rsid w:val="7B8A6C9B"/>
    <w:rsid w:val="7BD33D1E"/>
    <w:rsid w:val="7C887303"/>
    <w:rsid w:val="7D4D524E"/>
    <w:rsid w:val="7D6049CC"/>
    <w:rsid w:val="7DB87774"/>
    <w:rsid w:val="7E121D6A"/>
    <w:rsid w:val="7F0A2251"/>
    <w:rsid w:val="7FA279DC"/>
    <w:rsid w:val="7FA93818"/>
    <w:rsid w:val="CD7FC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32"/>
      <w:lang w:val="en-US" w:eastAsia="zh-CN" w:bidi="ar-SA"/>
    </w:rPr>
  </w:style>
  <w:style w:type="paragraph" w:styleId="2">
    <w:name w:val="heading 1"/>
    <w:basedOn w:val="1"/>
    <w:next w:val="1"/>
    <w:link w:val="63"/>
    <w:qFormat/>
    <w:uiPriority w:val="0"/>
    <w:pPr>
      <w:spacing w:line="520" w:lineRule="exact"/>
      <w:ind w:firstLine="480" w:firstLineChars="200"/>
      <w:outlineLvl w:val="0"/>
    </w:pPr>
    <w:rPr>
      <w:rFonts w:eastAsia="宋体"/>
    </w:rPr>
  </w:style>
  <w:style w:type="paragraph" w:styleId="3">
    <w:name w:val="heading 2"/>
    <w:basedOn w:val="1"/>
    <w:next w:val="1"/>
    <w:link w:val="41"/>
    <w:unhideWhenUsed/>
    <w:qFormat/>
    <w:uiPriority w:val="0"/>
    <w:pPr>
      <w:keepNext/>
      <w:keepLines/>
      <w:spacing w:before="260" w:after="260" w:line="416" w:lineRule="auto"/>
      <w:outlineLvl w:val="1"/>
    </w:pPr>
    <w:rPr>
      <w:rFonts w:ascii="Calibri Light" w:hAnsi="Calibri Light" w:eastAsia="宋体"/>
      <w:b/>
      <w:bCs/>
      <w:szCs w:val="32"/>
    </w:rPr>
  </w:style>
  <w:style w:type="paragraph" w:styleId="4">
    <w:name w:val="heading 3"/>
    <w:basedOn w:val="1"/>
    <w:next w:val="5"/>
    <w:qFormat/>
    <w:uiPriority w:val="1"/>
    <w:pPr>
      <w:spacing w:before="10"/>
      <w:ind w:right="938"/>
      <w:jc w:val="center"/>
      <w:outlineLvl w:val="2"/>
    </w:pPr>
    <w:rPr>
      <w:rFonts w:ascii="宋体" w:hAnsi="宋体" w:eastAsia="宋体" w:cs="宋体"/>
      <w:b/>
      <w:bCs/>
      <w:sz w:val="24"/>
      <w:szCs w:val="24"/>
      <w:lang w:val="zh-CN" w:bidi="zh-CN"/>
    </w:rPr>
  </w:style>
  <w:style w:type="paragraph" w:styleId="6">
    <w:name w:val="heading 4"/>
    <w:basedOn w:val="1"/>
    <w:next w:val="1"/>
    <w:qFormat/>
    <w:uiPriority w:val="1"/>
    <w:pPr>
      <w:spacing w:before="50"/>
      <w:ind w:left="221"/>
      <w:outlineLvl w:val="3"/>
    </w:pPr>
    <w:rPr>
      <w:rFonts w:ascii="Consolas" w:hAnsi="Consolas" w:eastAsia="Consolas" w:cs="Consolas"/>
      <w:sz w:val="22"/>
      <w:szCs w:val="22"/>
      <w:lang w:val="zh-CN" w:bidi="zh-CN"/>
    </w:rPr>
  </w:style>
  <w:style w:type="paragraph" w:styleId="7">
    <w:name w:val="heading 5"/>
    <w:basedOn w:val="1"/>
    <w:next w:val="1"/>
    <w:qFormat/>
    <w:uiPriority w:val="1"/>
    <w:pPr>
      <w:spacing w:before="59"/>
      <w:ind w:left="221"/>
      <w:outlineLvl w:val="4"/>
    </w:pPr>
    <w:rPr>
      <w:rFonts w:ascii="Calibri" w:hAnsi="Calibri" w:eastAsia="Calibri" w:cs="Calibri"/>
      <w:b/>
      <w:bCs/>
      <w:sz w:val="21"/>
      <w:szCs w:val="21"/>
      <w:lang w:val="zh-CN" w:bidi="zh-CN"/>
    </w:rPr>
  </w:style>
  <w:style w:type="character" w:default="1" w:styleId="31">
    <w:name w:val="Default Paragraph Font"/>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snapToGrid w:val="0"/>
      <w:spacing w:line="300" w:lineRule="auto"/>
      <w:ind w:firstLine="556"/>
    </w:pPr>
    <w:rPr>
      <w:rFonts w:ascii="仿宋_GB2312" w:eastAsia="仿宋_GB2312"/>
      <w:kern w:val="0"/>
    </w:rPr>
  </w:style>
  <w:style w:type="paragraph" w:styleId="8">
    <w:name w:val="caption"/>
    <w:basedOn w:val="1"/>
    <w:next w:val="1"/>
    <w:autoRedefine/>
    <w:qFormat/>
    <w:uiPriority w:val="0"/>
    <w:pPr>
      <w:spacing w:before="152" w:after="160"/>
    </w:pPr>
    <w:rPr>
      <w:rFonts w:ascii="Arial" w:hAnsi="Arial" w:eastAsia="黑体"/>
    </w:rPr>
  </w:style>
  <w:style w:type="paragraph" w:styleId="9">
    <w:name w:val="annotation text"/>
    <w:basedOn w:val="1"/>
    <w:link w:val="65"/>
    <w:autoRedefine/>
    <w:qFormat/>
    <w:uiPriority w:val="99"/>
    <w:pPr>
      <w:jc w:val="left"/>
    </w:pPr>
  </w:style>
  <w:style w:type="paragraph" w:styleId="10">
    <w:name w:val="Body Text"/>
    <w:basedOn w:val="1"/>
    <w:link w:val="77"/>
    <w:qFormat/>
    <w:uiPriority w:val="0"/>
    <w:rPr>
      <w:sz w:val="24"/>
      <w:szCs w:val="24"/>
    </w:rPr>
  </w:style>
  <w:style w:type="paragraph" w:styleId="11">
    <w:name w:val="Body Text Indent"/>
    <w:basedOn w:val="1"/>
    <w:autoRedefine/>
    <w:qFormat/>
    <w:uiPriority w:val="0"/>
    <w:pPr>
      <w:ind w:firstLine="645"/>
    </w:pPr>
    <w:rPr>
      <w:rFonts w:ascii="楷体_GB2312"/>
    </w:rPr>
  </w:style>
  <w:style w:type="paragraph" w:styleId="12">
    <w:name w:val="toc 3"/>
    <w:basedOn w:val="1"/>
    <w:next w:val="1"/>
    <w:autoRedefine/>
    <w:qFormat/>
    <w:uiPriority w:val="39"/>
    <w:pPr>
      <w:tabs>
        <w:tab w:val="right" w:leader="dot" w:pos="9061"/>
      </w:tabs>
    </w:pPr>
  </w:style>
  <w:style w:type="paragraph" w:styleId="13">
    <w:name w:val="Plain Text"/>
    <w:basedOn w:val="1"/>
    <w:next w:val="5"/>
    <w:autoRedefine/>
    <w:qFormat/>
    <w:uiPriority w:val="99"/>
    <w:rPr>
      <w:rFonts w:ascii="宋体" w:hAnsi="Courier New" w:cs="Courier New"/>
      <w:szCs w:val="21"/>
    </w:rPr>
  </w:style>
  <w:style w:type="paragraph" w:styleId="14">
    <w:name w:val="Date"/>
    <w:basedOn w:val="1"/>
    <w:next w:val="1"/>
    <w:qFormat/>
    <w:uiPriority w:val="0"/>
    <w:pPr>
      <w:ind w:left="100" w:leftChars="2500"/>
    </w:pPr>
    <w:rPr>
      <w:sz w:val="28"/>
    </w:rPr>
  </w:style>
  <w:style w:type="paragraph" w:styleId="15">
    <w:name w:val="Body Text Indent 2"/>
    <w:basedOn w:val="1"/>
    <w:autoRedefine/>
    <w:qFormat/>
    <w:uiPriority w:val="0"/>
    <w:pPr>
      <w:ind w:firstLine="643" w:firstLineChars="201"/>
    </w:pPr>
    <w:rPr>
      <w:rFonts w:ascii="楷体_GB2312"/>
    </w:rPr>
  </w:style>
  <w:style w:type="paragraph" w:styleId="16">
    <w:name w:val="Balloon Text"/>
    <w:basedOn w:val="1"/>
    <w:link w:val="61"/>
    <w:qFormat/>
    <w:uiPriority w:val="0"/>
    <w:rPr>
      <w:sz w:val="18"/>
      <w:szCs w:val="18"/>
    </w:rPr>
  </w:style>
  <w:style w:type="paragraph" w:styleId="17">
    <w:name w:val="footer"/>
    <w:basedOn w:val="1"/>
    <w:link w:val="60"/>
    <w:autoRedefine/>
    <w:qFormat/>
    <w:uiPriority w:val="99"/>
    <w:pPr>
      <w:tabs>
        <w:tab w:val="center" w:pos="4153"/>
        <w:tab w:val="right" w:pos="8306"/>
      </w:tabs>
      <w:snapToGrid w:val="0"/>
      <w:jc w:val="left"/>
    </w:pPr>
    <w:rPr>
      <w:sz w:val="18"/>
    </w:rPr>
  </w:style>
  <w:style w:type="paragraph" w:styleId="18">
    <w:name w:val="header"/>
    <w:basedOn w:val="1"/>
    <w:link w:val="59"/>
    <w:autoRedefine/>
    <w:qFormat/>
    <w:uiPriority w:val="99"/>
    <w:pPr>
      <w:pBdr>
        <w:bottom w:val="single" w:color="auto" w:sz="6" w:space="1"/>
      </w:pBdr>
      <w:tabs>
        <w:tab w:val="center" w:pos="4153"/>
        <w:tab w:val="right" w:pos="8306"/>
      </w:tabs>
      <w:snapToGrid w:val="0"/>
      <w:jc w:val="center"/>
    </w:pPr>
    <w:rPr>
      <w:sz w:val="18"/>
    </w:rPr>
  </w:style>
  <w:style w:type="paragraph" w:styleId="19">
    <w:name w:val="toc 1"/>
    <w:basedOn w:val="1"/>
    <w:next w:val="1"/>
    <w:autoRedefine/>
    <w:qFormat/>
    <w:uiPriority w:val="39"/>
  </w:style>
  <w:style w:type="paragraph" w:styleId="20">
    <w:name w:val="Subtitle"/>
    <w:basedOn w:val="1"/>
    <w:next w:val="1"/>
    <w:link w:val="68"/>
    <w:qFormat/>
    <w:uiPriority w:val="0"/>
    <w:pPr>
      <w:spacing w:before="240" w:after="60" w:line="312" w:lineRule="auto"/>
      <w:jc w:val="left"/>
      <w:outlineLvl w:val="1"/>
    </w:pPr>
    <w:rPr>
      <w:rFonts w:ascii="Cambria" w:hAnsi="Cambria" w:eastAsia="宋体"/>
      <w:b/>
      <w:bCs/>
      <w:kern w:val="28"/>
      <w:sz w:val="28"/>
      <w:szCs w:val="32"/>
    </w:rPr>
  </w:style>
  <w:style w:type="paragraph" w:styleId="21">
    <w:name w:val="footnote text"/>
    <w:basedOn w:val="1"/>
    <w:semiHidden/>
    <w:qFormat/>
    <w:uiPriority w:val="0"/>
    <w:pPr>
      <w:snapToGrid w:val="0"/>
      <w:jc w:val="left"/>
    </w:pPr>
    <w:rPr>
      <w:sz w:val="18"/>
    </w:rPr>
  </w:style>
  <w:style w:type="paragraph" w:styleId="22">
    <w:name w:val="Body Text Indent 3"/>
    <w:basedOn w:val="1"/>
    <w:autoRedefine/>
    <w:qFormat/>
    <w:uiPriority w:val="0"/>
    <w:pPr>
      <w:ind w:firstLine="599" w:firstLineChars="214"/>
    </w:pPr>
    <w:rPr>
      <w:sz w:val="28"/>
    </w:rPr>
  </w:style>
  <w:style w:type="paragraph" w:styleId="23">
    <w:name w:val="toc 2"/>
    <w:basedOn w:val="1"/>
    <w:next w:val="1"/>
    <w:autoRedefine/>
    <w:qFormat/>
    <w:uiPriority w:val="39"/>
    <w:pPr>
      <w:ind w:left="420" w:leftChars="200"/>
    </w:pPr>
  </w:style>
  <w:style w:type="paragraph" w:styleId="24">
    <w:name w:val="Normal (Web)"/>
    <w:basedOn w:val="1"/>
    <w:qFormat/>
    <w:uiPriority w:val="99"/>
    <w:pPr>
      <w:widowControl/>
      <w:spacing w:before="100" w:beforeAutospacing="1" w:after="100" w:afterAutospacing="1"/>
      <w:jc w:val="left"/>
    </w:pPr>
    <w:rPr>
      <w:rFonts w:ascii="宋体" w:hAnsi="宋体" w:eastAsia="宋体"/>
      <w:color w:val="000000"/>
      <w:kern w:val="0"/>
      <w:sz w:val="30"/>
      <w:szCs w:val="30"/>
    </w:rPr>
  </w:style>
  <w:style w:type="paragraph" w:styleId="25">
    <w:name w:val="Title"/>
    <w:basedOn w:val="1"/>
    <w:next w:val="1"/>
    <w:link w:val="66"/>
    <w:qFormat/>
    <w:uiPriority w:val="0"/>
    <w:pPr>
      <w:spacing w:before="240" w:after="60"/>
      <w:jc w:val="center"/>
      <w:outlineLvl w:val="0"/>
    </w:pPr>
    <w:rPr>
      <w:rFonts w:ascii="微软雅黑" w:hAnsi="微软雅黑" w:eastAsia="微软雅黑"/>
      <w:b/>
      <w:bCs/>
      <w:sz w:val="44"/>
      <w:szCs w:val="32"/>
    </w:rPr>
  </w:style>
  <w:style w:type="paragraph" w:styleId="26">
    <w:name w:val="annotation subject"/>
    <w:basedOn w:val="9"/>
    <w:next w:val="9"/>
    <w:link w:val="62"/>
    <w:autoRedefine/>
    <w:qFormat/>
    <w:uiPriority w:val="0"/>
    <w:rPr>
      <w:b/>
      <w:bCs/>
    </w:rPr>
  </w:style>
  <w:style w:type="paragraph" w:styleId="27">
    <w:name w:val="Body Text First Indent"/>
    <w:basedOn w:val="10"/>
    <w:link w:val="76"/>
    <w:autoRedefine/>
    <w:qFormat/>
    <w:uiPriority w:val="99"/>
    <w:pPr>
      <w:ind w:firstLine="420" w:firstLineChars="100"/>
    </w:pPr>
  </w:style>
  <w:style w:type="paragraph" w:styleId="28">
    <w:name w:val="Body Text First Indent 2"/>
    <w:basedOn w:val="11"/>
    <w:next w:val="1"/>
    <w:autoRedefine/>
    <w:unhideWhenUsed/>
    <w:qFormat/>
    <w:uiPriority w:val="0"/>
    <w:pPr>
      <w:spacing w:after="120"/>
      <w:ind w:left="420" w:leftChars="200" w:firstLine="420" w:firstLineChars="200"/>
    </w:pPr>
  </w:style>
  <w:style w:type="table" w:styleId="30">
    <w:name w:val="Table Grid"/>
    <w:basedOn w:val="29"/>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22"/>
    <w:rPr>
      <w:b/>
      <w:bCs/>
    </w:rPr>
  </w:style>
  <w:style w:type="character" w:styleId="33">
    <w:name w:val="page number"/>
    <w:basedOn w:val="31"/>
    <w:qFormat/>
    <w:uiPriority w:val="0"/>
  </w:style>
  <w:style w:type="character" w:styleId="34">
    <w:name w:val="FollowedHyperlink"/>
    <w:autoRedefine/>
    <w:qFormat/>
    <w:uiPriority w:val="0"/>
    <w:rPr>
      <w:color w:val="800080"/>
      <w:u w:val="single"/>
    </w:rPr>
  </w:style>
  <w:style w:type="character" w:styleId="35">
    <w:name w:val="Hyperlink"/>
    <w:autoRedefine/>
    <w:qFormat/>
    <w:uiPriority w:val="99"/>
    <w:rPr>
      <w:color w:val="0000FF"/>
      <w:u w:val="single"/>
    </w:rPr>
  </w:style>
  <w:style w:type="character" w:styleId="36">
    <w:name w:val="annotation reference"/>
    <w:autoRedefine/>
    <w:qFormat/>
    <w:uiPriority w:val="0"/>
    <w:rPr>
      <w:sz w:val="21"/>
      <w:szCs w:val="21"/>
    </w:rPr>
  </w:style>
  <w:style w:type="character" w:styleId="37">
    <w:name w:val="footnote reference"/>
    <w:semiHidden/>
    <w:qFormat/>
    <w:uiPriority w:val="0"/>
    <w:rPr>
      <w:vertAlign w:val="superscript"/>
    </w:rPr>
  </w:style>
  <w:style w:type="paragraph" w:customStyle="1" w:styleId="38">
    <w:name w:val="Default"/>
    <w:basedOn w:val="39"/>
    <w:autoRedefine/>
    <w:qFormat/>
    <w:uiPriority w:val="0"/>
    <w:pPr>
      <w:autoSpaceDE w:val="0"/>
      <w:autoSpaceDN w:val="0"/>
      <w:adjustRightInd w:val="0"/>
    </w:pPr>
    <w:rPr>
      <w:rFonts w:eastAsia="宋体"/>
      <w:color w:val="000000"/>
      <w:sz w:val="24"/>
      <w:szCs w:val="24"/>
    </w:rPr>
  </w:style>
  <w:style w:type="paragraph" w:customStyle="1" w:styleId="39">
    <w:name w:val="正文（首行缩进两字）"/>
    <w:basedOn w:val="1"/>
    <w:autoRedefine/>
    <w:qFormat/>
    <w:uiPriority w:val="0"/>
    <w:rPr>
      <w:szCs w:val="21"/>
    </w:rPr>
  </w:style>
  <w:style w:type="paragraph" w:customStyle="1" w:styleId="40">
    <w:name w:val="样式 样式 样式 正文文本 + 首行缩进:  2 字符1 + 首行缩进:  2 字符1 + 首行缩进:  2 字符"/>
    <w:basedOn w:val="1"/>
    <w:autoRedefine/>
    <w:qFormat/>
    <w:uiPriority w:val="0"/>
    <w:pPr>
      <w:autoSpaceDE w:val="0"/>
      <w:autoSpaceDN w:val="0"/>
      <w:adjustRightInd w:val="0"/>
      <w:spacing w:line="360" w:lineRule="auto"/>
      <w:ind w:firstLine="200" w:firstLineChars="200"/>
    </w:pPr>
    <w:rPr>
      <w:rFonts w:cs="宋体"/>
      <w:kern w:val="0"/>
      <w:sz w:val="28"/>
      <w:lang w:val="zh-CN"/>
    </w:rPr>
  </w:style>
  <w:style w:type="character" w:customStyle="1" w:styleId="41">
    <w:name w:val="标题 2 字符"/>
    <w:link w:val="3"/>
    <w:autoRedefine/>
    <w:semiHidden/>
    <w:qFormat/>
    <w:uiPriority w:val="0"/>
    <w:rPr>
      <w:rFonts w:ascii="Calibri Light" w:hAnsi="Calibri Light" w:eastAsia="宋体" w:cs="Times New Roman"/>
      <w:b/>
      <w:bCs/>
      <w:kern w:val="2"/>
      <w:sz w:val="32"/>
      <w:szCs w:val="32"/>
    </w:rPr>
  </w:style>
  <w:style w:type="paragraph" w:customStyle="1" w:styleId="42">
    <w:name w:val="Project"/>
    <w:basedOn w:val="1"/>
    <w:autoRedefine/>
    <w:qFormat/>
    <w:uiPriority w:val="0"/>
    <w:pPr>
      <w:widowControl/>
      <w:jc w:val="right"/>
    </w:pPr>
    <w:rPr>
      <w:rFonts w:ascii="宋体"/>
      <w:b/>
      <w:kern w:val="0"/>
      <w:sz w:val="36"/>
    </w:rPr>
  </w:style>
  <w:style w:type="paragraph" w:customStyle="1" w:styleId="43">
    <w:name w:val="xl31"/>
    <w:basedOn w:val="1"/>
    <w:autoRedefine/>
    <w:qFormat/>
    <w:uiPriority w:val="0"/>
    <w:pPr>
      <w:widowControl/>
      <w:spacing w:before="100" w:beforeAutospacing="1" w:after="100" w:afterAutospacing="1"/>
      <w:jc w:val="center"/>
      <w:textAlignment w:val="center"/>
    </w:pPr>
    <w:rPr>
      <w:rFonts w:hint="eastAsia" w:ascii="楷体_GB2312" w:hAnsi="宋体"/>
      <w:kern w:val="0"/>
      <w:sz w:val="24"/>
      <w:szCs w:val="24"/>
    </w:rPr>
  </w:style>
  <w:style w:type="paragraph" w:customStyle="1" w:styleId="44">
    <w:name w:val="xl3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hint="eastAsia" w:ascii="楷体_GB2312" w:hAnsi="宋体"/>
      <w:kern w:val="0"/>
      <w:sz w:val="24"/>
      <w:szCs w:val="24"/>
    </w:rPr>
  </w:style>
  <w:style w:type="paragraph" w:customStyle="1" w:styleId="45">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46">
    <w:name w:val="列表段落1"/>
    <w:basedOn w:val="1"/>
    <w:qFormat/>
    <w:uiPriority w:val="99"/>
    <w:pPr>
      <w:widowControl/>
      <w:ind w:left="113" w:firstLine="420" w:firstLineChars="200"/>
    </w:pPr>
    <w:rPr>
      <w:rFonts w:ascii="Calibri" w:hAnsi="Calibri" w:eastAsia="宋体"/>
      <w:sz w:val="21"/>
    </w:rPr>
  </w:style>
  <w:style w:type="paragraph" w:customStyle="1" w:styleId="47">
    <w:name w:val="font5"/>
    <w:basedOn w:val="1"/>
    <w:autoRedefine/>
    <w:qFormat/>
    <w:uiPriority w:val="0"/>
    <w:pPr>
      <w:widowControl/>
      <w:spacing w:before="100" w:beforeAutospacing="1" w:after="100" w:afterAutospacing="1"/>
      <w:jc w:val="left"/>
    </w:pPr>
    <w:rPr>
      <w:rFonts w:eastAsia="宋体"/>
      <w:kern w:val="0"/>
      <w:sz w:val="24"/>
      <w:szCs w:val="24"/>
    </w:rPr>
  </w:style>
  <w:style w:type="paragraph" w:customStyle="1" w:styleId="48">
    <w:name w:val="xl3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int="eastAsia" w:ascii="楷体_GB2312" w:hAnsi="宋体"/>
      <w:kern w:val="0"/>
      <w:sz w:val="24"/>
      <w:szCs w:val="24"/>
    </w:rPr>
  </w:style>
  <w:style w:type="paragraph" w:customStyle="1" w:styleId="49">
    <w:name w:val="WPSOffice手动目录 1"/>
    <w:autoRedefine/>
    <w:qFormat/>
    <w:uiPriority w:val="0"/>
    <w:rPr>
      <w:rFonts w:ascii="Times New Roman" w:hAnsi="Times New Roman" w:eastAsia="宋体" w:cs="Times New Roman"/>
      <w:lang w:val="en-US" w:eastAsia="zh-CN" w:bidi="ar-SA"/>
    </w:rPr>
  </w:style>
  <w:style w:type="paragraph" w:customStyle="1" w:styleId="50">
    <w:name w:val="xl33"/>
    <w:basedOn w:val="1"/>
    <w:autoRedefine/>
    <w:qFormat/>
    <w:uiPriority w:val="0"/>
    <w:pPr>
      <w:widowControl/>
      <w:pBdr>
        <w:top w:val="single" w:color="auto" w:sz="4" w:space="0"/>
        <w:bottom w:val="single" w:color="auto" w:sz="4" w:space="0"/>
      </w:pBdr>
      <w:spacing w:before="100" w:beforeAutospacing="1" w:after="100" w:afterAutospacing="1"/>
      <w:jc w:val="center"/>
    </w:pPr>
    <w:rPr>
      <w:rFonts w:hint="eastAsia" w:ascii="楷体_GB2312" w:hAnsi="宋体"/>
      <w:kern w:val="0"/>
      <w:sz w:val="24"/>
      <w:szCs w:val="24"/>
    </w:rPr>
  </w:style>
  <w:style w:type="paragraph" w:customStyle="1" w:styleId="51">
    <w:name w:val="Brödtext Onum Rubrik"/>
    <w:basedOn w:val="10"/>
    <w:next w:val="10"/>
    <w:autoRedefine/>
    <w:qFormat/>
    <w:uiPriority w:val="0"/>
    <w:pPr>
      <w:keepLines/>
      <w:widowControl/>
      <w:tabs>
        <w:tab w:val="left" w:pos="1247"/>
        <w:tab w:val="left" w:pos="2552"/>
        <w:tab w:val="left" w:pos="3856"/>
        <w:tab w:val="left" w:pos="5216"/>
        <w:tab w:val="left" w:pos="6464"/>
        <w:tab w:val="left" w:pos="7768"/>
        <w:tab w:val="left" w:pos="9072"/>
        <w:tab w:val="left" w:pos="10206"/>
      </w:tabs>
      <w:spacing w:before="240"/>
      <w:ind w:left="1701"/>
      <w:jc w:val="left"/>
    </w:pPr>
    <w:rPr>
      <w:rFonts w:eastAsia="宋体"/>
      <w:kern w:val="0"/>
      <w:sz w:val="22"/>
      <w:szCs w:val="20"/>
      <w:lang w:val="en-GB" w:eastAsia="en-US"/>
    </w:rPr>
  </w:style>
  <w:style w:type="paragraph" w:customStyle="1" w:styleId="52">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53">
    <w:name w:val="font7"/>
    <w:basedOn w:val="1"/>
    <w:autoRedefine/>
    <w:qFormat/>
    <w:uiPriority w:val="0"/>
    <w:pPr>
      <w:widowControl/>
      <w:spacing w:before="100" w:beforeAutospacing="1" w:after="100" w:afterAutospacing="1"/>
      <w:jc w:val="left"/>
    </w:pPr>
    <w:rPr>
      <w:rFonts w:hint="eastAsia" w:ascii="楷体_GB2312" w:hAnsi="宋体"/>
      <w:kern w:val="0"/>
      <w:sz w:val="24"/>
      <w:szCs w:val="24"/>
    </w:rPr>
  </w:style>
  <w:style w:type="paragraph" w:customStyle="1" w:styleId="54">
    <w:name w:val="_Style 41"/>
    <w:basedOn w:val="2"/>
    <w:next w:val="1"/>
    <w:unhideWhenUsed/>
    <w:qFormat/>
    <w:uiPriority w:val="39"/>
    <w:pPr>
      <w:keepNext/>
      <w:keepLines/>
      <w:widowControl/>
      <w:spacing w:before="480" w:line="276" w:lineRule="auto"/>
      <w:ind w:firstLine="0" w:firstLineChars="0"/>
      <w:jc w:val="left"/>
      <w:outlineLvl w:val="9"/>
    </w:pPr>
    <w:rPr>
      <w:rFonts w:ascii="Cambria" w:hAnsi="Cambria"/>
      <w:b/>
      <w:bCs/>
      <w:color w:val="365F91"/>
      <w:kern w:val="0"/>
      <w:sz w:val="28"/>
      <w:szCs w:val="28"/>
    </w:rPr>
  </w:style>
  <w:style w:type="paragraph" w:customStyle="1" w:styleId="55">
    <w:name w:val="xl3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楷体_GB2312" w:hAnsi="宋体"/>
      <w:kern w:val="0"/>
      <w:sz w:val="24"/>
      <w:szCs w:val="24"/>
    </w:rPr>
  </w:style>
  <w:style w:type="paragraph" w:customStyle="1" w:styleId="56">
    <w:name w:val="xl3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楷体_GB2312" w:hAnsi="宋体"/>
      <w:kern w:val="0"/>
      <w:sz w:val="24"/>
      <w:szCs w:val="24"/>
    </w:rPr>
  </w:style>
  <w:style w:type="paragraph" w:customStyle="1" w:styleId="57">
    <w:name w:val="font6"/>
    <w:basedOn w:val="1"/>
    <w:autoRedefine/>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58">
    <w:name w:val="Indent"/>
    <w:link w:val="64"/>
    <w:autoRedefine/>
    <w:qFormat/>
    <w:uiPriority w:val="99"/>
    <w:pPr>
      <w:ind w:left="1418"/>
      <w:jc w:val="both"/>
    </w:pPr>
    <w:rPr>
      <w:rFonts w:ascii="Arial" w:hAnsi="Arial" w:eastAsia="宋体" w:cs="Arial"/>
      <w:lang w:val="sv-SE" w:eastAsia="en-US" w:bidi="ar-SA"/>
    </w:rPr>
  </w:style>
  <w:style w:type="character" w:customStyle="1" w:styleId="59">
    <w:name w:val="页眉 字符"/>
    <w:link w:val="18"/>
    <w:autoRedefine/>
    <w:qFormat/>
    <w:uiPriority w:val="99"/>
    <w:rPr>
      <w:rFonts w:eastAsia="楷体_GB2312"/>
      <w:kern w:val="2"/>
      <w:sz w:val="18"/>
    </w:rPr>
  </w:style>
  <w:style w:type="character" w:customStyle="1" w:styleId="60">
    <w:name w:val="页脚 字符"/>
    <w:link w:val="17"/>
    <w:autoRedefine/>
    <w:qFormat/>
    <w:uiPriority w:val="99"/>
    <w:rPr>
      <w:rFonts w:eastAsia="楷体_GB2312"/>
      <w:kern w:val="2"/>
      <w:sz w:val="18"/>
    </w:rPr>
  </w:style>
  <w:style w:type="character" w:customStyle="1" w:styleId="61">
    <w:name w:val="批注框文本 字符"/>
    <w:link w:val="16"/>
    <w:autoRedefine/>
    <w:qFormat/>
    <w:uiPriority w:val="0"/>
    <w:rPr>
      <w:rFonts w:eastAsia="楷体_GB2312"/>
      <w:kern w:val="2"/>
      <w:sz w:val="18"/>
      <w:szCs w:val="18"/>
    </w:rPr>
  </w:style>
  <w:style w:type="character" w:customStyle="1" w:styleId="62">
    <w:name w:val="批注主题 字符"/>
    <w:link w:val="26"/>
    <w:autoRedefine/>
    <w:qFormat/>
    <w:uiPriority w:val="0"/>
    <w:rPr>
      <w:rFonts w:eastAsia="楷体_GB2312"/>
      <w:b/>
      <w:bCs/>
      <w:kern w:val="2"/>
      <w:sz w:val="32"/>
    </w:rPr>
  </w:style>
  <w:style w:type="character" w:customStyle="1" w:styleId="63">
    <w:name w:val="标题 1 字符"/>
    <w:link w:val="2"/>
    <w:autoRedefine/>
    <w:qFormat/>
    <w:uiPriority w:val="0"/>
    <w:rPr>
      <w:rFonts w:eastAsia="宋体"/>
      <w:kern w:val="2"/>
      <w:sz w:val="32"/>
    </w:rPr>
  </w:style>
  <w:style w:type="character" w:customStyle="1" w:styleId="64">
    <w:name w:val="Indent Char"/>
    <w:link w:val="58"/>
    <w:autoRedefine/>
    <w:qFormat/>
    <w:locked/>
    <w:uiPriority w:val="99"/>
    <w:rPr>
      <w:rFonts w:ascii="Arial" w:hAnsi="Arial" w:cs="Arial"/>
      <w:lang w:val="sv-SE" w:eastAsia="en-US"/>
    </w:rPr>
  </w:style>
  <w:style w:type="character" w:customStyle="1" w:styleId="65">
    <w:name w:val="批注文字 字符"/>
    <w:link w:val="9"/>
    <w:autoRedefine/>
    <w:qFormat/>
    <w:uiPriority w:val="99"/>
    <w:rPr>
      <w:rFonts w:eastAsia="楷体_GB2312"/>
      <w:kern w:val="2"/>
      <w:sz w:val="32"/>
    </w:rPr>
  </w:style>
  <w:style w:type="character" w:customStyle="1" w:styleId="66">
    <w:name w:val="标题 字符"/>
    <w:link w:val="25"/>
    <w:autoRedefine/>
    <w:qFormat/>
    <w:uiPriority w:val="0"/>
    <w:rPr>
      <w:rFonts w:ascii="微软雅黑" w:hAnsi="微软雅黑" w:eastAsia="微软雅黑"/>
      <w:b/>
      <w:bCs/>
      <w:kern w:val="2"/>
      <w:sz w:val="44"/>
      <w:szCs w:val="32"/>
    </w:rPr>
  </w:style>
  <w:style w:type="character" w:customStyle="1" w:styleId="67">
    <w:name w:val="short_text"/>
    <w:autoRedefine/>
    <w:qFormat/>
    <w:uiPriority w:val="0"/>
  </w:style>
  <w:style w:type="character" w:customStyle="1" w:styleId="68">
    <w:name w:val="副标题 字符"/>
    <w:link w:val="20"/>
    <w:autoRedefine/>
    <w:qFormat/>
    <w:uiPriority w:val="0"/>
    <w:rPr>
      <w:rFonts w:ascii="Cambria" w:hAnsi="Cambria" w:cs="Times New Roman"/>
      <w:b/>
      <w:bCs/>
      <w:kern w:val="28"/>
      <w:sz w:val="28"/>
      <w:szCs w:val="32"/>
    </w:rPr>
  </w:style>
  <w:style w:type="paragraph" w:customStyle="1" w:styleId="69">
    <w:name w:val="Table Paragraph"/>
    <w:basedOn w:val="1"/>
    <w:autoRedefine/>
    <w:qFormat/>
    <w:uiPriority w:val="1"/>
    <w:pPr>
      <w:spacing w:before="22"/>
      <w:ind w:left="115"/>
    </w:pPr>
    <w:rPr>
      <w:rFonts w:ascii="Calibri" w:hAnsi="Calibri" w:eastAsia="Calibri" w:cs="Calibri"/>
      <w:lang w:val="zh-CN" w:bidi="zh-CN"/>
    </w:rPr>
  </w:style>
  <w:style w:type="paragraph" w:customStyle="1" w:styleId="70">
    <w:name w:val="样式 标题 3条标题1.1.1Level 3 Headsect1.2.3h33rd levelH33Head 3..."/>
    <w:basedOn w:val="4"/>
    <w:autoRedefine/>
    <w:qFormat/>
    <w:uiPriority w:val="0"/>
    <w:pPr>
      <w:spacing w:before="0" w:line="360" w:lineRule="auto"/>
    </w:pPr>
  </w:style>
  <w:style w:type="paragraph" w:customStyle="1" w:styleId="71">
    <w:name w:val="纯文本1"/>
    <w:basedOn w:val="1"/>
    <w:autoRedefine/>
    <w:qFormat/>
    <w:uiPriority w:val="0"/>
    <w:pPr>
      <w:adjustRightInd w:val="0"/>
      <w:spacing w:line="360" w:lineRule="atLeast"/>
      <w:textAlignment w:val="baseline"/>
    </w:pPr>
    <w:rPr>
      <w:rFonts w:ascii="宋体"/>
      <w:kern w:val="0"/>
    </w:rPr>
  </w:style>
  <w:style w:type="character" w:customStyle="1" w:styleId="72">
    <w:name w:val="font41"/>
    <w:basedOn w:val="31"/>
    <w:autoRedefine/>
    <w:qFormat/>
    <w:uiPriority w:val="0"/>
    <w:rPr>
      <w:rFonts w:hint="eastAsia" w:ascii="宋体" w:hAnsi="宋体" w:eastAsia="宋体" w:cs="宋体"/>
      <w:color w:val="000000"/>
      <w:sz w:val="21"/>
      <w:szCs w:val="21"/>
      <w:u w:val="none"/>
    </w:rPr>
  </w:style>
  <w:style w:type="character" w:customStyle="1" w:styleId="73">
    <w:name w:val="font61"/>
    <w:basedOn w:val="31"/>
    <w:autoRedefine/>
    <w:qFormat/>
    <w:uiPriority w:val="0"/>
    <w:rPr>
      <w:rFonts w:ascii="Calibri" w:hAnsi="Calibri" w:cs="Calibri"/>
      <w:color w:val="000000"/>
      <w:sz w:val="21"/>
      <w:szCs w:val="21"/>
      <w:u w:val="none"/>
    </w:rPr>
  </w:style>
  <w:style w:type="paragraph" w:customStyle="1" w:styleId="74">
    <w:name w:val="列表段落11"/>
    <w:basedOn w:val="1"/>
    <w:autoRedefine/>
    <w:unhideWhenUsed/>
    <w:qFormat/>
    <w:uiPriority w:val="99"/>
    <w:pPr>
      <w:ind w:firstLine="420"/>
    </w:pPr>
  </w:style>
  <w:style w:type="paragraph" w:customStyle="1" w:styleId="75">
    <w:name w:val="_Style 2"/>
    <w:basedOn w:val="1"/>
    <w:autoRedefine/>
    <w:qFormat/>
    <w:uiPriority w:val="99"/>
    <w:pPr>
      <w:autoSpaceDE w:val="0"/>
      <w:autoSpaceDN w:val="0"/>
      <w:adjustRightInd w:val="0"/>
      <w:spacing w:line="360" w:lineRule="atLeast"/>
      <w:ind w:left="425" w:firstLine="420" w:firstLineChars="200"/>
      <w:jc w:val="left"/>
      <w:textAlignment w:val="bottom"/>
    </w:pPr>
    <w:rPr>
      <w:rFonts w:ascii="Calibri" w:hAnsi="Calibri" w:cs="Calibri"/>
      <w:b/>
      <w:bCs/>
      <w:kern w:val="0"/>
      <w:position w:val="-6"/>
      <w:sz w:val="44"/>
      <w:szCs w:val="44"/>
    </w:rPr>
  </w:style>
  <w:style w:type="character" w:customStyle="1" w:styleId="76">
    <w:name w:val="正文文本首行缩进 字符"/>
    <w:basedOn w:val="77"/>
    <w:link w:val="27"/>
    <w:autoRedefine/>
    <w:qFormat/>
    <w:locked/>
    <w:uiPriority w:val="99"/>
    <w:rPr>
      <w:sz w:val="24"/>
      <w:szCs w:val="24"/>
    </w:rPr>
  </w:style>
  <w:style w:type="character" w:customStyle="1" w:styleId="77">
    <w:name w:val="正文文本 字符"/>
    <w:basedOn w:val="31"/>
    <w:link w:val="10"/>
    <w:autoRedefine/>
    <w:qFormat/>
    <w:locked/>
    <w:uiPriority w:val="99"/>
    <w:rPr>
      <w:sz w:val="24"/>
      <w:szCs w:val="24"/>
    </w:rPr>
  </w:style>
  <w:style w:type="paragraph" w:customStyle="1" w:styleId="78">
    <w:name w:val="纯文本2"/>
    <w:basedOn w:val="1"/>
    <w:autoRedefine/>
    <w:qFormat/>
    <w:uiPriority w:val="0"/>
    <w:rPr>
      <w:rFonts w:ascii="宋体"/>
    </w:rPr>
  </w:style>
  <w:style w:type="paragraph" w:customStyle="1" w:styleId="79">
    <w:name w:val="列出段落1"/>
    <w:basedOn w:val="1"/>
    <w:autoRedefine/>
    <w:qFormat/>
    <w:uiPriority w:val="0"/>
    <w:pPr>
      <w:ind w:firstLine="420" w:firstLineChars="200"/>
    </w:pPr>
  </w:style>
  <w:style w:type="paragraph" w:customStyle="1" w:styleId="80">
    <w:name w:val="Header or footer|2"/>
    <w:basedOn w:val="1"/>
    <w:autoRedefine/>
    <w:qFormat/>
    <w:uiPriority w:val="0"/>
    <w:rPr>
      <w:sz w:val="20"/>
      <w:lang w:val="zh-TW" w:eastAsia="zh-TW" w:bidi="zh-TW"/>
    </w:rPr>
  </w:style>
  <w:style w:type="paragraph" w:customStyle="1" w:styleId="81">
    <w:name w:val="Header or footer|1"/>
    <w:basedOn w:val="1"/>
    <w:autoRedefine/>
    <w:qFormat/>
    <w:uiPriority w:val="0"/>
    <w:rPr>
      <w:sz w:val="17"/>
      <w:szCs w:val="17"/>
      <w:lang w:val="zh-TW" w:eastAsia="zh-TW" w:bidi="zh-TW"/>
    </w:rPr>
  </w:style>
  <w:style w:type="paragraph" w:customStyle="1" w:styleId="82">
    <w:name w:val="z0"/>
    <w:basedOn w:val="1"/>
    <w:autoRedefine/>
    <w:qFormat/>
    <w:uiPriority w:val="0"/>
    <w:pPr>
      <w:spacing w:line="360" w:lineRule="auto"/>
      <w:ind w:firstLine="200" w:firstLineChars="200"/>
    </w:pPr>
    <w:rPr>
      <w:rFonts w:ascii="宋体" w:hAnsi="宋体" w:eastAsia="宋体"/>
      <w:sz w:val="24"/>
      <w:szCs w:val="24"/>
    </w:rPr>
  </w:style>
  <w:style w:type="character" w:customStyle="1" w:styleId="83">
    <w:name w:val="font01"/>
    <w:basedOn w:val="31"/>
    <w:autoRedefine/>
    <w:qFormat/>
    <w:uiPriority w:val="0"/>
    <w:rPr>
      <w:rFonts w:hint="eastAsia" w:ascii="宋体" w:hAnsi="宋体" w:eastAsia="宋体" w:cs="宋体"/>
      <w:b/>
      <w:color w:val="000000"/>
      <w:sz w:val="22"/>
      <w:szCs w:val="22"/>
      <w:u w:val="none"/>
      <w:vertAlign w:val="superscript"/>
    </w:rPr>
  </w:style>
  <w:style w:type="table" w:customStyle="1" w:styleId="84">
    <w:name w:val="网格型1"/>
    <w:basedOn w:val="29"/>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5">
    <w:name w:val="未处理的提及1"/>
    <w:basedOn w:val="31"/>
    <w:autoRedefine/>
    <w:semiHidden/>
    <w:unhideWhenUsed/>
    <w:qFormat/>
    <w:uiPriority w:val="99"/>
    <w:rPr>
      <w:color w:val="605E5C"/>
      <w:shd w:val="clear" w:color="auto" w:fill="E1DFDD"/>
    </w:rPr>
  </w:style>
  <w:style w:type="paragraph" w:customStyle="1" w:styleId="86">
    <w:name w:val="Revision"/>
    <w:hidden/>
    <w:unhideWhenUsed/>
    <w:qFormat/>
    <w:uiPriority w:val="99"/>
    <w:rPr>
      <w:rFonts w:ascii="Times New Roman" w:hAnsi="Times New Roman" w:eastAsia="楷体_GB2312" w:cs="Times New Roman"/>
      <w:kern w:val="2"/>
      <w:sz w:val="32"/>
      <w:lang w:val="en-US" w:eastAsia="zh-CN" w:bidi="ar-SA"/>
    </w:rPr>
  </w:style>
  <w:style w:type="character" w:customStyle="1" w:styleId="87">
    <w:name w:val="Unresolved Mention"/>
    <w:basedOn w:val="3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吉利集团</Company>
  <Pages>56</Pages>
  <Words>5517</Words>
  <Characters>31448</Characters>
  <Lines>262</Lines>
  <Paragraphs>73</Paragraphs>
  <TotalTime>13</TotalTime>
  <ScaleCrop>false</ScaleCrop>
  <LinksUpToDate>false</LinksUpToDate>
  <CharactersWithSpaces>36892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2023-09-13T10:17:00Z</dcterms:created>
  <dc:creator>李宇;韦景峰</dc:creator>
  <cp:lastModifiedBy>倾听</cp:lastModifiedBy>
  <cp:lastPrinted>2023-09-25T02:51:00Z</cp:lastPrinted>
  <dcterms:modified xsi:type="dcterms:W3CDTF">2024-02-26T01:52:28Z</dcterms:modified>
  <dc:title>信息化招标文件范本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F132D75127254DFA88BA23A120975948</vt:lpwstr>
  </property>
  <property fmtid="{D5CDD505-2E9C-101B-9397-08002B2CF9AE}" pid="4" name="commondata">
    <vt:lpwstr>eyJoZGlkIjoiZWZiZjQwYjI0MjhmODA2OGEwZmQ3YjNhNmVlMjVhMGIifQ==</vt:lpwstr>
  </property>
</Properties>
</file>