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吉利百矿集团田田碳素石油焦质量标准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0"/>
        <w:rPr>
          <w:rStyle w:val="18"/>
          <w:rFonts w:hint="eastAsia" w:ascii="黑体" w:hAnsi="黑体" w:eastAsia="黑体" w:cs="黑体"/>
          <w:b w:val="0"/>
          <w:bCs/>
          <w:color w:val="auto"/>
          <w:sz w:val="24"/>
          <w:szCs w:val="24"/>
          <w:highlight w:val="none"/>
          <w:lang w:val="en-US" w:eastAsia="zh-CN"/>
        </w:rPr>
      </w:pPr>
      <w:bookmarkStart w:id="0" w:name="_Toc23121"/>
      <w:r>
        <w:rPr>
          <w:rStyle w:val="18"/>
          <w:rFonts w:hint="eastAsia" w:ascii="黑体" w:hAnsi="黑体" w:eastAsia="黑体" w:cs="黑体"/>
          <w:b w:val="0"/>
          <w:bCs/>
          <w:color w:val="auto"/>
          <w:sz w:val="24"/>
          <w:szCs w:val="24"/>
          <w:highlight w:val="none"/>
          <w:lang w:val="en-US" w:eastAsia="zh-CN"/>
        </w:rPr>
        <w:t>1 石油焦（生焦）</w:t>
      </w:r>
      <w:bookmarkEnd w:id="0"/>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1" w:name="_Toc27731"/>
      <w:bookmarkStart w:id="2" w:name="_Toc6066"/>
      <w:bookmarkStart w:id="3" w:name="_Toc9771"/>
      <w:bookmarkStart w:id="4" w:name="_Toc1663"/>
      <w:r>
        <w:rPr>
          <w:rFonts w:hint="eastAsia" w:ascii="宋体" w:hAnsi="宋体" w:eastAsia="宋体" w:cs="宋体"/>
          <w:b/>
          <w:bCs w:val="0"/>
          <w:color w:val="auto"/>
          <w:kern w:val="10"/>
          <w:sz w:val="24"/>
          <w:highlight w:val="none"/>
          <w:lang w:val="en-US" w:eastAsia="zh-CN"/>
        </w:rPr>
        <w:t>1.1 范围</w:t>
      </w:r>
      <w:bookmarkEnd w:id="1"/>
      <w:bookmarkEnd w:id="2"/>
      <w:bookmarkEnd w:id="3"/>
      <w:bookmarkEnd w:id="4"/>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bookmarkStart w:id="5" w:name="_Toc24537"/>
      <w:bookmarkStart w:id="6" w:name="_Toc551"/>
      <w:bookmarkStart w:id="7" w:name="_Toc13700"/>
      <w:bookmarkStart w:id="8" w:name="_Toc12403"/>
      <w:r>
        <w:rPr>
          <w:rFonts w:hint="eastAsia" w:ascii="宋体" w:hAnsi="宋体" w:eastAsia="宋体" w:cs="Times New Roman"/>
          <w:color w:val="auto"/>
          <w:kern w:val="10"/>
          <w:sz w:val="24"/>
          <w:highlight w:val="none"/>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9" w:name="_Toc31298"/>
      <w:r>
        <w:rPr>
          <w:rFonts w:hint="eastAsia" w:ascii="宋体" w:hAnsi="宋体" w:eastAsia="宋体" w:cs="宋体"/>
          <w:b/>
          <w:bCs w:val="0"/>
          <w:color w:val="auto"/>
          <w:kern w:val="10"/>
          <w:sz w:val="24"/>
          <w:highlight w:val="none"/>
          <w:lang w:val="en-US" w:eastAsia="zh-CN"/>
        </w:rPr>
        <w:t>1.2 规范性引用文件</w:t>
      </w:r>
      <w:bookmarkEnd w:id="5"/>
      <w:bookmarkEnd w:id="6"/>
      <w:bookmarkEnd w:id="9"/>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11"/>
        <w:keepNext w:val="0"/>
        <w:keepLines w:val="0"/>
        <w:pageBreakBefore w:val="0"/>
        <w:widowControl w:val="0"/>
        <w:kinsoku/>
        <w:wordWrap/>
        <w:overflowPunct/>
        <w:topLinePunct w:val="0"/>
        <w:bidi w:val="0"/>
        <w:snapToGrid/>
        <w:spacing w:line="440" w:lineRule="exact"/>
        <w:ind w:firstLine="480" w:firstLineChars="200"/>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NB/SH/T 0527—2019石油焦（生焦）</w:t>
      </w:r>
    </w:p>
    <w:p>
      <w:pPr>
        <w:pStyle w:val="11"/>
        <w:keepNext w:val="0"/>
        <w:keepLines w:val="0"/>
        <w:pageBreakBefore w:val="0"/>
        <w:widowControl w:val="0"/>
        <w:kinsoku/>
        <w:wordWrap/>
        <w:overflowPunct/>
        <w:topLinePunct w:val="0"/>
        <w:bidi w:val="0"/>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keepNext w:val="0"/>
        <w:keepLines w:val="0"/>
        <w:pageBreakBefore w:val="0"/>
        <w:widowControl w:val="0"/>
        <w:kinsoku/>
        <w:wordWrap/>
        <w:overflowPunct/>
        <w:topLinePunct w:val="0"/>
        <w:autoSpaceDE/>
        <w:autoSpaceDN/>
        <w:bidi w:val="0"/>
        <w:adjustRightInd/>
        <w:snapToGrid/>
        <w:spacing w:line="440" w:lineRule="exact"/>
        <w:ind w:left="479" w:leftChars="228" w:firstLine="0" w:firstLineChars="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color w:val="auto"/>
          <w:kern w:val="10"/>
          <w:sz w:val="24"/>
          <w:highlight w:val="none"/>
          <w:lang w:val="en-US" w:eastAsia="zh-CN"/>
        </w:rPr>
      </w:pPr>
      <w:r>
        <w:rPr>
          <w:rFonts w:hint="default" w:ascii="宋体" w:hAnsi="宋体" w:eastAsia="宋体" w:cs="Times New Roman"/>
          <w:color w:val="auto"/>
          <w:kern w:val="10"/>
          <w:sz w:val="24"/>
          <w:highlight w:val="none"/>
          <w:lang w:val="en-US" w:eastAsia="zh-CN"/>
        </w:rPr>
        <w:t>GB/T</w:t>
      </w:r>
      <w:r>
        <w:rPr>
          <w:rFonts w:hint="eastAsia" w:ascii="宋体" w:hAnsi="宋体" w:eastAsia="宋体" w:cs="Times New Roman"/>
          <w:color w:val="auto"/>
          <w:kern w:val="10"/>
          <w:sz w:val="24"/>
          <w:highlight w:val="none"/>
          <w:lang w:val="en-US" w:eastAsia="zh-CN"/>
        </w:rPr>
        <w:t xml:space="preserve"> </w:t>
      </w:r>
      <w:r>
        <w:rPr>
          <w:rFonts w:hint="default" w:ascii="宋体" w:hAnsi="宋体" w:eastAsia="宋体" w:cs="Times New Roman"/>
          <w:color w:val="auto"/>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Times New Roman"/>
          <w:color w:val="auto"/>
          <w:kern w:val="10"/>
          <w:sz w:val="24"/>
          <w:highlight w:val="none"/>
          <w:lang w:val="en-US" w:eastAsia="zh-CN"/>
        </w:rPr>
      </w:pPr>
      <w:r>
        <w:rPr>
          <w:rFonts w:hint="default" w:ascii="宋体" w:hAnsi="宋体" w:eastAsia="宋体" w:cs="Times New Roman"/>
          <w:color w:val="auto"/>
          <w:kern w:val="10"/>
          <w:sz w:val="24"/>
          <w:highlight w:val="none"/>
          <w:lang w:val="en-US" w:eastAsia="zh-CN"/>
        </w:rPr>
        <w:t>GB/T 214-2007煤中全硫的测定方法</w:t>
      </w:r>
    </w:p>
    <w:bookmarkEnd w:id="7"/>
    <w:bookmarkEnd w:id="8"/>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color w:val="auto"/>
          <w:kern w:val="10"/>
          <w:sz w:val="24"/>
          <w:highlight w:val="none"/>
          <w:lang w:val="en-US" w:eastAsia="zh-CN"/>
        </w:rPr>
      </w:pPr>
      <w:bookmarkStart w:id="10" w:name="_Toc19710"/>
      <w:r>
        <w:rPr>
          <w:rFonts w:hint="eastAsia" w:ascii="宋体" w:hAnsi="宋体" w:eastAsia="宋体" w:cs="宋体"/>
          <w:b/>
          <w:bCs w:val="0"/>
          <w:color w:val="auto"/>
          <w:kern w:val="10"/>
          <w:sz w:val="24"/>
          <w:highlight w:val="none"/>
          <w:lang w:val="en-US" w:eastAsia="zh-CN"/>
        </w:rPr>
        <w:t>1.3 技术要求和试验方法</w:t>
      </w:r>
      <w:bookmarkEnd w:id="10"/>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b w:val="0"/>
          <w:bCs w:val="0"/>
          <w:color w:val="auto"/>
          <w:kern w:val="10"/>
          <w:sz w:val="24"/>
          <w:szCs w:val="22"/>
          <w:highlight w:val="none"/>
          <w:lang w:val="en-US" w:eastAsia="zh-CN" w:bidi="ar-SA"/>
        </w:rPr>
      </w:pPr>
      <w:r>
        <w:rPr>
          <w:rFonts w:hint="eastAsia" w:ascii="宋体" w:hAnsi="宋体" w:eastAsia="宋体" w:cs="Times New Roman"/>
          <w:color w:val="auto"/>
          <w:kern w:val="10"/>
          <w:sz w:val="24"/>
          <w:highlight w:val="none"/>
          <w:lang w:val="en-US" w:eastAsia="zh-CN"/>
        </w:rPr>
        <w:t>石油焦（生焦）的技术要求和试验方法应符合表1规定。</w:t>
      </w:r>
    </w:p>
    <w:p>
      <w:pPr>
        <w:pStyle w:val="4"/>
        <w:keepNext w:val="0"/>
        <w:keepLines w:val="0"/>
        <w:pageBreakBefore w:val="0"/>
        <w:widowControl w:val="0"/>
        <w:tabs>
          <w:tab w:val="left" w:pos="3330"/>
        </w:tabs>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10"/>
          <w:sz w:val="24"/>
          <w:szCs w:val="22"/>
          <w:highlight w:val="none"/>
          <w:lang w:val="en-US" w:eastAsia="zh-CN" w:bidi="ar-SA"/>
        </w:rPr>
      </w:pPr>
      <w:r>
        <w:rPr>
          <w:rFonts w:hint="eastAsia" w:ascii="宋体" w:hAnsi="宋体" w:eastAsia="宋体" w:cs="宋体"/>
          <w:b w:val="0"/>
          <w:bCs w:val="0"/>
          <w:color w:val="auto"/>
          <w:kern w:val="10"/>
          <w:sz w:val="24"/>
          <w:szCs w:val="22"/>
          <w:highlight w:val="none"/>
          <w:lang w:val="en-US" w:eastAsia="zh-CN" w:bidi="ar-SA"/>
        </w:rPr>
        <w:t>表1：石油焦（生焦）技术要求和试验方法</w:t>
      </w:r>
    </w:p>
    <w:tbl>
      <w:tblPr>
        <w:tblStyle w:val="8"/>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412"/>
        <w:gridCol w:w="270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b/>
                <w:bCs/>
                <w:color w:val="auto"/>
                <w:kern w:val="10"/>
                <w:sz w:val="21"/>
                <w:szCs w:val="21"/>
                <w:highlight w:val="none"/>
                <w:lang w:val="en-US" w:eastAsia="zh-CN"/>
              </w:rPr>
            </w:pPr>
          </w:p>
          <w:p>
            <w:pPr>
              <w:ind w:firstLine="211" w:firstLineChars="100"/>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项</w:t>
            </w:r>
            <w:r>
              <w:rPr>
                <w:rFonts w:hint="eastAsia" w:ascii="宋体" w:hAnsi="宋体" w:eastAsia="宋体" w:cs="宋体"/>
                <w:b/>
                <w:bCs/>
                <w:color w:val="auto"/>
                <w:kern w:val="10"/>
                <w:sz w:val="21"/>
                <w:szCs w:val="21"/>
                <w:highlight w:val="none"/>
                <w:lang w:val="en-US" w:eastAsia="zh-CN"/>
              </w:rPr>
              <w:tab/>
            </w:r>
            <w:r>
              <w:rPr>
                <w:rFonts w:hint="eastAsia" w:ascii="宋体" w:hAnsi="宋体" w:eastAsia="宋体" w:cs="宋体"/>
                <w:b/>
                <w:bCs/>
                <w:color w:val="auto"/>
                <w:kern w:val="10"/>
                <w:sz w:val="21"/>
                <w:szCs w:val="21"/>
                <w:highlight w:val="none"/>
                <w:lang w:val="en-US" w:eastAsia="zh-CN"/>
              </w:rPr>
              <w:t>目</w:t>
            </w:r>
          </w:p>
        </w:tc>
        <w:tc>
          <w:tcPr>
            <w:tcW w:w="4322"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质量指标</w:t>
            </w:r>
          </w:p>
        </w:tc>
        <w:tc>
          <w:tcPr>
            <w:tcW w:w="2700" w:type="dxa"/>
            <w:vMerge w:val="restart"/>
            <w:tcBorders>
              <w:left w:val="single" w:color="000000" w:sz="4" w:space="0"/>
            </w:tcBorders>
            <w:vAlign w:val="top"/>
          </w:tcPr>
          <w:p>
            <w:pPr>
              <w:ind w:firstLine="210" w:firstLineChars="100"/>
              <w:jc w:val="center"/>
              <w:rPr>
                <w:rFonts w:hint="eastAsia" w:ascii="宋体" w:hAnsi="宋体" w:eastAsia="宋体" w:cs="宋体"/>
                <w:b w:val="0"/>
                <w:bCs w:val="0"/>
                <w:color w:val="auto"/>
                <w:kern w:val="10"/>
                <w:sz w:val="21"/>
                <w:szCs w:val="21"/>
                <w:highlight w:val="none"/>
                <w:lang w:val="en-US" w:eastAsia="zh-CN"/>
              </w:rPr>
            </w:pPr>
          </w:p>
          <w:p>
            <w:pPr>
              <w:ind w:firstLine="211" w:firstLineChars="100"/>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ind w:firstLine="211" w:firstLineChars="100"/>
              <w:jc w:val="center"/>
              <w:rPr>
                <w:rFonts w:hint="eastAsia" w:ascii="宋体" w:hAnsi="宋体" w:eastAsia="宋体" w:cs="宋体"/>
                <w:b/>
                <w:bCs/>
                <w:color w:val="auto"/>
                <w:kern w:val="10"/>
                <w:sz w:val="21"/>
                <w:szCs w:val="21"/>
                <w:highlight w:val="none"/>
                <w:lang w:val="en-US" w:eastAsia="zh-CN"/>
              </w:rPr>
            </w:pPr>
          </w:p>
        </w:tc>
        <w:tc>
          <w:tcPr>
            <w:tcW w:w="1305" w:type="dxa"/>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中硫石油焦</w:t>
            </w:r>
          </w:p>
        </w:tc>
        <w:tc>
          <w:tcPr>
            <w:tcW w:w="1412" w:type="dxa"/>
            <w:tcBorders>
              <w:top w:val="single" w:color="000000" w:sz="4" w:space="0"/>
              <w:left w:val="single" w:color="000000" w:sz="4" w:space="0"/>
              <w:right w:val="single" w:color="auto" w:sz="4" w:space="0"/>
            </w:tcBorders>
            <w:vAlign w:val="center"/>
          </w:tcPr>
          <w:p>
            <w:pPr>
              <w:jc w:val="center"/>
              <w:rPr>
                <w:rFonts w:hint="eastAsia" w:ascii="宋体" w:hAnsi="宋体" w:eastAsia="宋体" w:cs="宋体"/>
                <w:b/>
                <w:bCs/>
                <w:color w:val="auto"/>
                <w:kern w:val="10"/>
                <w:sz w:val="21"/>
                <w:szCs w:val="21"/>
                <w:highlight w:val="none"/>
                <w:lang w:val="en-US" w:eastAsia="zh-CN"/>
              </w:rPr>
            </w:pPr>
            <w:r>
              <w:rPr>
                <w:rFonts w:hint="eastAsia" w:ascii="宋体" w:hAnsi="宋体" w:eastAsia="宋体" w:cs="宋体"/>
                <w:b/>
                <w:bCs/>
                <w:color w:val="auto"/>
                <w:kern w:val="10"/>
                <w:sz w:val="21"/>
                <w:szCs w:val="21"/>
                <w:highlight w:val="none"/>
                <w:lang w:val="en-US" w:eastAsia="zh-CN"/>
              </w:rPr>
              <w:t>高硫石油焦</w:t>
            </w:r>
          </w:p>
        </w:tc>
        <w:tc>
          <w:tcPr>
            <w:tcW w:w="2700" w:type="dxa"/>
            <w:vMerge w:val="continue"/>
            <w:tcBorders>
              <w:left w:val="single" w:color="000000" w:sz="4" w:space="0"/>
            </w:tcBorders>
          </w:tcPr>
          <w:p>
            <w:pPr>
              <w:ind w:firstLine="210" w:firstLineChars="100"/>
              <w:jc w:val="center"/>
              <w:rPr>
                <w:rFonts w:hint="eastAsia" w:ascii="宋体" w:hAnsi="宋体" w:eastAsia="宋体" w:cs="宋体"/>
                <w:b w:val="0"/>
                <w:bCs w:val="0"/>
                <w:color w:val="auto"/>
                <w:kern w:val="10"/>
                <w:sz w:val="21"/>
                <w:szCs w:val="21"/>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605" w:type="dxa"/>
            <w:tcBorders>
              <w:left w:val="single" w:color="auto" w:sz="4" w:space="0"/>
              <w:bottom w:val="single" w:color="000000" w:sz="4" w:space="0"/>
              <w:right w:val="single" w:color="auto"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1＜X≤4</w:t>
            </w:r>
          </w:p>
        </w:tc>
        <w:tc>
          <w:tcPr>
            <w:tcW w:w="1412" w:type="dxa"/>
            <w:tcBorders>
              <w:left w:val="single" w:color="auto" w:sz="4" w:space="0"/>
              <w:bottom w:val="single" w:color="000000" w:sz="4" w:space="0"/>
              <w:right w:val="single" w:color="000000"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4＜x≤6</w:t>
            </w:r>
          </w:p>
        </w:tc>
        <w:tc>
          <w:tcPr>
            <w:tcW w:w="2700" w:type="dxa"/>
            <w:tcBorders>
              <w:left w:val="single" w:color="000000" w:sz="4" w:space="0"/>
              <w:bottom w:val="single" w:color="000000" w:sz="4" w:space="0"/>
            </w:tcBorders>
            <w:vAlign w:val="center"/>
          </w:tcPr>
          <w:p>
            <w:pPr>
              <w:ind w:firstLine="210" w:firstLineChars="100"/>
              <w:jc w:val="both"/>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605" w:type="dxa"/>
            <w:tcBorders>
              <w:top w:val="single" w:color="000000" w:sz="4" w:space="0"/>
              <w:left w:val="single" w:color="auto" w:sz="4" w:space="0"/>
              <w:bottom w:val="single" w:color="000000" w:sz="4" w:space="0"/>
              <w:right w:val="single" w:color="auto" w:sz="4" w:space="0"/>
            </w:tcBorders>
            <w:vAlign w:val="top"/>
          </w:tcPr>
          <w:p>
            <w:pPr>
              <w:tabs>
                <w:tab w:val="left" w:pos="495"/>
              </w:tabs>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1412" w:type="dxa"/>
            <w:tcBorders>
              <w:top w:val="single" w:color="000000" w:sz="4" w:space="0"/>
              <w:left w:val="single" w:color="auto" w:sz="4" w:space="0"/>
              <w:bottom w:val="single" w:color="000000" w:sz="4" w:space="0"/>
              <w:right w:val="single" w:color="000000" w:sz="4" w:space="0"/>
            </w:tcBorders>
            <w:vAlign w:val="top"/>
          </w:tcPr>
          <w:p>
            <w:pPr>
              <w:tabs>
                <w:tab w:val="left" w:pos="495"/>
              </w:tabs>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≤10</w:t>
            </w:r>
          </w:p>
        </w:tc>
        <w:tc>
          <w:tcPr>
            <w:tcW w:w="2700" w:type="dxa"/>
            <w:tcBorders>
              <w:top w:val="single" w:color="000000" w:sz="4" w:space="0"/>
              <w:left w:val="single" w:color="000000" w:sz="4" w:space="0"/>
              <w:bottom w:val="single" w:color="000000" w:sz="4" w:space="0"/>
            </w:tcBorders>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≤0.5</w:t>
            </w:r>
          </w:p>
        </w:tc>
        <w:tc>
          <w:tcPr>
            <w:tcW w:w="2700" w:type="dxa"/>
            <w:tcBorders>
              <w:top w:val="single" w:color="000000"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≤8.0</w:t>
            </w:r>
          </w:p>
        </w:tc>
        <w:tc>
          <w:tcPr>
            <w:tcW w:w="2700" w:type="dxa"/>
            <w:tcBorders>
              <w:top w:val="single" w:color="000000"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bidi w:val="0"/>
              <w:snapToGrid/>
              <w:spacing w:line="240" w:lineRule="auto"/>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粉焦量（</w:t>
            </w:r>
            <w:r>
              <w:rPr>
                <w:rFonts w:hint="default" w:ascii="Times New Roman" w:hAnsi="Times New Roman" w:eastAsia="宋体" w:cs="Times New Roman"/>
                <w:b w:val="0"/>
                <w:bCs w:val="0"/>
                <w:color w:val="auto"/>
                <w:kern w:val="10"/>
                <w:sz w:val="21"/>
                <w:szCs w:val="21"/>
                <w:highlight w:val="none"/>
                <w:lang w:val="en-US" w:eastAsia="zh-CN"/>
              </w:rPr>
              <w:t>&lt;</w:t>
            </w:r>
            <w:r>
              <w:rPr>
                <w:rFonts w:hint="eastAsia" w:ascii="宋体" w:hAnsi="宋体" w:eastAsia="宋体" w:cs="宋体"/>
                <w:b w:val="0"/>
                <w:bCs w:val="0"/>
                <w:color w:val="auto"/>
                <w:kern w:val="10"/>
                <w:sz w:val="21"/>
                <w:szCs w:val="21"/>
                <w:highlight w:val="none"/>
                <w:lang w:val="en-US" w:eastAsia="zh-CN"/>
              </w:rPr>
              <w:t>8mm）%</w:t>
            </w:r>
          </w:p>
        </w:tc>
        <w:tc>
          <w:tcPr>
            <w:tcW w:w="130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1605"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1412" w:type="dxa"/>
            <w:tcBorders>
              <w:top w:val="single" w:color="000000" w:sz="4" w:space="0"/>
              <w:left w:val="single" w:color="auto" w:sz="4" w:space="0"/>
              <w:bottom w:val="single" w:color="000000" w:sz="4" w:space="0"/>
              <w:right w:val="single" w:color="auto" w:sz="4" w:space="0"/>
            </w:tcBorders>
            <w:vAlign w:val="center"/>
          </w:tcPr>
          <w:p>
            <w:pPr>
              <w:jc w:val="center"/>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≤55</w:t>
            </w:r>
          </w:p>
        </w:tc>
        <w:tc>
          <w:tcPr>
            <w:tcW w:w="2700" w:type="dxa"/>
            <w:tcBorders>
              <w:top w:val="single" w:color="000000" w:sz="4" w:space="0"/>
              <w:left w:val="single" w:color="000000" w:sz="4" w:space="0"/>
              <w:bottom w:val="single" w:color="000000" w:sz="4" w:space="0"/>
            </w:tcBorders>
            <w:vAlign w:val="center"/>
          </w:tcPr>
          <w:p>
            <w:pPr>
              <w:ind w:firstLine="210" w:firstLineChars="100"/>
              <w:jc w:val="both"/>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钒含量ppm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≤900</w:t>
            </w:r>
          </w:p>
        </w:tc>
        <w:tc>
          <w:tcPr>
            <w:tcW w:w="2700" w:type="dxa"/>
            <w:tcBorders>
              <w:top w:val="single" w:color="000000" w:sz="4" w:space="0"/>
              <w:left w:val="single" w:color="000000" w:sz="4" w:space="0"/>
              <w:bottom w:val="single" w:color="auto" w:sz="4" w:space="0"/>
            </w:tcBorders>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铁含量ppm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≤400</w:t>
            </w:r>
          </w:p>
        </w:tc>
        <w:tc>
          <w:tcPr>
            <w:tcW w:w="2700" w:type="dxa"/>
            <w:tcBorders>
              <w:top w:val="single" w:color="000000" w:sz="4" w:space="0"/>
              <w:left w:val="single" w:color="000000" w:sz="4" w:space="0"/>
              <w:bottom w:val="single" w:color="auto" w:sz="4" w:space="0"/>
            </w:tcBorders>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硅含量ppm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≤300</w:t>
            </w:r>
          </w:p>
        </w:tc>
        <w:tc>
          <w:tcPr>
            <w:tcW w:w="2700"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钠含量ppm</w:t>
            </w:r>
          </w:p>
        </w:tc>
        <w:tc>
          <w:tcPr>
            <w:tcW w:w="4322"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≤300</w:t>
            </w:r>
          </w:p>
        </w:tc>
        <w:tc>
          <w:tcPr>
            <w:tcW w:w="2700"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(钙、镍等)</w:t>
            </w:r>
          </w:p>
        </w:tc>
        <w:tc>
          <w:tcPr>
            <w:tcW w:w="4322"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当生产过程中需要控制时，由生产技术部门下发指标要求，并在采购合同中注明。</w:t>
            </w:r>
          </w:p>
        </w:tc>
        <w:tc>
          <w:tcPr>
            <w:tcW w:w="2700" w:type="dxa"/>
            <w:tcBorders>
              <w:top w:val="single" w:color="auto" w:sz="4" w:space="0"/>
              <w:left w:val="single" w:color="000000" w:sz="4" w:space="0"/>
              <w:bottom w:val="single" w:color="000000" w:sz="4" w:space="0"/>
            </w:tcBorders>
            <w:vAlign w:val="center"/>
          </w:tcPr>
          <w:p>
            <w:pPr>
              <w:pStyle w:val="4"/>
              <w:keepNext w:val="0"/>
              <w:keepLines w:val="0"/>
              <w:pageBreakBefore w:val="0"/>
              <w:widowControl w:val="0"/>
              <w:tabs>
                <w:tab w:val="left" w:pos="3330"/>
              </w:tabs>
              <w:kinsoku/>
              <w:wordWrap/>
              <w:overflowPunct/>
              <w:topLinePunct w:val="0"/>
              <w:autoSpaceDE/>
              <w:autoSpaceDN/>
              <w:bidi w:val="0"/>
              <w:adjustRightInd/>
              <w:snapToGrid/>
              <w:spacing w:line="320" w:lineRule="exact"/>
              <w:ind w:firstLine="210" w:firstLineChars="100"/>
              <w:jc w:val="both"/>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630" w:hanging="630" w:hangingChars="300"/>
              <w:jc w:val="left"/>
              <w:textAlignment w:val="auto"/>
              <w:rPr>
                <w:rFonts w:hint="eastAsia" w:ascii="宋体" w:hAnsi="宋体" w:eastAsia="宋体" w:cs="宋体"/>
                <w:b w:val="0"/>
                <w:bCs w:val="0"/>
                <w:color w:val="auto"/>
                <w:kern w:val="10"/>
                <w:sz w:val="21"/>
                <w:szCs w:val="21"/>
                <w:highlight w:val="none"/>
                <w:lang w:val="en-US" w:eastAsia="zh-CN"/>
              </w:rPr>
            </w:pPr>
            <w:r>
              <w:rPr>
                <w:rFonts w:hint="eastAsia" w:ascii="宋体" w:hAnsi="宋体" w:eastAsia="宋体" w:cs="宋体"/>
                <w:b w:val="0"/>
                <w:bCs w:val="0"/>
                <w:color w:val="auto"/>
                <w:kern w:val="10"/>
                <w:sz w:val="21"/>
                <w:szCs w:val="21"/>
                <w:highlight w:val="none"/>
                <w:lang w:val="en-US" w:eastAsia="zh-CN"/>
              </w:rPr>
              <w:t>备注：以上质量指标要求适用于地方炼油厂及国外进口的石油焦，国内“三桶油”（即：中石油、中石化、中海油）生产的石油焦，需由我公司对其取样检测，质量性能符合我公司使用的石油焦指标要求后，再决定是否进行采购使用，质量指标以实际取样检测为准。</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color w:val="auto"/>
          <w:kern w:val="10"/>
          <w:sz w:val="24"/>
          <w:highlight w:val="none"/>
          <w:lang w:val="en-US" w:eastAsia="zh-CN"/>
        </w:rPr>
      </w:pPr>
      <w:bookmarkStart w:id="11" w:name="_Toc17909"/>
      <w:r>
        <w:rPr>
          <w:rFonts w:hint="eastAsia" w:ascii="宋体" w:hAnsi="宋体" w:eastAsia="宋体" w:cs="宋体"/>
          <w:b/>
          <w:bCs w:val="0"/>
          <w:color w:val="auto"/>
          <w:kern w:val="10"/>
          <w:sz w:val="24"/>
          <w:highlight w:val="none"/>
          <w:lang w:val="en-US" w:eastAsia="zh-CN"/>
        </w:rPr>
        <w:t>1.4 检验规则</w:t>
      </w:r>
      <w:bookmarkEnd w:id="11"/>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1.4.1 检测和验收</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color w:val="auto"/>
          <w:highlight w:val="none"/>
          <w:lang w:val="en-US" w:eastAsia="zh-CN"/>
        </w:rPr>
      </w:pPr>
      <w:r>
        <w:rPr>
          <w:rFonts w:hint="eastAsia" w:ascii="宋体" w:hAnsi="宋体" w:eastAsia="宋体" w:cs="Times New Roman"/>
          <w:b w:val="0"/>
          <w:bCs w:val="0"/>
          <w:color w:val="auto"/>
          <w:kern w:val="10"/>
          <w:sz w:val="24"/>
          <w:highlight w:val="none"/>
          <w:lang w:val="en-US" w:eastAsia="zh-CN"/>
        </w:rPr>
        <w:t>1.4.1.1 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1.4.1.2 必要时，需方可依据订货单(或合同)约定，进入供方现场对拟交货的产品进行供货前的检查和验收。</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color w:val="auto"/>
          <w:kern w:val="10"/>
          <w:sz w:val="24"/>
          <w:highlight w:val="none"/>
          <w:lang w:val="en-US" w:eastAsia="zh-CN"/>
        </w:rPr>
      </w:pPr>
      <w:bookmarkStart w:id="12" w:name="_Toc3691"/>
      <w:r>
        <w:rPr>
          <w:rFonts w:hint="eastAsia" w:ascii="宋体" w:hAnsi="宋体" w:eastAsia="宋体" w:cs="Times New Roman"/>
          <w:b/>
          <w:bCs w:val="0"/>
          <w:color w:val="auto"/>
          <w:kern w:val="10"/>
          <w:sz w:val="24"/>
          <w:highlight w:val="none"/>
          <w:lang w:val="en-US" w:eastAsia="zh-CN"/>
        </w:rPr>
        <w:t>1.4.2 组批</w:t>
      </w:r>
      <w:bookmarkEnd w:id="12"/>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1.4.2.1 同一供应商，每车到货石油焦均需要采样，每5车组批检测水分、挥发分、灰分、硫含量，粉焦量（连续两日内到货量不足5车的同样组批检测），每15车组批检测铁、硅、钠、钒含量。</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1.4.2.2 石油焦在使用过程中出现质量问题时，可不定时进行取样检验，若为石油焦质量存在问题的，由供方承担对需方生产造成影响的责任及损失。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color w:val="auto"/>
          <w:kern w:val="10"/>
          <w:sz w:val="24"/>
          <w:highlight w:val="none"/>
          <w:lang w:val="en-US" w:eastAsia="zh-CN"/>
        </w:rPr>
      </w:pPr>
      <w:r>
        <w:rPr>
          <w:rFonts w:hint="eastAsia" w:ascii="宋体" w:hAnsi="宋体" w:eastAsia="宋体" w:cs="Times New Roman"/>
          <w:color w:val="auto"/>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color w:val="auto"/>
          <w:kern w:val="10"/>
          <w:sz w:val="24"/>
          <w:highlight w:val="none"/>
          <w:lang w:val="en-US" w:eastAsia="zh-CN"/>
        </w:rPr>
      </w:pPr>
      <w:r>
        <w:rPr>
          <w:rFonts w:hint="eastAsia" w:ascii="宋体" w:hAnsi="宋体" w:eastAsia="宋体" w:cs="Times New Roman"/>
          <w:b/>
          <w:bCs w:val="0"/>
          <w:color w:val="auto"/>
          <w:kern w:val="10"/>
          <w:sz w:val="24"/>
          <w:highlight w:val="none"/>
          <w:lang w:val="en-US" w:eastAsia="zh-CN"/>
        </w:rPr>
        <w:t>1.4.4 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bookmarkStart w:id="13" w:name="_Toc26421"/>
      <w:r>
        <w:rPr>
          <w:rFonts w:hint="eastAsia" w:ascii="宋体" w:hAnsi="宋体" w:eastAsia="宋体" w:cs="Times New Roman"/>
          <w:b w:val="0"/>
          <w:bCs w:val="0"/>
          <w:color w:val="auto"/>
          <w:kern w:val="10"/>
          <w:sz w:val="24"/>
          <w:highlight w:val="none"/>
          <w:lang w:val="en-US" w:eastAsia="zh-CN"/>
        </w:rPr>
        <w:t>1.4.4.1 到货取样和制样</w:t>
      </w:r>
      <w:bookmarkEnd w:id="13"/>
      <w:r>
        <w:rPr>
          <w:rFonts w:hint="eastAsia" w:ascii="宋体" w:hAnsi="宋体" w:eastAsia="宋体" w:cs="Times New Roman"/>
          <w:b w:val="0"/>
          <w:bCs w:val="0"/>
          <w:color w:val="auto"/>
          <w:kern w:val="10"/>
          <w:sz w:val="24"/>
          <w:highlight w:val="none"/>
          <w:lang w:val="en-US" w:eastAsia="zh-CN"/>
        </w:rPr>
        <w:t>,按照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color w:val="auto"/>
          <w:kern w:val="10"/>
          <w:sz w:val="24"/>
          <w:highlight w:val="none"/>
          <w:lang w:val="en-US" w:eastAsia="zh-CN"/>
        </w:rPr>
      </w:pPr>
      <w:r>
        <w:rPr>
          <w:rFonts w:hint="eastAsia" w:ascii="宋体" w:hAnsi="宋体" w:eastAsia="宋体" w:cs="Times New Roman"/>
          <w:b/>
          <w:bCs/>
          <w:color w:val="auto"/>
          <w:kern w:val="10"/>
          <w:sz w:val="24"/>
          <w:highlight w:val="none"/>
          <w:lang w:val="en-US" w:eastAsia="zh-CN"/>
        </w:rPr>
        <w:t>1.4.5 复检</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.4.5.1 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.4.5.2 复检样品：采用需方到货验收时的封存样品进行复检。</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 复检结果的应用：当复检质量高于原到货验收质量时，复检结果在该项指标检测标准规定再现性范围内的，以需方到货验收时检测结果为结算依据，当复检结果超出该项指标检测标准规定再现性范围的，以复检结果为结算依据。当复检仲裁质量低于原到货验收质量时，一律以复检仲裁结果为结算依据。</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 复检费用：在需方实验室进行复检的，复检费用由需方承担；由具有资质的第三方实验室复检的，复检费用由提出异议方承担（由需方先行支付，后由供方支付给需方）。</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color w:val="auto"/>
          <w:kern w:val="10"/>
          <w:sz w:val="24"/>
          <w:szCs w:val="24"/>
          <w:highlight w:val="none"/>
          <w:lang w:val="en-US" w:eastAsia="zh-CN" w:bidi="ar-SA"/>
        </w:rPr>
      </w:pPr>
      <w:r>
        <w:rPr>
          <w:rFonts w:hint="eastAsia" w:cs="Times New Roman"/>
          <w:b/>
          <w:color w:val="auto"/>
          <w:kern w:val="10"/>
          <w:sz w:val="24"/>
          <w:szCs w:val="24"/>
          <w:highlight w:val="none"/>
          <w:lang w:val="en-US" w:eastAsia="zh-CN" w:bidi="ar-SA"/>
        </w:rPr>
        <w:t>1.4</w:t>
      </w:r>
      <w:r>
        <w:rPr>
          <w:rFonts w:hint="eastAsia" w:ascii="宋体" w:hAnsi="宋体" w:eastAsia="宋体" w:cs="Times New Roman"/>
          <w:b/>
          <w:color w:val="auto"/>
          <w:kern w:val="10"/>
          <w:sz w:val="24"/>
          <w:szCs w:val="24"/>
          <w:highlight w:val="none"/>
          <w:lang w:val="en-US" w:eastAsia="zh-CN" w:bidi="ar-SA"/>
        </w:rPr>
        <w:t>.</w:t>
      </w:r>
      <w:r>
        <w:rPr>
          <w:rFonts w:hint="eastAsia" w:cs="Times New Roman"/>
          <w:b/>
          <w:color w:val="auto"/>
          <w:kern w:val="10"/>
          <w:sz w:val="24"/>
          <w:szCs w:val="24"/>
          <w:highlight w:val="none"/>
          <w:lang w:val="en-US" w:eastAsia="zh-CN" w:bidi="ar-SA"/>
        </w:rPr>
        <w:t xml:space="preserve">6 </w:t>
      </w:r>
      <w:r>
        <w:rPr>
          <w:rFonts w:hint="eastAsia" w:ascii="宋体" w:hAnsi="宋体" w:eastAsia="宋体" w:cs="Times New Roman"/>
          <w:b/>
          <w:color w:val="auto"/>
          <w:kern w:val="10"/>
          <w:sz w:val="24"/>
          <w:szCs w:val="24"/>
          <w:highlight w:val="none"/>
          <w:lang w:val="en-US" w:eastAsia="zh-CN" w:bidi="ar-SA"/>
        </w:rPr>
        <w:t>检验结果的判定</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firstLine="480" w:firstLineChars="200"/>
        <w:jc w:val="left"/>
        <w:textAlignment w:val="auto"/>
        <w:rPr>
          <w:rFonts w:hint="default" w:ascii="宋体" w:hAnsi="宋体" w:eastAsia="宋体" w:cs="Times New Roman"/>
          <w:b w:val="0"/>
          <w:bCs w:val="0"/>
          <w:color w:val="auto"/>
          <w:kern w:val="10"/>
          <w:sz w:val="24"/>
          <w:szCs w:val="24"/>
          <w:highlight w:val="none"/>
          <w:lang w:val="en-US" w:eastAsia="zh-CN" w:bidi="ar-SA"/>
        </w:rPr>
      </w:pPr>
      <w:r>
        <w:rPr>
          <w:rFonts w:hint="eastAsia" w:ascii="宋体" w:hAnsi="宋体" w:eastAsia="宋体" w:cs="Times New Roman"/>
          <w:b w:val="0"/>
          <w:bCs w:val="0"/>
          <w:color w:val="auto"/>
          <w:kern w:val="10"/>
          <w:sz w:val="24"/>
          <w:szCs w:val="24"/>
          <w:highlight w:val="none"/>
          <w:lang w:val="en-US" w:eastAsia="zh-CN" w:bidi="ar-SA"/>
        </w:rPr>
        <w:t>验收过程中，出现</w:t>
      </w:r>
      <w:r>
        <w:rPr>
          <w:rFonts w:hint="default" w:ascii="宋体" w:hAnsi="宋体" w:eastAsia="宋体" w:cs="Times New Roman"/>
          <w:b w:val="0"/>
          <w:bCs w:val="0"/>
          <w:color w:val="auto"/>
          <w:kern w:val="10"/>
          <w:sz w:val="24"/>
          <w:szCs w:val="24"/>
          <w:highlight w:val="none"/>
          <w:lang w:val="en-US" w:eastAsia="zh-CN" w:bidi="ar-SA"/>
        </w:rPr>
        <w:t>任何</w:t>
      </w:r>
      <w:r>
        <w:rPr>
          <w:rFonts w:hint="eastAsia" w:ascii="宋体" w:hAnsi="宋体" w:eastAsia="宋体" w:cs="Times New Roman"/>
          <w:b w:val="0"/>
          <w:bCs w:val="0"/>
          <w:color w:val="auto"/>
          <w:kern w:val="10"/>
          <w:sz w:val="24"/>
          <w:szCs w:val="24"/>
          <w:highlight w:val="none"/>
          <w:lang w:val="en-US" w:eastAsia="zh-CN" w:bidi="ar-SA"/>
        </w:rPr>
        <w:t>一</w:t>
      </w:r>
      <w:r>
        <w:rPr>
          <w:rFonts w:hint="default" w:ascii="宋体" w:hAnsi="宋体" w:eastAsia="宋体" w:cs="Times New Roman"/>
          <w:b w:val="0"/>
          <w:bCs w:val="0"/>
          <w:color w:val="auto"/>
          <w:kern w:val="10"/>
          <w:sz w:val="24"/>
          <w:szCs w:val="24"/>
          <w:highlight w:val="none"/>
          <w:lang w:val="en-US" w:eastAsia="zh-CN" w:bidi="ar-SA"/>
        </w:rPr>
        <w:t>项</w:t>
      </w:r>
      <w:r>
        <w:rPr>
          <w:rFonts w:hint="eastAsia" w:ascii="宋体" w:hAnsi="宋体" w:eastAsia="宋体" w:cs="Times New Roman"/>
          <w:b w:val="0"/>
          <w:bCs w:val="0"/>
          <w:color w:val="auto"/>
          <w:kern w:val="10"/>
          <w:sz w:val="24"/>
          <w:szCs w:val="24"/>
          <w:highlight w:val="none"/>
          <w:lang w:val="en-US" w:eastAsia="zh-CN" w:bidi="ar-SA"/>
        </w:rPr>
        <w:t>质量指标</w:t>
      </w:r>
      <w:r>
        <w:rPr>
          <w:rFonts w:hint="default" w:ascii="宋体" w:hAnsi="宋体" w:eastAsia="宋体" w:cs="Times New Roman"/>
          <w:b w:val="0"/>
          <w:bCs w:val="0"/>
          <w:color w:val="auto"/>
          <w:kern w:val="10"/>
          <w:sz w:val="24"/>
          <w:szCs w:val="24"/>
          <w:highlight w:val="none"/>
          <w:lang w:val="en-US" w:eastAsia="zh-CN" w:bidi="ar-SA"/>
        </w:rPr>
        <w:t>不合格，</w:t>
      </w:r>
      <w:r>
        <w:rPr>
          <w:rFonts w:hint="eastAsia" w:ascii="宋体" w:hAnsi="宋体" w:eastAsia="宋体" w:cs="Times New Roman"/>
          <w:b w:val="0"/>
          <w:bCs w:val="0"/>
          <w:color w:val="auto"/>
          <w:kern w:val="10"/>
          <w:sz w:val="24"/>
          <w:szCs w:val="24"/>
          <w:highlight w:val="none"/>
          <w:lang w:val="en-US" w:eastAsia="zh-CN" w:bidi="ar-SA"/>
        </w:rPr>
        <w:t>判定该批次石油焦不合格。</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jc w:val="left"/>
        <w:textAlignment w:val="auto"/>
        <w:rPr>
          <w:rFonts w:hint="eastAsia" w:ascii="宋体" w:hAnsi="宋体" w:eastAsia="宋体" w:cs="Times New Roman"/>
          <w:b/>
          <w:color w:val="auto"/>
          <w:kern w:val="10"/>
          <w:sz w:val="24"/>
          <w:szCs w:val="24"/>
          <w:highlight w:val="none"/>
          <w:lang w:val="en-US" w:eastAsia="zh-CN" w:bidi="ar-SA"/>
        </w:rPr>
      </w:pPr>
      <w:r>
        <w:rPr>
          <w:rFonts w:hint="eastAsia" w:cs="Times New Roman"/>
          <w:b/>
          <w:color w:val="auto"/>
          <w:kern w:val="10"/>
          <w:sz w:val="24"/>
          <w:szCs w:val="24"/>
          <w:highlight w:val="none"/>
          <w:lang w:val="en-US" w:eastAsia="zh-CN" w:bidi="ar-SA"/>
        </w:rPr>
        <w:t>1.4</w:t>
      </w:r>
      <w:r>
        <w:rPr>
          <w:rFonts w:hint="eastAsia" w:ascii="宋体" w:hAnsi="宋体" w:eastAsia="宋体" w:cs="Times New Roman"/>
          <w:b/>
          <w:color w:val="auto"/>
          <w:kern w:val="10"/>
          <w:sz w:val="24"/>
          <w:szCs w:val="24"/>
          <w:highlight w:val="none"/>
          <w:lang w:val="en-US" w:eastAsia="zh-CN" w:bidi="ar-SA"/>
        </w:rPr>
        <w:t>.</w:t>
      </w:r>
      <w:r>
        <w:rPr>
          <w:rFonts w:hint="eastAsia" w:cs="Times New Roman"/>
          <w:b/>
          <w:color w:val="auto"/>
          <w:kern w:val="10"/>
          <w:sz w:val="24"/>
          <w:szCs w:val="24"/>
          <w:highlight w:val="none"/>
          <w:lang w:val="en-US" w:eastAsia="zh-CN" w:bidi="ar-SA"/>
        </w:rPr>
        <w:t xml:space="preserve">7 </w:t>
      </w:r>
      <w:r>
        <w:rPr>
          <w:rFonts w:hint="eastAsia" w:ascii="宋体" w:hAnsi="宋体" w:eastAsia="宋体" w:cs="Times New Roman"/>
          <w:b/>
          <w:color w:val="auto"/>
          <w:kern w:val="10"/>
          <w:sz w:val="24"/>
          <w:szCs w:val="24"/>
          <w:highlight w:val="none"/>
          <w:lang w:val="en-US" w:eastAsia="zh-CN" w:bidi="ar-SA"/>
        </w:rPr>
        <w:t>外观质量</w:t>
      </w:r>
    </w:p>
    <w:p>
      <w:pPr>
        <w:pStyle w:val="15"/>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before="1" w:after="0" w:line="440" w:lineRule="exact"/>
        <w:ind w:right="0" w:rightChars="0" w:firstLine="480" w:firstLineChars="200"/>
        <w:jc w:val="left"/>
        <w:textAlignment w:val="auto"/>
        <w:rPr>
          <w:rFonts w:hint="default" w:ascii="宋体" w:hAnsi="宋体" w:eastAsia="宋体" w:cs="Times New Roman"/>
          <w:b w:val="0"/>
          <w:bCs w:val="0"/>
          <w:color w:val="auto"/>
          <w:kern w:val="10"/>
          <w:sz w:val="24"/>
          <w:szCs w:val="24"/>
          <w:highlight w:val="none"/>
          <w:lang w:val="en-US" w:eastAsia="zh-CN" w:bidi="ar-SA"/>
        </w:rPr>
      </w:pPr>
      <w:r>
        <w:rPr>
          <w:rFonts w:hint="default" w:ascii="宋体" w:hAnsi="宋体" w:eastAsia="宋体" w:cs="Times New Roman"/>
          <w:b w:val="0"/>
          <w:bCs w:val="0"/>
          <w:color w:val="auto"/>
          <w:kern w:val="10"/>
          <w:sz w:val="24"/>
          <w:szCs w:val="24"/>
          <w:highlight w:val="none"/>
          <w:lang w:val="en-US" w:eastAsia="zh-CN" w:bidi="ar-SA"/>
        </w:rPr>
        <w:t>石油焦中出现焦泥、沥青、弹丸焦及非石油焦物质，</w:t>
      </w:r>
      <w:r>
        <w:rPr>
          <w:rFonts w:hint="eastAsia" w:cs="Times New Roman"/>
          <w:b w:val="0"/>
          <w:bCs w:val="0"/>
          <w:color w:val="auto"/>
          <w:kern w:val="10"/>
          <w:sz w:val="24"/>
          <w:szCs w:val="24"/>
          <w:highlight w:val="none"/>
          <w:lang w:val="en-US" w:eastAsia="zh-CN" w:bidi="ar-SA"/>
        </w:rPr>
        <w:t>作退货处理，因退货对需方生产造成影响的，由供方承担相关责任及赔偿相应损失。</w:t>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r>
        <w:rPr>
          <w:rFonts w:hint="default" w:ascii="宋体" w:hAnsi="宋体" w:eastAsia="宋体" w:cs="Times New Roman"/>
          <w:b w:val="0"/>
          <w:bCs w:val="0"/>
          <w:color w:val="auto"/>
          <w:kern w:val="10"/>
          <w:sz w:val="24"/>
          <w:szCs w:val="24"/>
          <w:highlight w:val="none"/>
          <w:lang w:val="en-US" w:eastAsia="zh-CN" w:bidi="ar-SA"/>
        </w:rPr>
        <w:tab/>
      </w:r>
      <w:bookmarkStart w:id="14" w:name="_Toc2881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15" w:name="_Toc11519"/>
      <w:r>
        <w:rPr>
          <w:rFonts w:hint="eastAsia" w:ascii="宋体" w:hAnsi="宋体" w:eastAsia="宋体" w:cs="宋体"/>
          <w:b/>
          <w:bCs w:val="0"/>
          <w:color w:val="auto"/>
          <w:kern w:val="10"/>
          <w:sz w:val="24"/>
          <w:highlight w:val="none"/>
          <w:lang w:val="en-US" w:eastAsia="zh-CN"/>
        </w:rPr>
        <w:t>1.5 随行文件</w:t>
      </w:r>
      <w:bookmarkEnd w:id="14"/>
      <w:bookmarkEnd w:id="15"/>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每批到货石油焦应附有质量证明书等，应注明：</w:t>
      </w:r>
      <w:r>
        <w:rPr>
          <w:rFonts w:hint="eastAsia" w:asciiTheme="majorEastAsia" w:hAnsiTheme="majorEastAsia" w:eastAsiaTheme="majorEastAsia" w:cstheme="majorEastAsia"/>
          <w:b w:val="0"/>
          <w:bCs w:val="0"/>
          <w:color w:val="auto"/>
          <w:kern w:val="10"/>
          <w:sz w:val="24"/>
          <w:highlight w:val="none"/>
          <w:lang w:val="en-US" w:eastAsia="zh-CN"/>
        </w:rPr>
        <w:t>①</w:t>
      </w:r>
      <w:r>
        <w:rPr>
          <w:rFonts w:hint="eastAsia" w:ascii="宋体" w:hAnsi="宋体" w:eastAsia="宋体" w:cs="Times New Roman"/>
          <w:b w:val="0"/>
          <w:bCs w:val="0"/>
          <w:color w:val="auto"/>
          <w:kern w:val="10"/>
          <w:sz w:val="24"/>
          <w:highlight w:val="none"/>
          <w:lang w:val="en-US" w:eastAsia="zh-CN"/>
        </w:rPr>
        <w:t>供方信息；</w:t>
      </w:r>
      <w:r>
        <w:rPr>
          <w:rFonts w:hint="eastAsia" w:asciiTheme="majorEastAsia" w:hAnsiTheme="majorEastAsia" w:eastAsiaTheme="majorEastAsia" w:cstheme="majorEastAsia"/>
          <w:b w:val="0"/>
          <w:bCs w:val="0"/>
          <w:color w:val="auto"/>
          <w:kern w:val="10"/>
          <w:sz w:val="24"/>
          <w:highlight w:val="none"/>
          <w:lang w:val="en-US" w:eastAsia="zh-CN"/>
        </w:rPr>
        <w:t>②</w:t>
      </w:r>
      <w:r>
        <w:rPr>
          <w:rFonts w:hint="eastAsia" w:ascii="宋体" w:hAnsi="宋体" w:eastAsia="宋体" w:cs="Times New Roman"/>
          <w:b w:val="0"/>
          <w:bCs w:val="0"/>
          <w:color w:val="auto"/>
          <w:kern w:val="10"/>
          <w:sz w:val="24"/>
          <w:highlight w:val="none"/>
          <w:lang w:val="en-US" w:eastAsia="zh-CN"/>
        </w:rPr>
        <w:t>产品名称和牌号；</w:t>
      </w:r>
      <w:r>
        <w:rPr>
          <w:rFonts w:hint="eastAsia" w:asciiTheme="majorEastAsia" w:hAnsiTheme="majorEastAsia" w:eastAsiaTheme="majorEastAsia" w:cstheme="majorEastAsia"/>
          <w:b w:val="0"/>
          <w:bCs w:val="0"/>
          <w:color w:val="auto"/>
          <w:kern w:val="10"/>
          <w:sz w:val="24"/>
          <w:highlight w:val="none"/>
          <w:lang w:val="en-US" w:eastAsia="zh-CN"/>
        </w:rPr>
        <w:t>③</w:t>
      </w:r>
      <w:r>
        <w:rPr>
          <w:rFonts w:hint="eastAsia" w:ascii="宋体" w:hAnsi="宋体" w:eastAsia="宋体" w:cs="Times New Roman"/>
          <w:b w:val="0"/>
          <w:bCs w:val="0"/>
          <w:color w:val="auto"/>
          <w:kern w:val="10"/>
          <w:sz w:val="24"/>
          <w:highlight w:val="none"/>
          <w:lang w:val="en-US" w:eastAsia="zh-CN"/>
        </w:rPr>
        <w:t>批号、净含量；</w:t>
      </w:r>
      <w:r>
        <w:rPr>
          <w:rFonts w:hint="eastAsia" w:ascii="宋体" w:hAnsi="宋体" w:eastAsia="宋体" w:cs="宋体"/>
          <w:b w:val="0"/>
          <w:bCs w:val="0"/>
          <w:color w:val="auto"/>
          <w:kern w:val="10"/>
          <w:sz w:val="24"/>
          <w:highlight w:val="none"/>
          <w:lang w:val="en-US" w:eastAsia="zh-CN"/>
        </w:rPr>
        <w:t>④</w:t>
      </w:r>
      <w:r>
        <w:rPr>
          <w:rFonts w:hint="eastAsia" w:ascii="宋体" w:hAnsi="宋体" w:eastAsia="宋体" w:cs="Times New Roman"/>
          <w:b w:val="0"/>
          <w:bCs w:val="0"/>
          <w:color w:val="auto"/>
          <w:kern w:val="10"/>
          <w:sz w:val="24"/>
          <w:highlight w:val="none"/>
          <w:lang w:val="en-US" w:eastAsia="zh-CN"/>
        </w:rPr>
        <w:t>分析检验结果及供方技术(质量)监督部门印记；</w:t>
      </w:r>
      <w:r>
        <w:rPr>
          <w:rFonts w:hint="eastAsia" w:ascii="宋体" w:hAnsi="宋体" w:eastAsia="宋体" w:cs="宋体"/>
          <w:b w:val="0"/>
          <w:bCs w:val="0"/>
          <w:color w:val="auto"/>
          <w:kern w:val="10"/>
          <w:sz w:val="24"/>
          <w:highlight w:val="none"/>
          <w:lang w:val="en-US" w:eastAsia="zh-CN"/>
        </w:rPr>
        <w:t>⑤</w:t>
      </w:r>
      <w:r>
        <w:rPr>
          <w:rFonts w:hint="eastAsia" w:ascii="宋体" w:hAnsi="宋体" w:eastAsia="宋体" w:cs="Times New Roman"/>
          <w:b w:val="0"/>
          <w:bCs w:val="0"/>
          <w:color w:val="auto"/>
          <w:kern w:val="10"/>
          <w:sz w:val="24"/>
          <w:highlight w:val="none"/>
          <w:lang w:val="en-US" w:eastAsia="zh-CN"/>
        </w:rPr>
        <w:t>执行标准号；</w:t>
      </w:r>
      <w:r>
        <w:rPr>
          <w:rFonts w:hint="eastAsia" w:ascii="宋体" w:hAnsi="宋体" w:eastAsia="宋体" w:cs="宋体"/>
          <w:b w:val="0"/>
          <w:bCs w:val="0"/>
          <w:color w:val="auto"/>
          <w:kern w:val="10"/>
          <w:sz w:val="24"/>
          <w:highlight w:val="none"/>
          <w:lang w:val="en-US" w:eastAsia="zh-CN"/>
        </w:rPr>
        <w:t>⑥</w:t>
      </w:r>
      <w:r>
        <w:rPr>
          <w:rFonts w:hint="eastAsia" w:ascii="宋体" w:hAnsi="宋体" w:eastAsia="宋体" w:cs="Times New Roman"/>
          <w:b w:val="0"/>
          <w:bCs w:val="0"/>
          <w:color w:val="auto"/>
          <w:kern w:val="10"/>
          <w:sz w:val="24"/>
          <w:highlight w:val="none"/>
          <w:lang w:val="en-US" w:eastAsia="zh-CN"/>
        </w:rPr>
        <w:t>生产日期。</w:t>
      </w:r>
      <w:bookmarkStart w:id="16" w:name="_Toc22569"/>
      <w:bookmarkStart w:id="17" w:name="_Toc15574"/>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bookmarkStart w:id="18" w:name="_Toc20929"/>
      <w:r>
        <w:rPr>
          <w:rFonts w:hint="eastAsia" w:ascii="宋体" w:hAnsi="宋体" w:eastAsia="宋体" w:cs="宋体"/>
          <w:b/>
          <w:bCs w:val="0"/>
          <w:color w:val="auto"/>
          <w:kern w:val="10"/>
          <w:sz w:val="24"/>
          <w:highlight w:val="none"/>
          <w:lang w:val="en-US" w:eastAsia="zh-CN"/>
        </w:rPr>
        <w:t>1.6 包装、运输和贮存</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1.6.1 石油焦发运时,车厢内应清扫干净。不同焦种的石油焦产不应混装。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1.6.2 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1.6.3 石油焦运输过程应做好防雨、防尘防护。</w:t>
      </w:r>
      <w:bookmarkStart w:id="19" w:name="_Toc9931"/>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highlight w:val="none"/>
          <w:lang w:val="en-US" w:eastAsia="zh-CN"/>
        </w:rPr>
      </w:pPr>
      <w:r>
        <w:rPr>
          <w:rFonts w:hint="eastAsia" w:ascii="宋体" w:hAnsi="宋体" w:eastAsia="宋体" w:cs="宋体"/>
          <w:b/>
          <w:bCs w:val="0"/>
          <w:color w:val="auto"/>
          <w:kern w:val="10"/>
          <w:sz w:val="24"/>
          <w:highlight w:val="none"/>
          <w:lang w:val="en-US" w:eastAsia="zh-CN"/>
        </w:rPr>
        <w:t>1.7 扣重细则</w:t>
      </w:r>
      <w:bookmarkEnd w:id="19"/>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color w:val="auto"/>
          <w:kern w:val="10"/>
          <w:sz w:val="24"/>
          <w:highlight w:val="none"/>
          <w:lang w:val="en-US" w:eastAsia="zh-CN"/>
        </w:rPr>
      </w:pPr>
      <w:r>
        <w:rPr>
          <w:rFonts w:hint="eastAsia" w:ascii="宋体" w:hAnsi="宋体" w:eastAsia="宋体" w:cs="Times New Roman"/>
          <w:b w:val="0"/>
          <w:bCs w:val="0"/>
          <w:color w:val="auto"/>
          <w:kern w:val="10"/>
          <w:sz w:val="24"/>
          <w:highlight w:val="none"/>
          <w:lang w:val="en-US" w:eastAsia="zh-CN"/>
        </w:rPr>
        <w:t>当供方供应的石油焦不合格时，如需方同意接收使用的，按以下扣重细则进行扣重，否则进行退货处理。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黑体" w:cs="Times New Roman"/>
          <w:b w:val="0"/>
          <w:bCs w:val="0"/>
          <w:color w:val="auto"/>
          <w:kern w:val="10"/>
          <w:sz w:val="24"/>
          <w:highlight w:val="none"/>
          <w:lang w:val="en-US" w:eastAsia="zh-CN"/>
        </w:rPr>
      </w:pPr>
      <w:r>
        <w:rPr>
          <w:rFonts w:hint="eastAsia" w:ascii="宋体" w:hAnsi="宋体" w:eastAsia="宋体" w:cs="宋体"/>
          <w:b w:val="0"/>
          <w:bCs w:val="0"/>
          <w:color w:val="auto"/>
          <w:kern w:val="10"/>
          <w:sz w:val="24"/>
          <w:szCs w:val="22"/>
          <w:highlight w:val="none"/>
          <w:lang w:val="en-US" w:eastAsia="zh-CN" w:bidi="ar-SA"/>
        </w:rPr>
        <w:t>表2：石油焦质量扣重细则</w:t>
      </w:r>
    </w:p>
    <w:tbl>
      <w:tblPr>
        <w:tblStyle w:val="8"/>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108" w:type="dxa"/>
          <w:bottom w:w="0" w:type="dxa"/>
          <w:right w:w="108" w:type="dxa"/>
        </w:tblCellMar>
      </w:tblPr>
      <w:tblGrid>
        <w:gridCol w:w="750"/>
        <w:gridCol w:w="1245"/>
        <w:gridCol w:w="1080"/>
        <w:gridCol w:w="1545"/>
        <w:gridCol w:w="1969"/>
        <w:gridCol w:w="1080"/>
        <w:gridCol w:w="2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00" w:hRule="atLeast"/>
          <w:tblHeader/>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石油焦质量</w:t>
            </w:r>
            <w:r>
              <w:rPr>
                <w:rFonts w:hint="eastAsia" w:ascii="宋体" w:hAnsi="宋体" w:cs="宋体"/>
                <w:b/>
                <w:bCs/>
                <w:i w:val="0"/>
                <w:iCs w:val="0"/>
                <w:color w:val="auto"/>
                <w:kern w:val="0"/>
                <w:sz w:val="21"/>
                <w:szCs w:val="21"/>
                <w:highlight w:val="none"/>
                <w:u w:val="none"/>
                <w:lang w:val="en-US" w:eastAsia="zh-CN" w:bidi="ar"/>
              </w:rPr>
              <w:t>扣重</w:t>
            </w:r>
            <w:r>
              <w:rPr>
                <w:rFonts w:hint="eastAsia" w:ascii="宋体" w:hAnsi="宋体" w:eastAsia="宋体" w:cs="宋体"/>
                <w:b/>
                <w:bCs/>
                <w:i w:val="0"/>
                <w:iCs w:val="0"/>
                <w:color w:val="auto"/>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ind w:firstLine="211" w:firstLineChars="10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合格标准</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让步接收标准</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cs="宋体"/>
                <w:b/>
                <w:bCs/>
                <w:i w:val="0"/>
                <w:iCs w:val="0"/>
                <w:color w:val="auto"/>
                <w:kern w:val="0"/>
                <w:sz w:val="21"/>
                <w:szCs w:val="21"/>
                <w:highlight w:val="none"/>
                <w:u w:val="none"/>
                <w:lang w:val="en-US" w:eastAsia="zh-CN" w:bidi="ar"/>
              </w:rPr>
              <w:t>让步接收</w:t>
            </w:r>
            <w:r>
              <w:rPr>
                <w:rFonts w:hint="eastAsia" w:ascii="宋体" w:hAnsi="宋体" w:eastAsia="宋体" w:cs="宋体"/>
                <w:b/>
                <w:bCs/>
                <w:i w:val="0"/>
                <w:iCs w:val="0"/>
                <w:color w:val="auto"/>
                <w:kern w:val="0"/>
                <w:sz w:val="21"/>
                <w:szCs w:val="21"/>
                <w:highlight w:val="none"/>
                <w:u w:val="none"/>
                <w:lang w:val="en-US" w:eastAsia="zh-CN" w:bidi="ar"/>
              </w:rPr>
              <w:t>扣重标准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退货标准</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达退货标准，但</w:t>
            </w:r>
            <w:r>
              <w:rPr>
                <w:rFonts w:hint="eastAsia" w:ascii="宋体" w:hAnsi="宋体" w:cs="宋体"/>
                <w:b/>
                <w:bCs/>
                <w:i w:val="0"/>
                <w:iCs w:val="0"/>
                <w:color w:val="auto"/>
                <w:kern w:val="0"/>
                <w:sz w:val="21"/>
                <w:szCs w:val="21"/>
                <w:highlight w:val="none"/>
                <w:u w:val="none"/>
                <w:lang w:val="en-US" w:eastAsia="zh-CN" w:bidi="ar"/>
              </w:rPr>
              <w:t>已卸货无法退货</w:t>
            </w:r>
            <w:r>
              <w:rPr>
                <w:rFonts w:hint="eastAsia" w:ascii="宋体" w:hAnsi="宋体" w:eastAsia="宋体" w:cs="宋体"/>
                <w:b/>
                <w:bCs/>
                <w:i w:val="0"/>
                <w:iCs w:val="0"/>
                <w:color w:val="auto"/>
                <w:kern w:val="0"/>
                <w:sz w:val="21"/>
                <w:szCs w:val="21"/>
                <w:highlight w:val="none"/>
                <w:u w:val="none"/>
                <w:lang w:val="en-US" w:eastAsia="zh-CN" w:bidi="ar"/>
              </w:rPr>
              <w:t>扣重标准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w:t>
            </w:r>
          </w:p>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restart"/>
            <w:tcBorders>
              <w:top w:val="single" w:color="000000" w:sz="4" w:space="0"/>
              <w:left w:val="single" w:color="000000" w:sz="4" w:space="0"/>
              <w:right w:val="single" w:color="000000" w:sz="4" w:space="0"/>
            </w:tcBorders>
            <w:shd w:val="clear" w:color="auto" w:fill="FFFFFF" w:themeFill="background1"/>
            <w:noWrap/>
            <w:vAlign w:val="center"/>
          </w:tcPr>
          <w:p>
            <w:pPr>
              <w:keepNext w:val="0"/>
              <w:keepLines w:val="0"/>
              <w:widowControl/>
              <w:suppressLineNumbers w:val="0"/>
              <w:tabs>
                <w:tab w:val="left" w:pos="455"/>
              </w:tabs>
              <w:ind w:firstLine="210" w:firstLineChars="10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硫含量</w:t>
            </w:r>
            <w:r>
              <w:rPr>
                <w:rFonts w:hint="eastAsia" w:ascii="宋体" w:hAnsi="宋体" w:eastAsia="宋体" w:cs="宋体"/>
                <w:b w:val="0"/>
                <w:bCs w:val="0"/>
                <w:i w:val="0"/>
                <w:iCs w:val="0"/>
                <w:color w:val="auto"/>
                <w:kern w:val="0"/>
                <w:sz w:val="21"/>
                <w:szCs w:val="21"/>
                <w:highlight w:val="none"/>
                <w:u w:val="none"/>
                <w:lang w:val="en-US" w:eastAsia="zh-CN" w:bidi="ar"/>
              </w:rPr>
              <w:t>（根据实际焦种硫含量确定指标范围，在合同中约定）</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7.0＜x≤7.5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tabs>
                <w:tab w:val="left" w:pos="455"/>
              </w:tabs>
              <w:ind w:firstLine="210" w:firstLineChars="100"/>
              <w:jc w:val="center"/>
              <w:textAlignment w:val="center"/>
              <w:rPr>
                <w:rFonts w:hint="default" w:ascii="宋体" w:hAnsi="宋体" w:eastAsia="宋体" w:cs="宋体"/>
                <w:b w:val="0"/>
                <w:bCs w:val="0"/>
                <w:i w:val="0"/>
                <w:iCs w:val="0"/>
                <w:color w:val="auto"/>
                <w:sz w:val="21"/>
                <w:szCs w:val="21"/>
                <w:highlight w:val="none"/>
                <w:u w:val="none"/>
                <w:lang w:val="en-US"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≤6.0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6.0＜x≤6.5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x＞6.5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6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≤5.0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5.0＜x≤5.5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x＞5.5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4.0＜x≤4.5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x＞4.5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3.0＜x≤3.5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2.0＜x≤2.5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x＞2.5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750" w:type="dxa"/>
            <w:vMerge w:val="continue"/>
            <w:tcBorders>
              <w:left w:val="single" w:color="000000" w:sz="4" w:space="0"/>
              <w:bottom w:val="single" w:color="auto"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p>
        </w:tc>
        <w:tc>
          <w:tcPr>
            <w:tcW w:w="1245" w:type="dxa"/>
            <w:vMerge w:val="continue"/>
            <w:tcBorders>
              <w:left w:val="single" w:color="000000" w:sz="4" w:space="0"/>
              <w:bottom w:val="single" w:color="auto"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1.0＜x≤1.5</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每超0.1,扣10kg/吨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x＞1.5</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每超0.1,扣20kg/吨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≤0.5</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0.5＜x≤0.7</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x＞0.7</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每超0.1扣50kg/吨。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10＜x≤12</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按“超一扣一”扣重处理。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x＞12</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按“超一扣三”扣重处理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1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≤55</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55＜x≤60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每增高1，扣2.5kg/吨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x＞60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每增高1，扣10kg/吨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≤8.0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8.0＜x≤10.0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按“超一扣一”扣重</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x＞10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按“超一扣三”扣重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6</w:t>
            </w:r>
          </w:p>
        </w:tc>
        <w:tc>
          <w:tcPr>
            <w:tcW w:w="1245" w:type="dxa"/>
            <w:vMerge w:val="restart"/>
            <w:tcBorders>
              <w:top w:val="single" w:color="000000" w:sz="4" w:space="0"/>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钒含量%（根据实际焦种钒含量确定指标范围，在合同中约定）</w:t>
            </w:r>
          </w:p>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cs="宋体"/>
                <w:b w:val="0"/>
                <w:bCs w:val="0"/>
                <w:i w:val="0"/>
                <w:iCs w:val="0"/>
                <w:color w:val="auto"/>
                <w:kern w:val="0"/>
                <w:sz w:val="21"/>
                <w:szCs w:val="21"/>
                <w:highlight w:val="none"/>
                <w:u w:val="none"/>
                <w:lang w:val="en-US" w:eastAsia="zh-CN" w:bidi="ar"/>
              </w:rPr>
              <w:t>9</w:t>
            </w:r>
            <w:r>
              <w:rPr>
                <w:rFonts w:hint="eastAsia" w:ascii="宋体" w:hAnsi="宋体" w:eastAsia="宋体" w:cs="宋体"/>
                <w:b w:val="0"/>
                <w:bCs w:val="0"/>
                <w:i w:val="0"/>
                <w:iCs w:val="0"/>
                <w:color w:val="auto"/>
                <w:kern w:val="0"/>
                <w:sz w:val="21"/>
                <w:szCs w:val="21"/>
                <w:highlight w:val="none"/>
                <w:u w:val="none"/>
                <w:lang w:val="en-US" w:eastAsia="zh-CN" w:bidi="ar"/>
              </w:rPr>
              <w:t>00＜x≤</w:t>
            </w:r>
            <w:r>
              <w:rPr>
                <w:rFonts w:hint="eastAsia" w:ascii="宋体" w:hAnsi="宋体" w:cs="宋体"/>
                <w:b w:val="0"/>
                <w:bCs w:val="0"/>
                <w:i w:val="0"/>
                <w:iCs w:val="0"/>
                <w:color w:val="auto"/>
                <w:kern w:val="0"/>
                <w:sz w:val="21"/>
                <w:szCs w:val="21"/>
                <w:highlight w:val="none"/>
                <w:u w:val="none"/>
                <w:lang w:val="en-US" w:eastAsia="zh-CN" w:bidi="ar"/>
              </w:rPr>
              <w:t>95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ascii="宋体" w:hAnsi="宋体" w:cs="宋体"/>
                <w:b w:val="0"/>
                <w:bCs w:val="0"/>
                <w:i w:val="0"/>
                <w:iCs w:val="0"/>
                <w:color w:val="auto"/>
                <w:kern w:val="0"/>
                <w:sz w:val="21"/>
                <w:szCs w:val="21"/>
                <w:highlight w:val="none"/>
                <w:u w:val="none"/>
                <w:lang w:val="en-US" w:eastAsia="zh-CN" w:bidi="ar"/>
              </w:rPr>
              <w:t>95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cs="宋体"/>
                <w:b w:val="0"/>
                <w:bCs w:val="0"/>
                <w:i w:val="0"/>
                <w:iCs w:val="0"/>
                <w:color w:val="auto"/>
                <w:kern w:val="0"/>
                <w:sz w:val="21"/>
                <w:szCs w:val="21"/>
                <w:highlight w:val="none"/>
                <w:u w:val="none"/>
                <w:lang w:val="en-US" w:eastAsia="zh-CN" w:bidi="ar"/>
              </w:rPr>
              <w:t>8</w:t>
            </w:r>
            <w:r>
              <w:rPr>
                <w:rFonts w:hint="eastAsia" w:ascii="宋体" w:hAnsi="宋体" w:eastAsia="宋体" w:cs="宋体"/>
                <w:b w:val="0"/>
                <w:bCs w:val="0"/>
                <w:i w:val="0"/>
                <w:iCs w:val="0"/>
                <w:color w:val="auto"/>
                <w:kern w:val="0"/>
                <w:sz w:val="21"/>
                <w:szCs w:val="21"/>
                <w:highlight w:val="none"/>
                <w:u w:val="none"/>
                <w:lang w:val="en-US" w:eastAsia="zh-CN" w:bidi="ar"/>
              </w:rPr>
              <w:t>00＜x≤</w:t>
            </w:r>
            <w:r>
              <w:rPr>
                <w:rFonts w:hint="eastAsia" w:ascii="宋体" w:hAnsi="宋体" w:cs="宋体"/>
                <w:b w:val="0"/>
                <w:bCs w:val="0"/>
                <w:i w:val="0"/>
                <w:iCs w:val="0"/>
                <w:color w:val="auto"/>
                <w:kern w:val="0"/>
                <w:sz w:val="21"/>
                <w:szCs w:val="21"/>
                <w:highlight w:val="none"/>
                <w:u w:val="none"/>
                <w:lang w:val="en-US" w:eastAsia="zh-CN" w:bidi="ar"/>
              </w:rPr>
              <w:t>85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ascii="宋体" w:hAnsi="宋体" w:cs="宋体"/>
                <w:b w:val="0"/>
                <w:bCs w:val="0"/>
                <w:i w:val="0"/>
                <w:iCs w:val="0"/>
                <w:color w:val="auto"/>
                <w:kern w:val="0"/>
                <w:sz w:val="21"/>
                <w:szCs w:val="21"/>
                <w:highlight w:val="none"/>
                <w:u w:val="none"/>
                <w:lang w:val="en-US" w:eastAsia="zh-CN" w:bidi="ar"/>
              </w:rPr>
              <w:t>85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cs="宋体"/>
                <w:b w:val="0"/>
                <w:bCs w:val="0"/>
                <w:i w:val="0"/>
                <w:iCs w:val="0"/>
                <w:color w:val="auto"/>
                <w:kern w:val="0"/>
                <w:sz w:val="21"/>
                <w:szCs w:val="21"/>
                <w:highlight w:val="none"/>
                <w:u w:val="none"/>
                <w:lang w:val="en-US" w:eastAsia="zh-CN" w:bidi="ar"/>
              </w:rPr>
              <w:t>7</w:t>
            </w:r>
            <w:r>
              <w:rPr>
                <w:rFonts w:hint="eastAsia" w:ascii="宋体" w:hAnsi="宋体" w:eastAsia="宋体" w:cs="宋体"/>
                <w:b w:val="0"/>
                <w:bCs w:val="0"/>
                <w:i w:val="0"/>
                <w:iCs w:val="0"/>
                <w:color w:val="auto"/>
                <w:kern w:val="0"/>
                <w:sz w:val="21"/>
                <w:szCs w:val="21"/>
                <w:highlight w:val="none"/>
                <w:u w:val="none"/>
                <w:lang w:val="en-US" w:eastAsia="zh-CN" w:bidi="ar"/>
              </w:rPr>
              <w:t>00＜x≤7</w:t>
            </w:r>
            <w:r>
              <w:rPr>
                <w:rFonts w:hint="eastAsia" w:ascii="宋体" w:hAnsi="宋体" w:cs="宋体"/>
                <w:b w:val="0"/>
                <w:bCs w:val="0"/>
                <w:i w:val="0"/>
                <w:iCs w:val="0"/>
                <w:color w:val="auto"/>
                <w:kern w:val="0"/>
                <w:sz w:val="21"/>
                <w:szCs w:val="21"/>
                <w:highlight w:val="none"/>
                <w:u w:val="none"/>
                <w:lang w:val="en-US" w:eastAsia="zh-CN" w:bidi="ar"/>
              </w:rPr>
              <w:t>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x＞7</w:t>
            </w:r>
            <w:r>
              <w:rPr>
                <w:rFonts w:hint="eastAsia" w:ascii="宋体" w:hAnsi="宋体" w:cs="宋体"/>
                <w:b w:val="0"/>
                <w:bCs w:val="0"/>
                <w:i w:val="0"/>
                <w:iCs w:val="0"/>
                <w:color w:val="auto"/>
                <w:kern w:val="0"/>
                <w:sz w:val="21"/>
                <w:szCs w:val="21"/>
                <w:highlight w:val="none"/>
                <w:u w:val="none"/>
                <w:lang w:val="en-US" w:eastAsia="zh-CN" w:bidi="ar"/>
              </w:rPr>
              <w:t>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600＜x≤</w:t>
            </w:r>
            <w:r>
              <w:rPr>
                <w:rFonts w:hint="eastAsia" w:ascii="宋体" w:hAnsi="宋体" w:cs="宋体"/>
                <w:b w:val="0"/>
                <w:bCs w:val="0"/>
                <w:i w:val="0"/>
                <w:iCs w:val="0"/>
                <w:color w:val="auto"/>
                <w:kern w:val="0"/>
                <w:sz w:val="21"/>
                <w:szCs w:val="21"/>
                <w:highlight w:val="none"/>
                <w:u w:val="none"/>
                <w:lang w:val="en-US" w:eastAsia="zh-CN" w:bidi="ar"/>
              </w:rPr>
              <w:t>65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ascii="宋体" w:hAnsi="宋体" w:cs="宋体"/>
                <w:b w:val="0"/>
                <w:bCs w:val="0"/>
                <w:i w:val="0"/>
                <w:iCs w:val="0"/>
                <w:color w:val="auto"/>
                <w:kern w:val="0"/>
                <w:sz w:val="21"/>
                <w:szCs w:val="21"/>
                <w:highlight w:val="none"/>
                <w:u w:val="none"/>
                <w:lang w:val="en-US" w:eastAsia="zh-CN" w:bidi="ar"/>
              </w:rPr>
              <w:t>65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500＜x≤</w:t>
            </w:r>
            <w:r>
              <w:rPr>
                <w:rFonts w:hint="eastAsia" w:ascii="宋体" w:hAnsi="宋体" w:cs="宋体"/>
                <w:b w:val="0"/>
                <w:bCs w:val="0"/>
                <w:i w:val="0"/>
                <w:iCs w:val="0"/>
                <w:color w:val="auto"/>
                <w:kern w:val="0"/>
                <w:sz w:val="21"/>
                <w:szCs w:val="21"/>
                <w:highlight w:val="none"/>
                <w:u w:val="none"/>
                <w:lang w:val="en-US" w:eastAsia="zh-CN" w:bidi="ar"/>
              </w:rPr>
              <w:t>55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w:t>
            </w:r>
            <w:bookmarkStart w:id="20" w:name="_GoBack"/>
            <w:bookmarkEnd w:id="20"/>
            <w:r>
              <w:rPr>
                <w:rFonts w:hint="eastAsia" w:ascii="宋体" w:hAnsi="宋体" w:eastAsia="宋体" w:cs="宋体"/>
                <w:b w:val="0"/>
                <w:bCs w:val="0"/>
                <w:i w:val="0"/>
                <w:iCs w:val="0"/>
                <w:color w:val="auto"/>
                <w:kern w:val="0"/>
                <w:sz w:val="21"/>
                <w:szCs w:val="21"/>
                <w:highlight w:val="none"/>
                <w:u w:val="none"/>
                <w:lang w:val="en-US" w:eastAsia="zh-CN" w:bidi="ar"/>
              </w:rPr>
              <w:t>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ascii="宋体" w:hAnsi="宋体" w:cs="宋体"/>
                <w:b w:val="0"/>
                <w:bCs w:val="0"/>
                <w:i w:val="0"/>
                <w:iCs w:val="0"/>
                <w:color w:val="auto"/>
                <w:kern w:val="0"/>
                <w:sz w:val="21"/>
                <w:szCs w:val="21"/>
                <w:highlight w:val="none"/>
                <w:u w:val="none"/>
                <w:lang w:val="en-US" w:eastAsia="zh-CN" w:bidi="ar"/>
              </w:rPr>
              <w:t>55</w:t>
            </w:r>
            <w:r>
              <w:rPr>
                <w:rFonts w:hint="eastAsia" w:ascii="宋体" w:hAnsi="宋体" w:eastAsia="宋体" w:cs="宋体"/>
                <w:b w:val="0"/>
                <w:bCs w:val="0"/>
                <w:i w:val="0"/>
                <w:iCs w:val="0"/>
                <w:color w:val="auto"/>
                <w:kern w:val="0"/>
                <w:sz w:val="21"/>
                <w:szCs w:val="21"/>
                <w:highlight w:val="none"/>
                <w:u w:val="none"/>
                <w:lang w:val="en-US" w:eastAsia="zh-CN" w:bidi="ar"/>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200＜x≤250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x＞250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430" w:hRule="atLeast"/>
          <w:jc w:val="center"/>
        </w:trPr>
        <w:tc>
          <w:tcPr>
            <w:tcW w:w="750" w:type="dxa"/>
            <w:vMerge w:val="continue"/>
            <w:tcBorders>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highlight w:val="none"/>
                <w:u w:val="none"/>
                <w:lang w:val="en-US" w:eastAsia="zh-CN"/>
              </w:rPr>
            </w:pPr>
          </w:p>
        </w:tc>
        <w:tc>
          <w:tcPr>
            <w:tcW w:w="1245" w:type="dxa"/>
            <w:vMerge w:val="continue"/>
            <w:tcBorders>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100＜x≤150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x＞150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每超1ppm扣5kg/吨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≤400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400＜x≤450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x＞450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45"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w:t>
            </w:r>
          </w:p>
        </w:tc>
        <w:tc>
          <w:tcPr>
            <w:tcW w:w="1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300＜x≤350</w:t>
            </w:r>
          </w:p>
        </w:tc>
        <w:tc>
          <w:tcPr>
            <w:tcW w:w="196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每超1ppm，扣2.5kg/吨</w:t>
            </w:r>
          </w:p>
        </w:tc>
        <w:tc>
          <w:tcPr>
            <w:tcW w:w="108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x＞350</w:t>
            </w:r>
          </w:p>
        </w:tc>
        <w:tc>
          <w:tcPr>
            <w:tcW w:w="21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1ppm，扣4kg/吨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904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石油焦含有杂质、弹丸焦的，作退货处理，因退货对需方生产造成影响的，由供方承担相关责任，赔偿所造成的损失。</w:t>
            </w:r>
            <w:r>
              <w:rPr>
                <w:rFonts w:hint="eastAsia" w:ascii="宋体" w:hAnsi="宋体" w:eastAsia="宋体" w:cs="宋体"/>
                <w:b w:val="0"/>
                <w:bCs w:val="0"/>
                <w:i w:val="0"/>
                <w:iCs w:val="0"/>
                <w:color w:val="auto"/>
                <w:kern w:val="0"/>
                <w:sz w:val="21"/>
                <w:szCs w:val="21"/>
                <w:highlight w:val="none"/>
                <w:u w:val="none"/>
                <w:lang w:val="en-US" w:eastAsia="zh-CN" w:bidi="ar"/>
              </w:rPr>
              <w:tab/>
            </w:r>
            <w:r>
              <w:rPr>
                <w:rFonts w:hint="eastAsia" w:ascii="宋体" w:hAnsi="宋体" w:eastAsia="宋体" w:cs="宋体"/>
                <w:b w:val="0"/>
                <w:bCs w:val="0"/>
                <w:color w:val="auto"/>
                <w:kern w:val="10"/>
                <w:sz w:val="21"/>
                <w:szCs w:val="21"/>
                <w:highlight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600" w:hRule="atLeast"/>
          <w:jc w:val="center"/>
        </w:trPr>
        <w:tc>
          <w:tcPr>
            <w:tcW w:w="9799"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ind w:left="630" w:hanging="630" w:hangingChars="30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color w:val="auto"/>
                <w:sz w:val="21"/>
                <w:szCs w:val="21"/>
                <w:highlight w:val="none"/>
                <w:lang w:val="en-US" w:eastAsia="zh-CN"/>
              </w:rPr>
              <w:t>注：</w:t>
            </w:r>
            <w:r>
              <w:rPr>
                <w:rFonts w:ascii="宋体" w:hAnsi="宋体" w:eastAsia="宋体" w:cs="宋体"/>
                <w:color w:val="auto"/>
                <w:sz w:val="21"/>
                <w:szCs w:val="21"/>
                <w:highlight w:val="none"/>
              </w:rPr>
              <w:t>扣重只扣完该组批总重量为止，不延伸到扣减其它组批重量（即扣重不扣减到负数），但若为供方恶意掺杂使假的，通过专题会议评审后，按合同约定进行违约处</w:t>
            </w:r>
            <w:r>
              <w:rPr>
                <w:rFonts w:hint="eastAsia" w:ascii="宋体" w:hAnsi="宋体" w:eastAsia="宋体" w:cs="宋体"/>
                <w:color w:val="auto"/>
                <w:sz w:val="21"/>
                <w:szCs w:val="21"/>
                <w:highlight w:val="none"/>
                <w:lang w:val="en-US" w:eastAsia="zh-CN"/>
              </w:rPr>
              <w:t>罚</w:t>
            </w:r>
            <w:r>
              <w:rPr>
                <w:rFonts w:ascii="宋体" w:hAnsi="宋体" w:eastAsia="宋体" w:cs="宋体"/>
                <w:color w:val="auto"/>
                <w:sz w:val="21"/>
                <w:szCs w:val="21"/>
                <w:highlight w:val="none"/>
              </w:rPr>
              <w:t>。</w:t>
            </w:r>
          </w:p>
        </w:tc>
      </w:tr>
    </w:tbl>
    <w:p>
      <w:pPr>
        <w:spacing w:line="440" w:lineRule="exact"/>
        <w:rPr>
          <w:rFonts w:hint="eastAsia" w:ascii="宋体" w:hAnsi="宋体" w:eastAsia="宋体" w:cs="宋体"/>
          <w:color w:val="auto"/>
          <w:sz w:val="24"/>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fldChar w:fldCharType="begin"/>
                          </w:r>
                          <w:r>
                            <w:instrText xml:space="preserve"> PAGE  \* MERGEFORMAT </w:instrText>
                          </w:r>
                          <w:r>
                            <w:fldChar w:fldCharType="separate"/>
                          </w:r>
                          <w:r>
                            <w:t>3</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zNlZTIwYjA3Yzk2Y2UxMzIwMmZjMDc4ODA3M2UifQ=="/>
  </w:docVars>
  <w:rsids>
    <w:rsidRoot w:val="00000000"/>
    <w:rsid w:val="004D497E"/>
    <w:rsid w:val="005E0AA6"/>
    <w:rsid w:val="00963E2E"/>
    <w:rsid w:val="04D31337"/>
    <w:rsid w:val="050E03B0"/>
    <w:rsid w:val="053A3164"/>
    <w:rsid w:val="058D14E6"/>
    <w:rsid w:val="05CA5990"/>
    <w:rsid w:val="06113075"/>
    <w:rsid w:val="0636392C"/>
    <w:rsid w:val="06397407"/>
    <w:rsid w:val="06463FE3"/>
    <w:rsid w:val="06470FFE"/>
    <w:rsid w:val="066906E0"/>
    <w:rsid w:val="069733C6"/>
    <w:rsid w:val="07C21D4B"/>
    <w:rsid w:val="07E13D6B"/>
    <w:rsid w:val="08B72D3C"/>
    <w:rsid w:val="08D91F10"/>
    <w:rsid w:val="08E76C6E"/>
    <w:rsid w:val="094372C5"/>
    <w:rsid w:val="0992356F"/>
    <w:rsid w:val="09A544B3"/>
    <w:rsid w:val="0A1F7327"/>
    <w:rsid w:val="0A3D07AB"/>
    <w:rsid w:val="0A9651AE"/>
    <w:rsid w:val="0B2C19BD"/>
    <w:rsid w:val="0B443CAE"/>
    <w:rsid w:val="0C5A1D0D"/>
    <w:rsid w:val="0D2A5EE6"/>
    <w:rsid w:val="0DCA53CF"/>
    <w:rsid w:val="0EF95E3E"/>
    <w:rsid w:val="104A6951"/>
    <w:rsid w:val="10576D4C"/>
    <w:rsid w:val="11366ED6"/>
    <w:rsid w:val="116508C6"/>
    <w:rsid w:val="137612B1"/>
    <w:rsid w:val="14A80949"/>
    <w:rsid w:val="15393602"/>
    <w:rsid w:val="1747601B"/>
    <w:rsid w:val="17E045D4"/>
    <w:rsid w:val="17EC7A44"/>
    <w:rsid w:val="193B4AC7"/>
    <w:rsid w:val="19EC297C"/>
    <w:rsid w:val="1A0C37EE"/>
    <w:rsid w:val="1DAE0412"/>
    <w:rsid w:val="1EEE3451"/>
    <w:rsid w:val="1F1D18F8"/>
    <w:rsid w:val="1F621366"/>
    <w:rsid w:val="1FCF0C21"/>
    <w:rsid w:val="1FE2318E"/>
    <w:rsid w:val="226D01D4"/>
    <w:rsid w:val="226F16EE"/>
    <w:rsid w:val="236E0751"/>
    <w:rsid w:val="24474BEB"/>
    <w:rsid w:val="24E8008F"/>
    <w:rsid w:val="25C22339"/>
    <w:rsid w:val="2624159B"/>
    <w:rsid w:val="265728E7"/>
    <w:rsid w:val="2705317A"/>
    <w:rsid w:val="270A253F"/>
    <w:rsid w:val="27DD27D7"/>
    <w:rsid w:val="28133675"/>
    <w:rsid w:val="28140F26"/>
    <w:rsid w:val="28387360"/>
    <w:rsid w:val="289D6024"/>
    <w:rsid w:val="28C8445F"/>
    <w:rsid w:val="2932694C"/>
    <w:rsid w:val="29422464"/>
    <w:rsid w:val="29B61DA0"/>
    <w:rsid w:val="2A6357CE"/>
    <w:rsid w:val="2B7B5151"/>
    <w:rsid w:val="2B820E83"/>
    <w:rsid w:val="2B9C414B"/>
    <w:rsid w:val="2D19172E"/>
    <w:rsid w:val="2D6038E3"/>
    <w:rsid w:val="2D874B0C"/>
    <w:rsid w:val="2E094915"/>
    <w:rsid w:val="2E6B5FB9"/>
    <w:rsid w:val="2E6F2ADF"/>
    <w:rsid w:val="2E9A30C2"/>
    <w:rsid w:val="2EBF047C"/>
    <w:rsid w:val="2F286686"/>
    <w:rsid w:val="304A60A2"/>
    <w:rsid w:val="30580A8B"/>
    <w:rsid w:val="31337BBB"/>
    <w:rsid w:val="313C6677"/>
    <w:rsid w:val="32537FC7"/>
    <w:rsid w:val="32D358E1"/>
    <w:rsid w:val="333651AE"/>
    <w:rsid w:val="33684523"/>
    <w:rsid w:val="346B286A"/>
    <w:rsid w:val="34881C55"/>
    <w:rsid w:val="34CE44CF"/>
    <w:rsid w:val="34DD1522"/>
    <w:rsid w:val="34E22D4D"/>
    <w:rsid w:val="35642093"/>
    <w:rsid w:val="359F6534"/>
    <w:rsid w:val="35C802B9"/>
    <w:rsid w:val="37611BC4"/>
    <w:rsid w:val="380059F5"/>
    <w:rsid w:val="38FE5C7B"/>
    <w:rsid w:val="391B2228"/>
    <w:rsid w:val="397C78BE"/>
    <w:rsid w:val="3A80103E"/>
    <w:rsid w:val="3AD470DA"/>
    <w:rsid w:val="3CCE67A9"/>
    <w:rsid w:val="3F874807"/>
    <w:rsid w:val="3FC2057E"/>
    <w:rsid w:val="4041301D"/>
    <w:rsid w:val="405745EF"/>
    <w:rsid w:val="412F10C8"/>
    <w:rsid w:val="413A0F29"/>
    <w:rsid w:val="41942A6F"/>
    <w:rsid w:val="420C2E76"/>
    <w:rsid w:val="42531300"/>
    <w:rsid w:val="42E77528"/>
    <w:rsid w:val="43773578"/>
    <w:rsid w:val="440F0CC0"/>
    <w:rsid w:val="44D22496"/>
    <w:rsid w:val="45F14B9E"/>
    <w:rsid w:val="48E111EB"/>
    <w:rsid w:val="494F1357"/>
    <w:rsid w:val="495A6EFE"/>
    <w:rsid w:val="49A85EBB"/>
    <w:rsid w:val="49DE5CE3"/>
    <w:rsid w:val="4A683404"/>
    <w:rsid w:val="4A7B0214"/>
    <w:rsid w:val="4AB32908"/>
    <w:rsid w:val="4AE50A49"/>
    <w:rsid w:val="4AF1328D"/>
    <w:rsid w:val="4B0B04B0"/>
    <w:rsid w:val="4B5C09E5"/>
    <w:rsid w:val="4C39086D"/>
    <w:rsid w:val="4CD60F91"/>
    <w:rsid w:val="4E351260"/>
    <w:rsid w:val="4EB64BD7"/>
    <w:rsid w:val="4F746B4B"/>
    <w:rsid w:val="4F811237"/>
    <w:rsid w:val="501F41DC"/>
    <w:rsid w:val="511248E2"/>
    <w:rsid w:val="521E43A8"/>
    <w:rsid w:val="53C4226C"/>
    <w:rsid w:val="54F93FC5"/>
    <w:rsid w:val="555A5F3E"/>
    <w:rsid w:val="556D1BA9"/>
    <w:rsid w:val="55853555"/>
    <w:rsid w:val="559635F6"/>
    <w:rsid w:val="55D96900"/>
    <w:rsid w:val="566E4165"/>
    <w:rsid w:val="569E03B1"/>
    <w:rsid w:val="5717555E"/>
    <w:rsid w:val="571921A6"/>
    <w:rsid w:val="57222B83"/>
    <w:rsid w:val="5748072D"/>
    <w:rsid w:val="577B5E98"/>
    <w:rsid w:val="579D07F2"/>
    <w:rsid w:val="58360B36"/>
    <w:rsid w:val="583E71D6"/>
    <w:rsid w:val="586170E7"/>
    <w:rsid w:val="58D462D8"/>
    <w:rsid w:val="592D126E"/>
    <w:rsid w:val="59EA57DC"/>
    <w:rsid w:val="59F40CA9"/>
    <w:rsid w:val="5AD20FEA"/>
    <w:rsid w:val="5AFD2B27"/>
    <w:rsid w:val="5BB144CF"/>
    <w:rsid w:val="5C703D57"/>
    <w:rsid w:val="5C844566"/>
    <w:rsid w:val="5D144BE5"/>
    <w:rsid w:val="5D5715A2"/>
    <w:rsid w:val="5DB46785"/>
    <w:rsid w:val="5F29558B"/>
    <w:rsid w:val="5F3C2ED6"/>
    <w:rsid w:val="5F791F35"/>
    <w:rsid w:val="607C7708"/>
    <w:rsid w:val="60991F8F"/>
    <w:rsid w:val="60F61AB0"/>
    <w:rsid w:val="60F97ED1"/>
    <w:rsid w:val="6118527D"/>
    <w:rsid w:val="638906B4"/>
    <w:rsid w:val="641D3B93"/>
    <w:rsid w:val="659F0703"/>
    <w:rsid w:val="665723A3"/>
    <w:rsid w:val="67173028"/>
    <w:rsid w:val="69B05A6A"/>
    <w:rsid w:val="6A167922"/>
    <w:rsid w:val="6A856377"/>
    <w:rsid w:val="6AC111FF"/>
    <w:rsid w:val="6BC524A5"/>
    <w:rsid w:val="6BF6265F"/>
    <w:rsid w:val="6C0D3BF3"/>
    <w:rsid w:val="6C150A7F"/>
    <w:rsid w:val="6C16337E"/>
    <w:rsid w:val="6C18267B"/>
    <w:rsid w:val="6C68148F"/>
    <w:rsid w:val="6C8E41B5"/>
    <w:rsid w:val="6CE01094"/>
    <w:rsid w:val="6CFE1D23"/>
    <w:rsid w:val="6E9C331F"/>
    <w:rsid w:val="6F9314B3"/>
    <w:rsid w:val="703444AC"/>
    <w:rsid w:val="70B24803"/>
    <w:rsid w:val="71072C18"/>
    <w:rsid w:val="71BC3694"/>
    <w:rsid w:val="72203F91"/>
    <w:rsid w:val="72DC4E57"/>
    <w:rsid w:val="74042951"/>
    <w:rsid w:val="7414709D"/>
    <w:rsid w:val="751B1D49"/>
    <w:rsid w:val="75C54384"/>
    <w:rsid w:val="761121DA"/>
    <w:rsid w:val="761D0123"/>
    <w:rsid w:val="764C1CC7"/>
    <w:rsid w:val="76EB3295"/>
    <w:rsid w:val="77FB68A4"/>
    <w:rsid w:val="781B0E8D"/>
    <w:rsid w:val="787564C6"/>
    <w:rsid w:val="78B96EEE"/>
    <w:rsid w:val="7903214D"/>
    <w:rsid w:val="79E47F9A"/>
    <w:rsid w:val="7A006172"/>
    <w:rsid w:val="7B4D3F43"/>
    <w:rsid w:val="7B5D50AA"/>
    <w:rsid w:val="7BB31019"/>
    <w:rsid w:val="7C1A0FF3"/>
    <w:rsid w:val="7D596400"/>
    <w:rsid w:val="7D975A1A"/>
    <w:rsid w:val="7DD00D6C"/>
    <w:rsid w:val="7DDA520A"/>
    <w:rsid w:val="7E3F0E51"/>
    <w:rsid w:val="7E4D4054"/>
    <w:rsid w:val="7E7062A0"/>
    <w:rsid w:val="7EA128FE"/>
    <w:rsid w:val="7EC464B5"/>
    <w:rsid w:val="7FFC1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Calibri" w:hAnsi="Calibri" w:eastAsia="宋体" w:cs="宋体"/>
      <w:kern w:val="2"/>
      <w:sz w:val="21"/>
      <w:szCs w:val="24"/>
      <w:lang w:val="en-US" w:eastAsia="zh-CN" w:bidi="ar-SA"/>
    </w:rPr>
  </w:style>
  <w:style w:type="paragraph" w:styleId="2">
    <w:name w:val="heading 1"/>
    <w:basedOn w:val="1"/>
    <w:next w:val="1"/>
    <w:link w:val="18"/>
    <w:qFormat/>
    <w:uiPriority w:val="0"/>
    <w:pPr>
      <w:keepNext/>
      <w:keepLines/>
      <w:spacing w:beforeAutospacing="0" w:afterAutospacing="0" w:line="240" w:lineRule="auto"/>
      <w:outlineLvl w:val="0"/>
    </w:pPr>
    <w:rPr>
      <w:rFonts w:ascii="Times New Roman" w:hAnsi="Times New Roman"/>
      <w:b/>
      <w:kern w:val="44"/>
      <w:sz w:val="28"/>
    </w:rPr>
  </w:style>
  <w:style w:type="character" w:default="1" w:styleId="10">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宋体" w:hAnsi="宋体" w:eastAsia="宋体" w:cs="宋体"/>
      <w:sz w:val="24"/>
      <w:szCs w:val="24"/>
    </w:rPr>
  </w:style>
  <w:style w:type="paragraph" w:styleId="5">
    <w:name w:val="footer"/>
    <w:basedOn w:val="1"/>
    <w:qFormat/>
    <w:uiPriority w:val="0"/>
    <w:pPr>
      <w:tabs>
        <w:tab w:val="center" w:pos="4153"/>
        <w:tab w:val="right" w:pos="8306"/>
      </w:tabs>
      <w:snapToGrid w:val="0"/>
      <w:jc w:val="left"/>
    </w:pPr>
    <w:rPr>
      <w:sz w:val="20"/>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Default"/>
    <w:basedOn w:val="1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纯文本1"/>
    <w:basedOn w:val="1"/>
    <w:qFormat/>
    <w:uiPriority w:val="0"/>
    <w:pPr>
      <w:textAlignment w:val="baseline"/>
    </w:pPr>
    <w:rPr>
      <w:rFonts w:hAnsi="Courier New" w:cs="Times New Roman"/>
    </w:rPr>
  </w:style>
  <w:style w:type="paragraph" w:customStyle="1" w:styleId="13">
    <w:name w:val="正文1"/>
    <w:basedOn w:val="1"/>
    <w:qFormat/>
    <w:uiPriority w:val="0"/>
    <w:pPr>
      <w:adjustRightInd w:val="0"/>
      <w:spacing w:line="360" w:lineRule="atLeast"/>
      <w:jc w:val="left"/>
    </w:pPr>
    <w:rPr>
      <w:rFonts w:ascii="宋体"/>
      <w:kern w:val="0"/>
      <w:sz w:val="24"/>
    </w:rPr>
  </w:style>
  <w:style w:type="paragraph" w:customStyle="1" w:styleId="14">
    <w:name w:val="Table Paragraph"/>
    <w:basedOn w:val="1"/>
    <w:qFormat/>
    <w:uiPriority w:val="1"/>
    <w:rPr>
      <w:rFonts w:ascii="宋体" w:hAnsi="宋体" w:eastAsia="宋体" w:cs="宋体"/>
    </w:rPr>
  </w:style>
  <w:style w:type="paragraph" w:styleId="15">
    <w:name w:val="List Paragraph"/>
    <w:basedOn w:val="1"/>
    <w:qFormat/>
    <w:uiPriority w:val="1"/>
    <w:pPr>
      <w:ind w:left="620"/>
    </w:pPr>
    <w:rPr>
      <w:rFonts w:ascii="宋体" w:hAnsi="宋体" w:eastAsia="宋体" w:cs="宋体"/>
    </w:rPr>
  </w:style>
  <w:style w:type="character" w:customStyle="1" w:styleId="16">
    <w:name w:val="font21"/>
    <w:basedOn w:val="10"/>
    <w:qFormat/>
    <w:uiPriority w:val="0"/>
    <w:rPr>
      <w:rFonts w:hint="eastAsia" w:ascii="微软雅黑" w:hAnsi="微软雅黑" w:eastAsia="微软雅黑" w:cs="微软雅黑"/>
      <w:b/>
      <w:bCs/>
      <w:color w:val="000000"/>
      <w:sz w:val="24"/>
      <w:szCs w:val="24"/>
      <w:u w:val="none"/>
    </w:rPr>
  </w:style>
  <w:style w:type="character" w:customStyle="1" w:styleId="17">
    <w:name w:val="font11"/>
    <w:basedOn w:val="10"/>
    <w:qFormat/>
    <w:uiPriority w:val="0"/>
    <w:rPr>
      <w:rFonts w:hint="eastAsia" w:ascii="微软雅黑" w:hAnsi="微软雅黑" w:eastAsia="微软雅黑" w:cs="微软雅黑"/>
      <w:b/>
      <w:bCs/>
      <w:color w:val="000000"/>
      <w:sz w:val="24"/>
      <w:szCs w:val="24"/>
      <w:u w:val="none"/>
    </w:rPr>
  </w:style>
  <w:style w:type="character" w:customStyle="1" w:styleId="18">
    <w:name w:val="标题 1 Char"/>
    <w:link w:val="2"/>
    <w:qFormat/>
    <w:uiPriority w:val="0"/>
    <w:rPr>
      <w:rFonts w:ascii="Times New Roman" w:hAnsi="Times New Roman"/>
      <w:b/>
      <w:kern w:val="44"/>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2783</Words>
  <Characters>2989</Characters>
  <Paragraphs>245</Paragraphs>
  <TotalTime>0</TotalTime>
  <ScaleCrop>false</ScaleCrop>
  <LinksUpToDate>false</LinksUpToDate>
  <CharactersWithSpaces>3148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2022-01-13T09:24:00Z</dcterms:created>
  <dc:creator>naciew</dc:creator>
  <cp:lastModifiedBy>螺丝粉</cp:lastModifiedBy>
  <dcterms:modified xsi:type="dcterms:W3CDTF">2024-03-25T06:58:11Z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AACE5109534243E3A599A194405C2063_13</vt:lpwstr>
  </property>
</Properties>
</file>