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left"/>
        <w:rPr>
          <w:rFonts w:hint="eastAsia" w:ascii="宋体" w:hAnsi="宋体" w:eastAsia="宋体" w:cs="宋体"/>
          <w:color w:val="auto"/>
          <w:kern w:val="2"/>
          <w:sz w:val="24"/>
          <w:szCs w:val="24"/>
          <w:highlight w:val="none"/>
          <w:lang w:val="en-US" w:eastAsia="zh-CN"/>
        </w:rPr>
      </w:pPr>
    </w:p>
    <w:p>
      <w:pPr>
        <w:spacing w:before="312" w:beforeLines="100" w:after="312" w:afterLines="100"/>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田林百矿田田碳素有限公司</w:t>
      </w:r>
    </w:p>
    <w:p>
      <w:pPr>
        <w:spacing w:before="312" w:beforeLines="100" w:after="312" w:afterLines="100"/>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石油焦采购合同</w:t>
      </w:r>
    </w:p>
    <w:p>
      <w:pPr>
        <w:autoSpaceDE w:val="0"/>
        <w:autoSpaceDN w:val="0"/>
        <w:adjustRightInd w:val="0"/>
        <w:snapToGrid w:val="0"/>
        <w:spacing w:before="156" w:beforeLines="50" w:after="156" w:afterLines="50" w:line="440" w:lineRule="exact"/>
        <w:ind w:right="420" w:rightChars="200"/>
        <w:rPr>
          <w:rFonts w:hint="eastAsia" w:ascii="宋体" w:hAnsi="宋体" w:eastAsia="宋体" w:cs="宋体"/>
          <w:b/>
          <w:bCs/>
          <w:color w:val="auto"/>
          <w:sz w:val="24"/>
          <w:highlight w:val="none"/>
        </w:rPr>
      </w:pPr>
    </w:p>
    <w:p>
      <w:pPr>
        <w:autoSpaceDE w:val="0"/>
        <w:autoSpaceDN w:val="0"/>
        <w:adjustRightInd w:val="0"/>
        <w:snapToGrid w:val="0"/>
        <w:spacing w:before="156" w:beforeLines="50" w:after="156" w:afterLines="50" w:line="440" w:lineRule="exact"/>
        <w:ind w:right="420" w:rightChars="200"/>
        <w:rPr>
          <w:rFonts w:hint="eastAsia" w:ascii="宋体" w:hAnsi="宋体" w:eastAsia="宋体" w:cs="宋体"/>
          <w:b/>
          <w:bCs/>
          <w:color w:val="auto"/>
          <w:sz w:val="24"/>
          <w:highlight w:val="none"/>
        </w:rPr>
      </w:pPr>
    </w:p>
    <w:p>
      <w:pPr>
        <w:pStyle w:val="8"/>
        <w:rPr>
          <w:rFonts w:hint="eastAsia" w:ascii="宋体" w:hAnsi="宋体" w:eastAsia="宋体" w:cs="宋体"/>
          <w:bCs/>
          <w:color w:val="auto"/>
          <w:sz w:val="24"/>
          <w:highlight w:val="none"/>
        </w:rPr>
      </w:pPr>
    </w:p>
    <w:p>
      <w:pPr>
        <w:autoSpaceDE w:val="0"/>
        <w:autoSpaceDN w:val="0"/>
        <w:adjustRightInd w:val="0"/>
        <w:snapToGrid w:val="0"/>
        <w:spacing w:before="156" w:beforeLines="50" w:after="156" w:afterLines="50" w:line="440" w:lineRule="exact"/>
        <w:ind w:right="420" w:rightChars="200"/>
        <w:rPr>
          <w:rFonts w:hint="eastAsia" w:ascii="宋体" w:hAnsi="宋体" w:eastAsia="宋体" w:cs="宋体"/>
          <w:b/>
          <w:bCs/>
          <w:color w:val="auto"/>
          <w:sz w:val="24"/>
          <w:highlight w:val="none"/>
        </w:rPr>
      </w:pPr>
    </w:p>
    <w:p>
      <w:pPr>
        <w:autoSpaceDE w:val="0"/>
        <w:autoSpaceDN w:val="0"/>
        <w:adjustRightInd w:val="0"/>
        <w:snapToGrid w:val="0"/>
        <w:spacing w:before="156" w:beforeLines="50" w:after="156" w:afterLines="50" w:line="440" w:lineRule="exact"/>
        <w:ind w:right="420" w:rightChars="200"/>
        <w:rPr>
          <w:rFonts w:hint="eastAsia" w:ascii="宋体" w:hAnsi="宋体" w:eastAsia="宋体" w:cs="宋体"/>
          <w:b/>
          <w:bCs/>
          <w:color w:val="auto"/>
          <w:sz w:val="24"/>
          <w:highlight w:val="none"/>
        </w:rPr>
      </w:pPr>
    </w:p>
    <w:p>
      <w:pPr>
        <w:pStyle w:val="8"/>
        <w:rPr>
          <w:rFonts w:hint="eastAsia" w:ascii="宋体" w:hAnsi="宋体" w:eastAsia="宋体" w:cs="宋体"/>
          <w:color w:val="auto"/>
          <w:highlight w:val="none"/>
        </w:rPr>
      </w:pPr>
    </w:p>
    <w:p>
      <w:pPr>
        <w:tabs>
          <w:tab w:val="left" w:pos="567"/>
        </w:tabs>
        <w:snapToGrid w:val="0"/>
        <w:spacing w:before="156" w:beforeLines="50" w:after="156" w:afterLines="50" w:line="440" w:lineRule="exact"/>
        <w:ind w:left="2960" w:leftChars="480" w:hanging="1952" w:hangingChars="400"/>
        <w:rPr>
          <w:rFonts w:hint="eastAsia" w:ascii="宋体" w:hAnsi="宋体" w:eastAsia="宋体" w:cs="宋体"/>
          <w:color w:val="auto"/>
          <w:sz w:val="32"/>
          <w:szCs w:val="32"/>
          <w:highlight w:val="none"/>
          <w:u w:val="single"/>
        </w:rPr>
      </w:pPr>
      <w:r>
        <w:rPr>
          <w:rFonts w:hint="eastAsia" w:ascii="宋体" w:hAnsi="宋体" w:eastAsia="宋体" w:cs="宋体"/>
          <w:color w:val="auto"/>
          <w:spacing w:val="84"/>
          <w:sz w:val="32"/>
          <w:szCs w:val="32"/>
          <w:highlight w:val="none"/>
        </w:rPr>
        <w:t>项目名称</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u w:val="single"/>
        </w:rPr>
        <w:t>田林百矿田田碳素有限公司</w:t>
      </w:r>
    </w:p>
    <w:p>
      <w:pPr>
        <w:tabs>
          <w:tab w:val="left" w:pos="567"/>
        </w:tabs>
        <w:snapToGrid w:val="0"/>
        <w:spacing w:before="156" w:beforeLines="50" w:after="156" w:afterLines="50" w:line="440" w:lineRule="exact"/>
        <w:ind w:left="2352" w:leftChars="1120" w:firstLine="960" w:firstLineChars="3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石油焦采购项目         </w:t>
      </w:r>
    </w:p>
    <w:p>
      <w:pPr>
        <w:snapToGrid w:val="0"/>
        <w:spacing w:before="156" w:beforeLines="50" w:after="156" w:afterLines="50" w:line="440" w:lineRule="exact"/>
        <w:ind w:firstLine="976" w:firstLineChars="200"/>
        <w:rPr>
          <w:rFonts w:hint="eastAsia" w:ascii="宋体" w:hAnsi="宋体" w:eastAsia="宋体" w:cs="宋体"/>
          <w:color w:val="auto"/>
          <w:sz w:val="32"/>
          <w:szCs w:val="32"/>
          <w:highlight w:val="none"/>
          <w:u w:val="single"/>
        </w:rPr>
      </w:pPr>
      <w:r>
        <w:rPr>
          <w:rFonts w:hint="eastAsia" w:ascii="宋体" w:hAnsi="宋体" w:eastAsia="宋体" w:cs="宋体"/>
          <w:color w:val="auto"/>
          <w:spacing w:val="84"/>
          <w:sz w:val="32"/>
          <w:szCs w:val="32"/>
          <w:highlight w:val="none"/>
        </w:rPr>
        <w:t>合同编号</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none"/>
        </w:rPr>
        <w:t xml:space="preserve">             </w:t>
      </w:r>
      <w:r>
        <w:rPr>
          <w:rFonts w:hint="eastAsia" w:ascii="宋体" w:hAnsi="宋体" w:eastAsia="宋体" w:cs="宋体"/>
          <w:color w:val="auto"/>
          <w:sz w:val="32"/>
          <w:szCs w:val="32"/>
          <w:highlight w:val="none"/>
        </w:rPr>
        <w:t xml:space="preserve">   </w:t>
      </w:r>
    </w:p>
    <w:p>
      <w:pPr>
        <w:snapToGrid w:val="0"/>
        <w:spacing w:before="156" w:beforeLines="50" w:after="156" w:afterLines="50" w:line="440" w:lineRule="exact"/>
        <w:ind w:firstLine="976" w:firstLineChars="200"/>
        <w:rPr>
          <w:rFonts w:hint="eastAsia" w:ascii="宋体" w:hAnsi="宋体" w:eastAsia="宋体" w:cs="宋体"/>
          <w:color w:val="auto"/>
          <w:sz w:val="32"/>
          <w:szCs w:val="32"/>
          <w:highlight w:val="none"/>
          <w:u w:val="single"/>
        </w:rPr>
      </w:pPr>
      <w:r>
        <w:rPr>
          <w:rFonts w:hint="eastAsia" w:ascii="宋体" w:hAnsi="宋体" w:eastAsia="宋体" w:cs="宋体"/>
          <w:color w:val="auto"/>
          <w:spacing w:val="84"/>
          <w:sz w:val="32"/>
          <w:szCs w:val="32"/>
          <w:highlight w:val="none"/>
        </w:rPr>
        <w:t>签订地点</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u w:val="single"/>
        </w:rPr>
        <w:t>广西</w:t>
      </w:r>
      <w:r>
        <w:rPr>
          <w:rFonts w:hint="eastAsia" w:ascii="宋体" w:hAnsi="宋体" w:eastAsia="宋体" w:cs="宋体"/>
          <w:color w:val="auto"/>
          <w:sz w:val="32"/>
          <w:szCs w:val="32"/>
          <w:highlight w:val="none"/>
          <w:u w:val="single"/>
          <w:lang w:eastAsia="zh-CN"/>
        </w:rPr>
        <w:t>百色市</w:t>
      </w:r>
      <w:r>
        <w:rPr>
          <w:rFonts w:hint="eastAsia" w:ascii="宋体" w:hAnsi="宋体" w:eastAsia="宋体" w:cs="宋体"/>
          <w:color w:val="auto"/>
          <w:sz w:val="32"/>
          <w:szCs w:val="32"/>
          <w:highlight w:val="none"/>
          <w:u w:val="single"/>
        </w:rPr>
        <w:t xml:space="preserve">田林县旧州镇   </w:t>
      </w:r>
      <w:r>
        <w:rPr>
          <w:rFonts w:hint="eastAsia" w:ascii="宋体" w:hAnsi="宋体" w:eastAsia="宋体" w:cs="宋体"/>
          <w:color w:val="auto"/>
          <w:sz w:val="32"/>
          <w:szCs w:val="32"/>
          <w:highlight w:val="none"/>
          <w:u w:val="none"/>
        </w:rPr>
        <w:t xml:space="preserve">         </w:t>
      </w: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32"/>
          <w:szCs w:val="32"/>
          <w:highlight w:val="none"/>
          <w:u w:val="single"/>
        </w:rPr>
        <w:t xml:space="preserve">        </w:t>
      </w:r>
    </w:p>
    <w:p>
      <w:pPr>
        <w:snapToGrid w:val="0"/>
        <w:spacing w:before="156" w:beforeLines="50" w:after="156" w:afterLines="50" w:line="440" w:lineRule="exact"/>
        <w:ind w:firstLine="976" w:firstLineChars="200"/>
        <w:rPr>
          <w:rFonts w:hint="eastAsia" w:ascii="宋体" w:hAnsi="宋体" w:eastAsia="宋体" w:cs="宋体"/>
          <w:color w:val="auto"/>
          <w:sz w:val="32"/>
          <w:szCs w:val="32"/>
          <w:highlight w:val="none"/>
          <w:u w:val="single"/>
        </w:rPr>
      </w:pPr>
      <w:r>
        <w:rPr>
          <w:rFonts w:hint="eastAsia" w:ascii="宋体" w:hAnsi="宋体" w:eastAsia="宋体" w:cs="宋体"/>
          <w:color w:val="auto"/>
          <w:spacing w:val="84"/>
          <w:sz w:val="32"/>
          <w:szCs w:val="32"/>
          <w:highlight w:val="none"/>
        </w:rPr>
        <w:t>签订时间</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u w:val="single"/>
        </w:rPr>
        <w:t>202</w:t>
      </w:r>
      <w:r>
        <w:rPr>
          <w:rFonts w:hint="eastAsia" w:ascii="宋体" w:hAnsi="宋体" w:eastAsia="宋体" w:cs="宋体"/>
          <w:color w:val="auto"/>
          <w:sz w:val="32"/>
          <w:szCs w:val="32"/>
          <w:highlight w:val="none"/>
          <w:u w:val="single"/>
          <w:lang w:val="en-US" w:eastAsia="zh-CN"/>
        </w:rPr>
        <w:t>4</w:t>
      </w:r>
      <w:r>
        <w:rPr>
          <w:rFonts w:hint="eastAsia" w:ascii="宋体" w:hAnsi="宋体" w:eastAsia="宋体" w:cs="宋体"/>
          <w:color w:val="auto"/>
          <w:sz w:val="32"/>
          <w:szCs w:val="32"/>
          <w:highlight w:val="none"/>
          <w:u w:val="single"/>
        </w:rPr>
        <w:t>年</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月</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日         </w:t>
      </w:r>
    </w:p>
    <w:p>
      <w:pPr>
        <w:tabs>
          <w:tab w:val="left" w:pos="567"/>
        </w:tabs>
        <w:snapToGrid w:val="0"/>
        <w:spacing w:before="156" w:beforeLines="50" w:after="156" w:afterLines="50" w:line="440" w:lineRule="exact"/>
        <w:jc w:val="center"/>
        <w:rPr>
          <w:rFonts w:hint="eastAsia" w:ascii="宋体" w:hAnsi="宋体" w:eastAsia="宋体" w:cs="宋体"/>
          <w:color w:val="auto"/>
          <w:spacing w:val="84"/>
          <w:sz w:val="40"/>
          <w:szCs w:val="32"/>
          <w:highlight w:val="none"/>
        </w:rPr>
      </w:pPr>
    </w:p>
    <w:p>
      <w:pPr>
        <w:rPr>
          <w:rFonts w:hint="eastAsia" w:ascii="宋体" w:hAnsi="宋体" w:eastAsia="宋体" w:cs="宋体"/>
          <w:color w:val="auto"/>
          <w:sz w:val="24"/>
          <w:highlight w:val="none"/>
        </w:rPr>
      </w:pPr>
    </w:p>
    <w:p>
      <w:pPr>
        <w:jc w:val="center"/>
        <w:rPr>
          <w:rFonts w:hint="eastAsia" w:ascii="宋体" w:hAnsi="宋体" w:eastAsia="宋体" w:cs="宋体"/>
          <w:color w:val="auto"/>
          <w:sz w:val="24"/>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spacing w:before="291" w:beforeLines="100" w:after="291" w:afterLines="100"/>
        <w:ind w:firstLine="883" w:firstLineChars="200"/>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石油焦采购合同</w:t>
      </w:r>
    </w:p>
    <w:p>
      <w:pPr>
        <w:spacing w:before="145" w:beforeLines="50" w:after="145" w:afterLines="50" w:line="440" w:lineRule="exact"/>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甲</w:t>
      </w:r>
      <w:r>
        <w:rPr>
          <w:rFonts w:hint="eastAsia" w:ascii="宋体" w:hAnsi="宋体" w:eastAsia="宋体" w:cs="宋体"/>
          <w:b/>
          <w:color w:val="auto"/>
          <w:sz w:val="24"/>
          <w:highlight w:val="none"/>
        </w:rPr>
        <w:t>方：</w:t>
      </w:r>
      <w:r>
        <w:rPr>
          <w:rFonts w:hint="eastAsia" w:ascii="宋体" w:hAnsi="宋体" w:eastAsia="宋体" w:cs="宋体"/>
          <w:b/>
          <w:color w:val="auto"/>
          <w:sz w:val="24"/>
          <w:highlight w:val="none"/>
          <w:lang w:val="en-US" w:eastAsia="zh-CN"/>
        </w:rPr>
        <w:t xml:space="preserve">田林百矿田田碳素有限公司              </w:t>
      </w:r>
    </w:p>
    <w:p>
      <w:pPr>
        <w:spacing w:before="145" w:beforeLines="50" w:after="145" w:afterLines="50" w:line="440" w:lineRule="exact"/>
        <w:jc w:val="left"/>
        <w:rPr>
          <w:rFonts w:hint="eastAsia" w:ascii="宋体" w:hAnsi="宋体" w:eastAsia="宋体" w:cs="宋体"/>
          <w:b/>
          <w:color w:val="auto"/>
          <w:sz w:val="24"/>
          <w:highlight w:val="none"/>
          <w:u w:val="single"/>
          <w:lang w:val="en-US" w:eastAsia="zh-CN"/>
        </w:rPr>
      </w:pPr>
      <w:r>
        <w:rPr>
          <w:rFonts w:hint="eastAsia" w:ascii="宋体" w:hAnsi="宋体" w:eastAsia="宋体" w:cs="宋体"/>
          <w:b/>
          <w:color w:val="auto"/>
          <w:sz w:val="24"/>
          <w:highlight w:val="none"/>
        </w:rPr>
        <w:t>统一社会信用代码：</w:t>
      </w:r>
      <w:r>
        <w:rPr>
          <w:rFonts w:hint="eastAsia" w:ascii="宋体" w:hAnsi="宋体" w:eastAsia="宋体" w:cs="宋体"/>
          <w:color w:val="auto"/>
          <w:sz w:val="24"/>
          <w:highlight w:val="none"/>
          <w:u w:val="single"/>
          <w:lang w:val="en-US" w:eastAsia="zh-CN"/>
        </w:rPr>
        <w:t xml:space="preserve">                    </w:t>
      </w:r>
    </w:p>
    <w:p>
      <w:pPr>
        <w:spacing w:before="145" w:beforeLines="50" w:after="145" w:afterLines="50" w:line="440" w:lineRule="exact"/>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乙</w:t>
      </w:r>
      <w:r>
        <w:rPr>
          <w:rFonts w:hint="eastAsia" w:ascii="宋体" w:hAnsi="宋体" w:eastAsia="宋体" w:cs="宋体"/>
          <w:b/>
          <w:color w:val="auto"/>
          <w:sz w:val="24"/>
          <w:highlight w:val="none"/>
        </w:rPr>
        <w:t>方：</w:t>
      </w:r>
      <w:r>
        <w:rPr>
          <w:rFonts w:hint="eastAsia" w:ascii="宋体" w:hAnsi="宋体" w:eastAsia="宋体" w:cs="宋体"/>
          <w:b/>
          <w:color w:val="auto"/>
          <w:sz w:val="24"/>
          <w:highlight w:val="none"/>
          <w:u w:val="single"/>
          <w:lang w:val="en-US" w:eastAsia="zh-CN"/>
        </w:rPr>
        <w:t xml:space="preserve">                         </w:t>
      </w:r>
    </w:p>
    <w:p>
      <w:pPr>
        <w:spacing w:before="145" w:beforeLines="50" w:after="145" w:afterLines="50" w:line="440" w:lineRule="exact"/>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rPr>
        <w:t>统一社会信用代码：</w:t>
      </w:r>
      <w:r>
        <w:rPr>
          <w:rFonts w:hint="eastAsia" w:ascii="宋体" w:hAnsi="宋体" w:eastAsia="宋体" w:cs="宋体"/>
          <w:color w:val="auto"/>
          <w:sz w:val="24"/>
          <w:highlight w:val="none"/>
          <w:u w:val="single"/>
          <w:lang w:val="en-US" w:eastAsia="zh-CN"/>
        </w:rPr>
        <w:t xml:space="preserve">                    </w:t>
      </w:r>
    </w:p>
    <w:p>
      <w:pPr>
        <w:spacing w:line="480" w:lineRule="exact"/>
        <w:rPr>
          <w:rFonts w:hint="eastAsia" w:ascii="宋体" w:hAnsi="宋体" w:eastAsia="宋体" w:cs="宋体"/>
          <w:color w:val="auto"/>
          <w:sz w:val="24"/>
          <w:highlight w:val="none"/>
        </w:rPr>
      </w:pPr>
    </w:p>
    <w:p>
      <w:pPr>
        <w:spacing w:before="10" w:after="1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为明确甲乙双方权利、义务和责任，根据《中华人民共和国民法典》及相关法律法规的规定，本着自愿公平、诚实信用原则，就石油焦买卖事宜，经双方充分、友好协商，特订立本合同，双方共同遵守。</w:t>
      </w:r>
    </w:p>
    <w:p>
      <w:pPr>
        <w:spacing w:before="10" w:after="10" w:line="44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第一条 石油焦技术指标</w:t>
      </w:r>
    </w:p>
    <w:p>
      <w:pPr>
        <w:widowControl/>
        <w:spacing w:before="10" w:after="1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1.1货物名称：石油焦。</w:t>
      </w:r>
    </w:p>
    <w:p>
      <w:pPr>
        <w:spacing w:before="10" w:after="1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r>
        <w:rPr>
          <w:rFonts w:hint="eastAsia" w:ascii="宋体" w:hAnsi="宋体" w:eastAsia="宋体" w:cs="宋体"/>
          <w:color w:val="auto"/>
          <w:sz w:val="24"/>
          <w:highlight w:val="none"/>
          <w:lang w:bidi="ar"/>
        </w:rPr>
        <w:t>石油焦采购技术指标（N</w:t>
      </w:r>
      <w:r>
        <w:rPr>
          <w:rFonts w:hint="eastAsia" w:ascii="宋体" w:hAnsi="宋体" w:eastAsia="宋体" w:cs="宋体"/>
          <w:color w:val="auto"/>
          <w:sz w:val="24"/>
          <w:highlight w:val="none"/>
        </w:rPr>
        <w:t>B-SH-T 0527-2019）</w:t>
      </w:r>
    </w:p>
    <w:p>
      <w:pPr>
        <w:widowControl/>
        <w:spacing w:before="10" w:after="10" w:line="44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1.3质量指标要求</w:t>
      </w:r>
    </w:p>
    <w:tbl>
      <w:tblPr>
        <w:tblStyle w:val="10"/>
        <w:tblW w:w="9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013"/>
        <w:gridCol w:w="1693"/>
        <w:gridCol w:w="1821"/>
        <w:gridCol w:w="1157"/>
        <w:gridCol w:w="975"/>
        <w:gridCol w:w="135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767"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013"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1693"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硫含量/%(S)</w:t>
            </w:r>
          </w:p>
        </w:tc>
        <w:tc>
          <w:tcPr>
            <w:tcW w:w="1821"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挥发分/%(V)</w:t>
            </w:r>
          </w:p>
        </w:tc>
        <w:tc>
          <w:tcPr>
            <w:tcW w:w="1157"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微量元素钒含量/ppm</w:t>
            </w:r>
          </w:p>
        </w:tc>
        <w:tc>
          <w:tcPr>
            <w:tcW w:w="975"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灰分/%(A)</w:t>
            </w:r>
          </w:p>
        </w:tc>
        <w:tc>
          <w:tcPr>
            <w:tcW w:w="1359"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粉焦量</w:t>
            </w:r>
            <w:r>
              <w:rPr>
                <w:rFonts w:hint="eastAsia" w:ascii="宋体" w:hAnsi="宋体" w:eastAsia="宋体" w:cs="宋体"/>
                <w:color w:val="auto"/>
                <w:highlight w:val="none"/>
                <w:lang w:bidi="ar"/>
              </w:rPr>
              <w:t>（&lt;8mm）</w:t>
            </w:r>
            <w:r>
              <w:rPr>
                <w:rFonts w:hint="eastAsia" w:ascii="宋体" w:hAnsi="宋体" w:eastAsia="宋体" w:cs="宋体"/>
                <w:color w:val="auto"/>
                <w:highlight w:val="none"/>
              </w:rPr>
              <w:t>/%</w:t>
            </w:r>
          </w:p>
        </w:tc>
        <w:tc>
          <w:tcPr>
            <w:tcW w:w="973" w:type="dxa"/>
            <w:vAlign w:val="center"/>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水分/%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tcPr>
          <w:p>
            <w:pPr>
              <w:pStyle w:val="12"/>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1013" w:type="dxa"/>
          </w:tcPr>
          <w:p>
            <w:pPr>
              <w:autoSpaceDE w:val="0"/>
              <w:autoSpaceDN w:val="0"/>
              <w:adjustRightIn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石油焦</w:t>
            </w:r>
          </w:p>
        </w:tc>
        <w:tc>
          <w:tcPr>
            <w:tcW w:w="1693" w:type="dxa"/>
          </w:tcPr>
          <w:p>
            <w:pPr>
              <w:autoSpaceDE w:val="0"/>
              <w:autoSpaceDN w:val="0"/>
              <w:adjustRightInd w:val="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c>
          <w:tcPr>
            <w:tcW w:w="1821" w:type="dxa"/>
          </w:tcPr>
          <w:p>
            <w:pPr>
              <w:autoSpaceDE w:val="0"/>
              <w:autoSpaceDN w:val="0"/>
              <w:adjustRightInd w:val="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 </w:t>
            </w:r>
          </w:p>
        </w:tc>
        <w:tc>
          <w:tcPr>
            <w:tcW w:w="1157" w:type="dxa"/>
          </w:tcPr>
          <w:p>
            <w:pPr>
              <w:autoSpaceDE w:val="0"/>
              <w:autoSpaceDN w:val="0"/>
              <w:adjustRightInd w:val="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c>
          <w:tcPr>
            <w:tcW w:w="975" w:type="dxa"/>
          </w:tcPr>
          <w:p>
            <w:pPr>
              <w:autoSpaceDE w:val="0"/>
              <w:autoSpaceDN w:val="0"/>
              <w:adjustRightInd w:val="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c>
          <w:tcPr>
            <w:tcW w:w="1359" w:type="dxa"/>
          </w:tcPr>
          <w:p>
            <w:pPr>
              <w:autoSpaceDE w:val="0"/>
              <w:autoSpaceDN w:val="0"/>
              <w:adjustRightInd w:val="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c>
          <w:tcPr>
            <w:tcW w:w="973" w:type="dxa"/>
          </w:tcPr>
          <w:p>
            <w:pPr>
              <w:autoSpaceDE w:val="0"/>
              <w:autoSpaceDN w:val="0"/>
              <w:adjustRightIn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tc>
      </w:tr>
    </w:tbl>
    <w:p>
      <w:pPr>
        <w:widowControl/>
        <w:spacing w:before="145" w:beforeLines="50" w:after="145" w:afterLines="50" w:line="44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注明：</w:t>
      </w:r>
    </w:p>
    <w:p>
      <w:pPr>
        <w:widowControl/>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(1)石油焦为蜂窝状焦（海绵焦）</w:t>
      </w:r>
    </w:p>
    <w:p>
      <w:pPr>
        <w:widowControl/>
        <w:numPr>
          <w:ilvl w:val="255"/>
          <w:numId w:val="0"/>
        </w:num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(2)超过约定水分含量时，将于石油焦重量中扣除多余部分的水量。</w:t>
      </w:r>
    </w:p>
    <w:p>
      <w:pPr>
        <w:widowControl/>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货前，乙方需按甲方要求提供石油焦，石油焦硫分、挥发分、钒、灰分、粉焦含量报告及相应产品资料，甲方根据乙方提供的石油焦按合同附件2《石油焦理化性能质量扣款细则》进行验收并作相应处理措施及扣款。</w:t>
      </w:r>
    </w:p>
    <w:p>
      <w:pPr>
        <w:spacing w:before="145" w:beforeLines="50" w:after="145" w:afterLines="50" w:line="44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第二条 数量、重量及交货期限</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总数量：</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吨（上下浮动±</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吨）。甲方实际采购量以甲方汽车衡计量数据为准。</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交货期限：</w:t>
      </w:r>
      <w:r>
        <w:rPr>
          <w:rFonts w:hint="eastAsia" w:ascii="宋体" w:hAnsi="宋体" w:eastAsia="宋体" w:cs="宋体"/>
          <w:color w:val="auto"/>
          <w:sz w:val="24"/>
          <w:highlight w:val="none"/>
          <w:lang w:val="en-US" w:eastAsia="zh-CN"/>
        </w:rPr>
        <w:t xml:space="preserve">   年  月 日</w:t>
      </w:r>
      <w:r>
        <w:rPr>
          <w:rFonts w:hint="eastAsia" w:ascii="宋体" w:hAnsi="宋体" w:eastAsia="宋体" w:cs="宋体"/>
          <w:color w:val="auto"/>
          <w:sz w:val="24"/>
          <w:highlight w:val="none"/>
        </w:rPr>
        <w:t>起至</w:t>
      </w:r>
      <w:r>
        <w:rPr>
          <w:rFonts w:hint="eastAsia" w:ascii="宋体" w:hAnsi="宋体" w:eastAsia="宋体" w:cs="宋体"/>
          <w:color w:val="auto"/>
          <w:sz w:val="24"/>
          <w:highlight w:val="none"/>
          <w:lang w:val="en-US" w:eastAsia="zh-CN"/>
        </w:rPr>
        <w:t xml:space="preserve">  年  月  日</w:t>
      </w:r>
      <w:r>
        <w:rPr>
          <w:rFonts w:hint="eastAsia" w:ascii="宋体" w:hAnsi="宋体" w:eastAsia="宋体" w:cs="宋体"/>
          <w:color w:val="auto"/>
          <w:sz w:val="24"/>
          <w:highlight w:val="none"/>
        </w:rPr>
        <w:t>止。</w:t>
      </w:r>
    </w:p>
    <w:p>
      <w:pPr>
        <w:pStyle w:val="12"/>
        <w:spacing w:before="145" w:beforeLines="50" w:after="145" w:afterLines="5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2.2.1交货时间表</w:t>
      </w:r>
    </w:p>
    <w:tbl>
      <w:tblPr>
        <w:tblStyle w:val="9"/>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6"/>
        <w:gridCol w:w="3659"/>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3936" w:type="dxa"/>
            <w:vAlign w:val="center"/>
          </w:tcPr>
          <w:p>
            <w:pPr>
              <w:pStyle w:val="14"/>
              <w:jc w:val="center"/>
              <w:rPr>
                <w:rFonts w:hint="eastAsia" w:ascii="宋体" w:hAnsi="宋体" w:eastAsia="宋体" w:cs="宋体"/>
                <w:color w:val="auto"/>
                <w:highlight w:val="none"/>
              </w:rPr>
            </w:pPr>
            <w:r>
              <w:rPr>
                <w:rFonts w:hint="eastAsia" w:ascii="宋体" w:hAnsi="宋体" w:eastAsia="宋体" w:cs="宋体"/>
                <w:color w:val="auto"/>
                <w:highlight w:val="none"/>
              </w:rPr>
              <w:t>供货时间</w:t>
            </w:r>
          </w:p>
        </w:tc>
        <w:tc>
          <w:tcPr>
            <w:tcW w:w="3659" w:type="dxa"/>
            <w:vAlign w:val="center"/>
          </w:tcPr>
          <w:p>
            <w:pPr>
              <w:pStyle w:val="14"/>
              <w:jc w:val="center"/>
              <w:rPr>
                <w:rFonts w:hint="eastAsia" w:ascii="宋体" w:hAnsi="宋体" w:eastAsia="宋体" w:cs="宋体"/>
                <w:color w:val="auto"/>
                <w:highlight w:val="none"/>
              </w:rPr>
            </w:pPr>
            <w:r>
              <w:rPr>
                <w:rFonts w:hint="eastAsia" w:ascii="宋体" w:hAnsi="宋体" w:eastAsia="宋体" w:cs="宋体"/>
                <w:color w:val="auto"/>
                <w:highlight w:val="none"/>
              </w:rPr>
              <w:t>供货量（吨）（上下浮动±</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吨）</w:t>
            </w:r>
          </w:p>
        </w:tc>
        <w:tc>
          <w:tcPr>
            <w:tcW w:w="985" w:type="dxa"/>
            <w:vAlign w:val="center"/>
          </w:tcPr>
          <w:p>
            <w:pPr>
              <w:pStyle w:val="14"/>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3936" w:type="dxa"/>
            <w:vAlign w:val="center"/>
          </w:tcPr>
          <w:p>
            <w:pPr>
              <w:pStyle w:val="14"/>
              <w:jc w:val="center"/>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 xml:space="preserve">  年  月  日</w:t>
            </w:r>
            <w:r>
              <w:rPr>
                <w:rFonts w:hint="eastAsia" w:ascii="宋体" w:hAnsi="宋体" w:eastAsia="宋体" w:cs="宋体"/>
                <w:color w:val="auto"/>
                <w:highlight w:val="none"/>
              </w:rPr>
              <w:t>至</w:t>
            </w:r>
            <w:r>
              <w:rPr>
                <w:rFonts w:hint="eastAsia" w:ascii="宋体" w:hAnsi="宋体" w:eastAsia="宋体" w:cs="宋体"/>
                <w:color w:val="auto"/>
                <w:sz w:val="24"/>
                <w:highlight w:val="none"/>
                <w:lang w:val="en-US" w:eastAsia="zh-CN"/>
              </w:rPr>
              <w:t xml:space="preserve">  年  月     日</w:t>
            </w:r>
            <w:r>
              <w:rPr>
                <w:rFonts w:hint="eastAsia" w:ascii="宋体" w:hAnsi="宋体" w:eastAsia="宋体" w:cs="宋体"/>
                <w:color w:val="auto"/>
                <w:highlight w:val="none"/>
                <w:u w:val="none"/>
              </w:rPr>
              <w:t>止</w:t>
            </w:r>
          </w:p>
        </w:tc>
        <w:tc>
          <w:tcPr>
            <w:tcW w:w="3659" w:type="dxa"/>
            <w:vAlign w:val="center"/>
          </w:tcPr>
          <w:p>
            <w:pPr>
              <w:pStyle w:val="14"/>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p>
        </w:tc>
        <w:tc>
          <w:tcPr>
            <w:tcW w:w="985" w:type="dxa"/>
            <w:vAlign w:val="center"/>
          </w:tcPr>
          <w:p>
            <w:pPr>
              <w:pStyle w:val="14"/>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w:t>
            </w:r>
          </w:p>
        </w:tc>
      </w:tr>
    </w:tbl>
    <w:p>
      <w:pPr>
        <w:spacing w:line="480" w:lineRule="exact"/>
        <w:rPr>
          <w:rFonts w:hint="eastAsia" w:ascii="宋体" w:hAnsi="宋体" w:eastAsia="宋体" w:cs="宋体"/>
          <w:color w:val="auto"/>
          <w:sz w:val="24"/>
          <w:highlight w:val="none"/>
        </w:rPr>
      </w:pP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 本合同是甲乙双方承担买卖双方权利义务的基本依据，重量为预估重量。实际交货量以甲方称重实际到货量为准。乙方按甲方要求数量交货，如乙方需改变交货差额，乙方应提前15天通过书面形式向甲方告知，正负差额由甲方书面同意。</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2.4乙方可以于发货前过磅确认交货量，但双方同意以甲方指定收货地磅单的实际重量为结算依据，两者重量合理磅差为±3‰，若差额超过3‰或低于10‰时，由双方协商处理。乙方必须是在符合国家规定的地磅进行过磅，并且提供机打磅单，如因乙方在不符合规定的地磅过磅从而导致差额的，按双方过磅重量中较轻的重量结算。</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 乙方应满足甲方确定的需求量，每月足额交付合同项下标的物。如因自身问题不能满足需求时，乙方应提前</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天以书面方式通知甲方并取得书面同意；如因甲方自身问题减少需求量时，甲方应提前</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天以书面方式通知乙方。</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第三条 运输方式及目的地</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 </w:t>
      </w:r>
      <w:r>
        <w:rPr>
          <w:rFonts w:hint="eastAsia" w:ascii="宋体" w:hAnsi="宋体" w:eastAsia="宋体" w:cs="宋体"/>
          <w:bCs/>
          <w:color w:val="auto"/>
          <w:sz w:val="24"/>
          <w:highlight w:val="none"/>
        </w:rPr>
        <w:t>运输方式：产品运输由乙方负责，费用由乙方承担。</w:t>
      </w:r>
      <w:r>
        <w:rPr>
          <w:rFonts w:hint="eastAsia" w:ascii="宋体" w:hAnsi="宋体" w:eastAsia="宋体" w:cs="宋体"/>
          <w:color w:val="auto"/>
          <w:sz w:val="24"/>
          <w:highlight w:val="none"/>
        </w:rPr>
        <w:t>但运输工具必须符合国家法定要求。</w:t>
      </w:r>
    </w:p>
    <w:p>
      <w:pPr>
        <w:pStyle w:val="12"/>
        <w:spacing w:before="145" w:beforeLines="50" w:after="145" w:afterLines="50" w:line="440" w:lineRule="exact"/>
        <w:ind w:firstLine="480" w:firstLineChars="200"/>
        <w:jc w:val="both"/>
        <w:rPr>
          <w:rFonts w:hint="eastAsia" w:ascii="宋体" w:hAnsi="宋体" w:eastAsia="宋体" w:cs="宋体"/>
          <w:color w:val="auto"/>
          <w:kern w:val="2"/>
          <w:highlight w:val="none"/>
        </w:rPr>
      </w:pPr>
      <w:r>
        <w:rPr>
          <w:rFonts w:hint="eastAsia" w:ascii="宋体" w:hAnsi="宋体" w:eastAsia="宋体" w:cs="宋体"/>
          <w:color w:val="auto"/>
          <w:kern w:val="2"/>
          <w:highlight w:val="none"/>
        </w:rPr>
        <w:t>3.2 乙方应当遵守国家有关规定运输货物，采取必要且良好的防潮、防散落、防污染、防冻等安全保护措施确保运输过程安全。危险物品应当依据《道路危险货物运输管理规定》以及国家有关规定运输，采取必要的安全措施确保运输过程中的安全，乙方对运输过程中发生的一切财产损失、人身损害、安全事故等承担责任。</w:t>
      </w:r>
    </w:p>
    <w:p>
      <w:pPr>
        <w:widowControl/>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3.3货物的装运工具(火车、汽车、轮船等)，必须在装运前清扫干净，产品不得被油类或其他杂质污染。运输过程中必须有防雨措施，保证货物在运输途中不受雨淋水浸。</w:t>
      </w:r>
    </w:p>
    <w:p>
      <w:pPr>
        <w:keepNext w:val="0"/>
        <w:keepLines w:val="0"/>
        <w:pageBreakBefore w:val="0"/>
        <w:tabs>
          <w:tab w:val="left" w:pos="567"/>
        </w:tabs>
        <w:kinsoku/>
        <w:wordWrap/>
        <w:overflowPunct/>
        <w:topLinePunct w:val="0"/>
        <w:bidi w:val="0"/>
        <w:snapToGrid w:val="0"/>
        <w:spacing w:line="49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3.4 交付地点：乙方将货物运至甲方指定地点：广西田林县旧州镇板坚村桂黔（田林）经济合作产业园区田林百矿田田碳素有限公司煅烧车间生产现场。</w:t>
      </w:r>
    </w:p>
    <w:p>
      <w:pPr>
        <w:tabs>
          <w:tab w:val="left" w:pos="567"/>
        </w:tabs>
        <w:snapToGrid w:val="0"/>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3.5 交货方式：由乙方配送到甲方生产现场，并根据本技术任务书规定的标准、规程、规范进行验收，验收合格后货物的所有权及货物损毁灭失风险才转移给甲方，在货物交付完成前，货物的损毁灭失风险由乙方自行承担。</w:t>
      </w:r>
    </w:p>
    <w:p>
      <w:pPr>
        <w:spacing w:before="145" w:beforeLines="50" w:after="145" w:afterLines="50" w:line="440" w:lineRule="exact"/>
        <w:ind w:firstLine="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第四条 价格</w:t>
      </w:r>
    </w:p>
    <w:p>
      <w:pPr>
        <w:numPr>
          <w:ilvl w:val="255"/>
          <w:numId w:val="0"/>
        </w:numPr>
        <w:adjustRightInd w:val="0"/>
        <w:snapToGrid w:val="0"/>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 xml:space="preserve">4.1 </w:t>
      </w:r>
      <w:r>
        <w:rPr>
          <w:rFonts w:hint="eastAsia" w:ascii="宋体" w:hAnsi="宋体" w:eastAsia="宋体" w:cs="宋体"/>
          <w:color w:val="auto"/>
          <w:sz w:val="24"/>
          <w:highlight w:val="none"/>
        </w:rPr>
        <w:t>石油焦基准单价为人民币：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元/吨（该单价锁定）。结算单价为供货包干到场价格。</w:t>
      </w:r>
    </w:p>
    <w:p>
      <w:pPr>
        <w:tabs>
          <w:tab w:val="left" w:pos="567"/>
        </w:tabs>
        <w:snapToGrid w:val="0"/>
        <w:spacing w:before="145" w:beforeLines="50" w:after="145" w:afterLines="50" w:line="440" w:lineRule="exact"/>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4.3本价格包含13%的增值税，若遇国家税率调整，应按调整后的最新税率计付合同款项，即合同不含税价格不受国家税率调整的影响。</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第五条 结算与付款</w:t>
      </w:r>
    </w:p>
    <w:p>
      <w:pPr>
        <w:spacing w:before="0" w:beforeLines="-2147483648" w:after="0" w:afterLines="-2147483648"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5.1结算方式：</w:t>
      </w:r>
      <w:r>
        <w:rPr>
          <w:rFonts w:hint="eastAsia" w:ascii="宋体" w:hAnsi="宋体" w:eastAsia="宋体" w:cs="宋体"/>
          <w:color w:val="auto"/>
          <w:sz w:val="24"/>
          <w:highlight w:val="none"/>
          <w:lang w:val="en-US" w:eastAsia="zh-CN"/>
        </w:rPr>
        <w:t>先货后款，</w:t>
      </w:r>
      <w:r>
        <w:rPr>
          <w:rFonts w:hint="eastAsia" w:ascii="宋体" w:hAnsi="宋体" w:eastAsia="宋体" w:cs="宋体"/>
          <w:color w:val="auto"/>
          <w:kern w:val="2"/>
          <w:sz w:val="24"/>
          <w:szCs w:val="24"/>
          <w:highlight w:val="none"/>
          <w:lang w:val="en-US" w:eastAsia="zh-CN" w:bidi="ar-SA"/>
        </w:rPr>
        <w:t>每5000吨作为一个批次，到货量达5000吨时进行预结算，预结算金额为该批次总金额的70%（需提供该批次70%金额的全额发票，预结算账期为30天），该批次剩余30%的发票经双方最终验收结算并盖章确认后开具。卖方按约定时间交货后，买卖双方应于5个工作日内核定该批数量、价格及质量并确认(存在质量异议除外)，以买方化验结果和磅单的实际收货重量作为结算依据办理结算。卖方按结算金额向买方分别开具13%增值税专用发票，买方在收发票后30天支付货款，遇节假日相应顺延。</w:t>
      </w:r>
    </w:p>
    <w:p>
      <w:pPr>
        <w:pStyle w:val="15"/>
        <w:spacing w:before="145" w:beforeLines="50" w:after="145" w:afterLines="50"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5.2按</w:t>
      </w:r>
      <w:r>
        <w:rPr>
          <w:rFonts w:hint="eastAsia" w:ascii="宋体" w:hAnsi="宋体" w:eastAsia="宋体" w:cs="宋体"/>
          <w:color w:val="auto"/>
          <w:sz w:val="24"/>
          <w:szCs w:val="24"/>
          <w:highlight w:val="none"/>
          <w:lang w:val="en-US" w:eastAsia="zh-CN"/>
        </w:rPr>
        <w:t>5000吨作为一个批次</w:t>
      </w:r>
      <w:r>
        <w:rPr>
          <w:rFonts w:hint="eastAsia" w:ascii="宋体" w:hAnsi="宋体" w:eastAsia="宋体" w:cs="宋体"/>
          <w:color w:val="auto"/>
          <w:sz w:val="24"/>
          <w:szCs w:val="24"/>
          <w:highlight w:val="none"/>
        </w:rPr>
        <w:t>结算。</w:t>
      </w:r>
      <w:r>
        <w:rPr>
          <w:rFonts w:hint="eastAsia" w:ascii="宋体" w:hAnsi="宋体" w:eastAsia="宋体" w:cs="宋体"/>
          <w:color w:val="auto"/>
          <w:sz w:val="24"/>
          <w:szCs w:val="24"/>
          <w:highlight w:val="none"/>
          <w:lang w:val="en-US" w:eastAsia="zh-CN"/>
        </w:rPr>
        <w:t>分两次结算，每满5000吨先进行预结算，预结算金额为该批次的70%，剩余30%货款，待化验结果出具之后，再进行结算。</w:t>
      </w:r>
      <w:r>
        <w:rPr>
          <w:rFonts w:hint="eastAsia" w:ascii="宋体" w:hAnsi="宋体" w:eastAsia="宋体" w:cs="宋体"/>
          <w:color w:val="auto"/>
          <w:sz w:val="24"/>
          <w:szCs w:val="24"/>
          <w:highlight w:val="none"/>
        </w:rPr>
        <w:t>乙方按双方确认的结算金额向甲方开具增值税专用发票，甲方在收到增值税专用发票后</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天内付款，如遇节假日相应顺延。</w:t>
      </w:r>
    </w:p>
    <w:p>
      <w:pPr>
        <w:pStyle w:val="15"/>
        <w:spacing w:before="145" w:beforeLines="50" w:after="145" w:afterLines="50"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5.3甲方每次付款前，乙方均应向甲方开具13%增值税专用发票，否则甲方有权拒绝付款并不承担相应责任。承兑汇票甲方不承担贴息。若因发票不合法产生的一切税款、费用、损失由乙方全额承担。</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第六条 质量要求</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6.1石油焦的质量要求以第1.3条为准。</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6.2乙方所供产品不符合第1.3条质量要求时甲方可选择以下任一办法执行：</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（1）甲方同意降低标准让步接收使用，但应按照附件2《</w:t>
      </w:r>
      <w:r>
        <w:rPr>
          <w:rFonts w:hint="eastAsia" w:ascii="宋体" w:hAnsi="宋体" w:eastAsia="宋体" w:cs="宋体"/>
          <w:color w:val="auto"/>
          <w:sz w:val="24"/>
          <w:highlight w:val="none"/>
          <w:lang w:eastAsia="zh-CN"/>
        </w:rPr>
        <w:t>吉利百矿集团田田碳素石油焦质量标准</w:t>
      </w:r>
      <w:r>
        <w:rPr>
          <w:rFonts w:hint="eastAsia" w:ascii="宋体" w:hAnsi="宋体" w:eastAsia="宋体" w:cs="宋体"/>
          <w:color w:val="auto"/>
          <w:sz w:val="24"/>
          <w:highlight w:val="none"/>
        </w:rPr>
        <w:t>》规定进行扣款。</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（2）若某一批产品化验结果有一项指标达到退货标准或有一项以上（含）达到降级标准的，该批产品按退货处理，由乙方承担退货费用。（详见理化性能质量考核细则）</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（3）合同项下产品到货后，当批次货物的化验结果存在不符合项但未达到退货标准，乙方不同意扣款的，甲方有权针对该批次货物进行退货。</w:t>
      </w:r>
    </w:p>
    <w:p>
      <w:pPr>
        <w:widowControl/>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第七条 质量验收及异议期限</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7.1乙方所供合同标的产品由甲方按合同约定的要求及国家有关规定的标准进行采样、化验，并以化验的数据作为本合同结算的依据。甲方自乙方所供产品到厂之日起保留备用样品25天。如乙方在收到甲方的化验结果后，对该化验结果有异议的，应在收到化验结果之日起2个工作日内书面提出复检要求，由双方将甲方保存的备用样品送交双方认可的具有国家认定资质的第三方鉴定机构化验。复检过程需乙方全程参与并签字确认，若乙方无法参与，应向甲方提供书面说明，且复检结果视为乙方完全认可。</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7.2当复检结果超出原化验结果时则按复检结果进行结算。已开发票结算的批次，不得申请复检。</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7.3每批次产品出厂前乙方应取样自检，检验报告随货发出。</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7.4复检费用先由提出异议方承担，检验的结果证明产品符合本合同1.3条质量指标要求时，则费用由甲方承担；反之由乙方承担。</w:t>
      </w:r>
    </w:p>
    <w:p>
      <w:pPr>
        <w:pStyle w:val="12"/>
        <w:spacing w:before="145" w:beforeLines="50" w:after="145" w:afterLines="50" w:line="440" w:lineRule="exact"/>
        <w:ind w:firstLine="480" w:firstLineChars="200"/>
        <w:jc w:val="both"/>
        <w:rPr>
          <w:rFonts w:hint="eastAsia" w:ascii="宋体" w:hAnsi="宋体" w:eastAsia="宋体" w:cs="宋体"/>
          <w:color w:val="auto"/>
          <w:kern w:val="2"/>
          <w:highlight w:val="none"/>
          <w:lang w:val="zh-CN"/>
        </w:rPr>
      </w:pPr>
      <w:r>
        <w:rPr>
          <w:rFonts w:hint="eastAsia" w:ascii="宋体" w:hAnsi="宋体" w:eastAsia="宋体" w:cs="宋体"/>
          <w:color w:val="auto"/>
          <w:kern w:val="2"/>
          <w:highlight w:val="none"/>
        </w:rPr>
        <w:t>7</w:t>
      </w:r>
      <w:r>
        <w:rPr>
          <w:rFonts w:hint="eastAsia" w:ascii="宋体" w:hAnsi="宋体" w:eastAsia="宋体" w:cs="宋体"/>
          <w:color w:val="auto"/>
          <w:kern w:val="2"/>
          <w:highlight w:val="none"/>
          <w:lang w:val="zh-CN"/>
        </w:rPr>
        <w:t>.</w:t>
      </w:r>
      <w:r>
        <w:rPr>
          <w:rFonts w:hint="eastAsia" w:ascii="宋体" w:hAnsi="宋体" w:eastAsia="宋体" w:cs="宋体"/>
          <w:color w:val="auto"/>
          <w:kern w:val="2"/>
          <w:highlight w:val="none"/>
        </w:rPr>
        <w:t>5</w:t>
      </w:r>
      <w:r>
        <w:rPr>
          <w:rFonts w:hint="eastAsia" w:ascii="宋体" w:hAnsi="宋体" w:eastAsia="宋体" w:cs="宋体"/>
          <w:color w:val="auto"/>
          <w:kern w:val="2"/>
          <w:highlight w:val="none"/>
          <w:lang w:val="zh-CN"/>
        </w:rPr>
        <w:t xml:space="preserve"> 石油焦的取样检验</w:t>
      </w:r>
    </w:p>
    <w:p>
      <w:pPr>
        <w:widowControl/>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7.5.1 取样方法:</w:t>
      </w:r>
      <w:r>
        <w:rPr>
          <w:rFonts w:hint="eastAsia" w:ascii="宋体" w:hAnsi="宋体" w:eastAsia="宋体" w:cs="Times New Roman"/>
          <w:b w:val="0"/>
          <w:bCs w:val="0"/>
          <w:kern w:val="10"/>
          <w:sz w:val="24"/>
          <w:lang w:val="en-US" w:eastAsia="zh-CN"/>
        </w:rPr>
        <w:t>到货取样和制样,按照 SH/T 0313《石油焦检验法》的规定进行。</w:t>
      </w:r>
      <w:r>
        <w:rPr>
          <w:rFonts w:hint="eastAsia" w:ascii="宋体" w:hAnsi="宋体" w:eastAsia="宋体" w:cs="Times New Roman"/>
          <w:b w:val="0"/>
          <w:bCs w:val="0"/>
          <w:color w:val="000000" w:themeColor="text1"/>
          <w:kern w:val="10"/>
          <w:sz w:val="24"/>
          <w:lang w:val="en-US" w:eastAsia="zh-CN"/>
          <w14:textFill>
            <w14:solidFill>
              <w14:schemeClr w14:val="tx1"/>
            </w14:solidFill>
          </w14:textFill>
        </w:rPr>
        <w:t>同一供应商，每车到货石油焦均需要采样，每5车组批检测水分、挥发分、灰分、硫含量，粉焦量（连续两日内到货量不足5车的同样组批检测），每15车组批检测铁、硅、钠、钒含量</w:t>
      </w:r>
      <w:r>
        <w:rPr>
          <w:rFonts w:hint="eastAsia" w:ascii="宋体" w:hAnsi="宋体" w:eastAsia="宋体" w:cs="宋体"/>
          <w:color w:val="auto"/>
          <w:sz w:val="24"/>
          <w:highlight w:val="none"/>
        </w:rPr>
        <w:t>。取样后充分混匀，分成两份并密封处理，同时在试样袋上填写试样基本信息并由取样人共同骑缝签名，一份进行化验，一份作备查样，备查样保存期至少叁个月。</w:t>
      </w:r>
    </w:p>
    <w:p>
      <w:pPr>
        <w:tabs>
          <w:tab w:val="left" w:pos="567"/>
        </w:tabs>
        <w:snapToGrid w:val="0"/>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7.5.2 当抽检过程中出现一次样品某一指标超出规定范围时，由甲方及时通知乙方，由甲乙双方协商解决，如乙方有异议时，可以由甲乙双方共同取样复查。如复查仍不合格，按石油焦理化性能细则进行考核。</w:t>
      </w:r>
    </w:p>
    <w:p>
      <w:pPr>
        <w:tabs>
          <w:tab w:val="left" w:pos="567"/>
        </w:tabs>
        <w:snapToGrid w:val="0"/>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7.6 复检规则：</w:t>
      </w:r>
      <w:r>
        <w:rPr>
          <w:rFonts w:hint="eastAsia" w:ascii="宋体" w:hAnsi="宋体" w:eastAsia="宋体" w:cs="Times New Roman"/>
          <w:b w:val="0"/>
          <w:bCs w:val="0"/>
          <w:color w:val="auto"/>
          <w:kern w:val="10"/>
          <w:sz w:val="24"/>
          <w:highlight w:val="none"/>
          <w:lang w:val="en-US" w:eastAsia="zh-CN"/>
        </w:rPr>
        <w:t>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r>
        <w:rPr>
          <w:rFonts w:hint="eastAsia" w:ascii="宋体" w:hAnsi="宋体" w:eastAsia="宋体" w:cs="宋体"/>
          <w:color w:val="auto"/>
          <w:sz w:val="24"/>
          <w:highlight w:val="none"/>
        </w:rPr>
        <w:t>。</w:t>
      </w:r>
    </w:p>
    <w:p>
      <w:pPr>
        <w:tabs>
          <w:tab w:val="left" w:pos="567"/>
        </w:tabs>
        <w:snapToGrid w:val="0"/>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7.7 在验收时，乙方向甲方提供以下与货物相关的验收资料：“质量证明书”“产品合格证”“检验检测证书（报告）”，属于危险化学品的提供危险化学品安全技术说明书。乙方不提供上述验收资料的甲方可拒收，乙方交货期限不予顺延。如货物上有防伪标志的，甲方对乙方提供货物的防伪标志进行电话和网上查询，如不符，甲方可拒收。</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第八条 退货</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甲方有权对乙方供应的石油焦进行监督检查，凡被甲方检查发现乙方供应的石油焦有掺假、杂质、夹层的车辆，甲方有权拒绝其进厂，已进厂卸车的，甲方有权对该车产品不予结算。因质量不符合要求，</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选择退货的，退货必须在3天内完成，若因乙方原因导致3天内不能完成退货的，造成甲方的一切损失由乙方承担。退货所产生的包装、运输等费用由乙方自行承担。</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第九条 石油焦质量仲裁结果处理办法</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所供石油焦无掺假和无夹层，但乙方对复检结果有异议时，可提出由有资质的第三方化验或者鉴定机构仲裁。仲裁过程需乙方全程参与，若乙方无法参与，应向甲方提供书面说明予以确认，仲裁流程和仲裁结果乙方将视为完全认可。当仲裁结果与原化验结果符合第1.3条要求的则按合同单价进行结算，不符合要求则按附件2《</w:t>
      </w:r>
      <w:r>
        <w:rPr>
          <w:rFonts w:hint="eastAsia" w:ascii="宋体" w:hAnsi="宋体" w:eastAsia="宋体" w:cs="宋体"/>
          <w:color w:val="auto"/>
          <w:sz w:val="24"/>
          <w:highlight w:val="none"/>
          <w:lang w:eastAsia="zh-CN"/>
        </w:rPr>
        <w:t>吉利百矿集团田田碳素石油焦质量标准</w:t>
      </w:r>
      <w:r>
        <w:rPr>
          <w:rFonts w:hint="eastAsia" w:ascii="宋体" w:hAnsi="宋体" w:eastAsia="宋体" w:cs="宋体"/>
          <w:color w:val="auto"/>
          <w:sz w:val="24"/>
          <w:highlight w:val="none"/>
        </w:rPr>
        <w:t>》进行扣款结算或退货处理，仲裁费由提出仲裁方负责。</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第十条 安全条款 </w:t>
      </w:r>
    </w:p>
    <w:p>
      <w:pPr>
        <w:spacing w:before="145" w:beforeLines="50" w:after="145" w:afterLines="50" w:line="440" w:lineRule="exact"/>
        <w:ind w:firstLine="420" w:firstLineChars="200"/>
        <w:rPr>
          <w:rFonts w:hint="eastAsia" w:ascii="宋体" w:hAnsi="宋体" w:eastAsia="宋体" w:cs="宋体"/>
          <w:color w:val="auto"/>
          <w:sz w:val="24"/>
          <w:highlight w:val="none"/>
        </w:rPr>
      </w:pPr>
      <w:r>
        <w:rPr>
          <w:rFonts w:hint="eastAsia" w:ascii="宋体" w:hAnsi="宋体" w:eastAsia="宋体" w:cs="宋体"/>
          <w:color w:val="auto"/>
          <w:highlight w:val="none"/>
        </w:rPr>
        <w:t> </w:t>
      </w:r>
      <w:r>
        <w:rPr>
          <w:rFonts w:hint="eastAsia" w:ascii="宋体" w:hAnsi="宋体" w:eastAsia="宋体" w:cs="宋体"/>
          <w:color w:val="auto"/>
          <w:sz w:val="24"/>
          <w:highlight w:val="none"/>
        </w:rPr>
        <w:t>10.1乙方派往甲方送货的人员，进厂前，有责任了解甲方的入厂（矿区）需知，遵守甲方有关的安全和环保要求；乙方有关办事人员或受雇于乙方的人员在甲方厂区（矿区）内应遵守甲方所有厂规厂纪。</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10.2乙方相关人员进入甲方厂区（矿区），要严格遵守甲方公司管理制度配戴劳保用品并服从甲方管理。如发现乙方人员未按要求穿戴安全防护用品，甲方有权对其行为进行罚款200元/人次。因乙方自身防护不当造成人身伤亡事故的，由乙方承担全部经济和法律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10.3因乙方工作人员的过错造成对甲方或第三方人身伤害及财产的损失，由乙方承担全部法律责任。</w:t>
      </w:r>
    </w:p>
    <w:p>
      <w:pPr>
        <w:spacing w:before="145" w:beforeLines="50" w:after="145" w:afterLines="50" w:line="44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10.4未经甲方允许，乙方人员不能随意进入甲方厂区（矿区）。</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第十一条 违约责任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11.1乙方未能按供货计划如期交货，迟延交货超过5日但不足15日的，应按照迟延交付供应量*基准单价（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元/吨）的2%每天向甲方支付违约金，违约金累计计算。如果迟延交货超过15日的，乙方应承担未供应量*基准单价（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元/吨）的30%违约金。</w:t>
      </w:r>
    </w:p>
    <w:p>
      <w:pPr>
        <w:pStyle w:val="7"/>
        <w:spacing w:before="50" w:after="50" w:line="440" w:lineRule="exac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11.2因乙方原因导致甲方实际收货量不足每阶段供货计划的60%的，甲方有权解除合同并按照本合同第1.3条约定向第三方寻源采购，数量为合同总量中乙方未完成部分，乙方则应按照以下计算方式向甲方承担违约金：（甲方采购价格-本合同约定的基准价）*合同总量中乙方未完成部分。（取绝对值）</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11.3签订合同后，除甲方书面同意外，乙方单方面不履行合同或中途擅自中止/终止履行合同或任何形式的转包、分包行为，均视为违约，甲方有权解除合同，乙方应向甲方支付本合同总金额（合同基准单价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元/吨*本合同第2.1条约定的数量）30%的违约金。</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11.4乙方提供的石油焦品质应符合1.3条规格要求，如果达不到合同约定的质量要求的，如甲方同意接收，应当按质论价，并达成补充协议；如甲方不同意接收的，甲方有权退货，乙方应当承担退货而产生的实际费用，并按合同总价的</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%向甲方支付违约金。</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11.5甲方对乙方供应的石油焦进行监督检查，凡被甲方检查发现乙方供应的石油焦有掺假、杂质、夹层的车辆，甲方有权拒绝其进厂，已进厂卸车的，甲方有权对该车不予结算。因退货造成的损失，由乙方承担。本合同履行期间，甲方累计发现乙方供应的石油焦有掺假、夹层情形的次数达到3次的，甲方有权解除合同并按照本合同第1.3条约定向第三方寻源采购，数量为合同总量中乙方未完成部分，乙方则应按照以下计算方式向甲方承担违约金：（甲方采购价格-本合同约定的基准价）*合同总量中乙方未完成部分。（取绝对值）</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11.6若甲方不能按照本合同第五条的约定付款的，则乙方有权从第15个工作日起按全国银行间同业拆借中心一年期贷款市场报价利率标准收取未付货款利息。</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11.7甲方可依据本合同规定，直接从乙方的应付账款及履约保证金中扣除乙方因索赔、违约责任与相关事宜所应当承担的款项。不足部分乙方应继续支付。</w:t>
      </w:r>
    </w:p>
    <w:p>
      <w:pPr>
        <w:widowControl/>
        <w:snapToGrid w:val="0"/>
        <w:spacing w:before="145" w:beforeLines="50" w:after="145" w:afterLines="50" w:line="440" w:lineRule="exact"/>
        <w:ind w:firstLine="2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第十二条 诚信自律</w:t>
      </w:r>
    </w:p>
    <w:p>
      <w:pPr>
        <w:widowControl/>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甲乙双方承诺在业务往来期间严格遵守诚信自律协议约定，具体详见附件1《诚信自律特别协议》。</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第十三条 不可抗力事件</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13.1 由于地震、台风、水灾、战争、因疫情防控原因造成的无法供货情况和国家宏观调控政策影响等以及其它不能预见并且对其发生或后果不能预防或避免的不可抗力事件，致使直接影响到本合同的履行或者无法按约定条件履行，遇不可抗力事件的一方应在15日内书面通知另一方，并提交由当地公证机关出具的不可抗力事件发生的有效证明。</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13.2 在受不可抗力事件影响的范围内，当事人可免除履行本合同的责任。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13.3不可抗力解除后，买、卖双方是否延期履行、部分履行或取消履行本合同，双方应本着相互谅解、互惠互利原则协商确定。</w:t>
      </w:r>
    </w:p>
    <w:p>
      <w:pPr>
        <w:spacing w:before="145" w:beforeLines="50" w:after="145" w:afterLines="50" w:line="440" w:lineRule="exact"/>
        <w:ind w:firstLine="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第十四条 争议的解决</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凡因本合同或与本合同有关而发生的争议，双方应友好协商解决。协商不成的，可向甲方所在地有管辖权的人民法院提起诉讼。</w:t>
      </w:r>
    </w:p>
    <w:p>
      <w:pPr>
        <w:spacing w:before="145" w:beforeLines="50" w:after="145" w:afterLines="50" w:line="440" w:lineRule="exact"/>
        <w:ind w:firstLine="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第十五条 生效及其它</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15.1 本合同经甲乙双方法定代表人或授权代表人签字并加盖合同专用章或公章后生效。</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15.2 在本合同履行期间，乙方应根据甲方通知的时间和数量（石油焦）发运。本合同项下价格除非特别说明，否则均应为含税价。</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15.3 在本合同履行期间，甲方可根据生产及库存情况，提前2日以书面或电话、微信等形式通知乙方供货。因甲方原因导致交货期延迟的，合同交货期顺延。</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15.4 合同一经生效，任何一方不得擅自变更、修改和终止。如一方需要变更、修改和终止合同的，应当以书面形式向对方提出建议，经双方协商达成一致意见的，应订立补充协议或解除协议并经双方加盖合同印章确认或公章印章确认，视为本合同有效组成部分，与本合同具有同等效力。</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15.5 甲方履行本合同需以当面交付、邮寄、电子邮件将相关声明、资料、文件通知乙方，乙方同意以下方式进行：</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15.5.1甲方以当面交付方式通知乙方的，乙方联系人为：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，自乙方联系人签字确认之时视为乙方已获悉该通知内容。</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15.5.2甲方以邮寄方式通知乙方的，乙方邮寄地址为：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，自甲方按本条约定地址快递寄出后5日视为乙方已获悉该通知内容。</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15.5.3甲方以电子邮件方式通知乙方的，乙方电子邮箱地址为：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，自甲方向本条约定邮箱发出邮件之时视为乙方已获悉该通知内容。</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15.5.4甲方有权选择以上任意一种方式，乙方在接到甲方通知后应在 7日内作出书面答复；乙方未按本条约定进行答复的，视为承认并接受该通知内容，并承担由此产生的责任。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15.5.5乙方联系人、邮寄地址、电子邮箱地址发生变更的，应在三日内以本合同约定方式通知甲方；若乙方未履行上述义务，应承担由此产生的责任。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15.6本合同正本壹式</w:t>
      </w:r>
      <w:r>
        <w:rPr>
          <w:rFonts w:hint="eastAsia" w:ascii="宋体" w:hAnsi="宋体" w:eastAsia="宋体" w:cs="宋体"/>
          <w:color w:val="auto"/>
          <w:sz w:val="24"/>
          <w:highlight w:val="none"/>
          <w:lang w:val="en-US" w:eastAsia="zh-CN"/>
        </w:rPr>
        <w:t>肆</w:t>
      </w:r>
      <w:r>
        <w:rPr>
          <w:rFonts w:hint="eastAsia" w:ascii="宋体" w:hAnsi="宋体" w:eastAsia="宋体" w:cs="宋体"/>
          <w:color w:val="auto"/>
          <w:sz w:val="24"/>
          <w:highlight w:val="none"/>
        </w:rPr>
        <w:t>份，甲方执</w:t>
      </w:r>
      <w:r>
        <w:rPr>
          <w:rFonts w:hint="eastAsia" w:ascii="宋体" w:hAnsi="宋体" w:eastAsia="宋体" w:cs="宋体"/>
          <w:color w:val="auto"/>
          <w:sz w:val="24"/>
          <w:highlight w:val="none"/>
          <w:lang w:val="en-US" w:eastAsia="zh-CN"/>
        </w:rPr>
        <w:t>贰</w:t>
      </w:r>
      <w:r>
        <w:rPr>
          <w:rFonts w:hint="eastAsia" w:ascii="宋体" w:hAnsi="宋体" w:eastAsia="宋体" w:cs="宋体"/>
          <w:color w:val="auto"/>
          <w:sz w:val="24"/>
          <w:highlight w:val="none"/>
        </w:rPr>
        <w:t>份，乙方执</w:t>
      </w:r>
      <w:r>
        <w:rPr>
          <w:rFonts w:hint="eastAsia" w:ascii="宋体" w:hAnsi="宋体" w:eastAsia="宋体" w:cs="宋体"/>
          <w:color w:val="auto"/>
          <w:sz w:val="24"/>
          <w:highlight w:val="none"/>
          <w:lang w:val="en-US" w:eastAsia="zh-CN"/>
        </w:rPr>
        <w:t>贰</w:t>
      </w:r>
      <w:r>
        <w:rPr>
          <w:rFonts w:hint="eastAsia" w:ascii="宋体" w:hAnsi="宋体" w:eastAsia="宋体" w:cs="宋体"/>
          <w:color w:val="auto"/>
          <w:sz w:val="24"/>
          <w:highlight w:val="none"/>
        </w:rPr>
        <w:t>份。</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附件：1.《诚信自律特别协议》</w:t>
      </w:r>
    </w:p>
    <w:p>
      <w:pPr>
        <w:spacing w:before="145" w:beforeLines="50" w:after="145" w:afterLines="50" w:line="440" w:lineRule="exact"/>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吉利百矿集团田田碳素石油焦质量标准</w:t>
      </w:r>
      <w:r>
        <w:rPr>
          <w:rFonts w:hint="eastAsia" w:ascii="宋体" w:hAnsi="宋体" w:eastAsia="宋体" w:cs="宋体"/>
          <w:color w:val="auto"/>
          <w:sz w:val="24"/>
          <w:highlight w:val="none"/>
        </w:rPr>
        <w:t>》</w:t>
      </w:r>
    </w:p>
    <w:p>
      <w:pPr>
        <w:pStyle w:val="12"/>
        <w:spacing w:before="145" w:beforeLines="50" w:after="145" w:afterLines="50" w:line="440" w:lineRule="exact"/>
        <w:jc w:val="both"/>
        <w:rPr>
          <w:rFonts w:hint="eastAsia" w:ascii="宋体" w:hAnsi="宋体" w:eastAsia="宋体" w:cs="宋体"/>
          <w:color w:val="auto"/>
          <w:highlight w:val="none"/>
        </w:rPr>
      </w:pPr>
    </w:p>
    <w:p>
      <w:pPr>
        <w:pStyle w:val="12"/>
        <w:spacing w:before="145" w:beforeLines="50" w:after="145" w:afterLines="50" w:line="440" w:lineRule="exact"/>
        <w:ind w:firstLine="240" w:firstLineChars="100"/>
        <w:jc w:val="both"/>
        <w:rPr>
          <w:rFonts w:hint="eastAsia" w:ascii="宋体" w:hAnsi="宋体" w:eastAsia="宋体" w:cs="宋体"/>
          <w:color w:val="auto"/>
          <w:highlight w:val="none"/>
        </w:rPr>
      </w:pPr>
      <w:r>
        <w:rPr>
          <w:rFonts w:hint="eastAsia" w:ascii="宋体" w:hAnsi="宋体" w:eastAsia="宋体" w:cs="宋体"/>
          <w:color w:val="auto"/>
          <w:highlight w:val="none"/>
        </w:rPr>
        <w:t>（以下无正文）</w:t>
      </w:r>
    </w:p>
    <w:p>
      <w:pPr>
        <w:pStyle w:val="12"/>
        <w:rPr>
          <w:rFonts w:hint="eastAsia" w:ascii="宋体" w:hAnsi="宋体" w:eastAsia="宋体" w:cs="宋体"/>
          <w:color w:val="auto"/>
          <w:highlight w:val="none"/>
        </w:rPr>
      </w:pPr>
    </w:p>
    <w:tbl>
      <w:tblPr>
        <w:tblStyle w:val="9"/>
        <w:tblW w:w="0" w:type="auto"/>
        <w:tblInd w:w="0" w:type="dxa"/>
        <w:tblLayout w:type="autofit"/>
        <w:tblCellMar>
          <w:top w:w="0" w:type="dxa"/>
          <w:left w:w="108" w:type="dxa"/>
          <w:bottom w:w="0" w:type="dxa"/>
          <w:right w:w="108" w:type="dxa"/>
        </w:tblCellMar>
      </w:tblPr>
      <w:tblGrid>
        <w:gridCol w:w="4230"/>
        <w:gridCol w:w="4230"/>
      </w:tblGrid>
      <w:tr>
        <w:tblPrEx>
          <w:tblCellMar>
            <w:top w:w="0" w:type="dxa"/>
            <w:left w:w="108" w:type="dxa"/>
            <w:bottom w:w="0" w:type="dxa"/>
            <w:right w:w="108" w:type="dxa"/>
          </w:tblCellMar>
        </w:tblPrEx>
        <w:trPr>
          <w:trHeight w:val="5749" w:hRule="atLeast"/>
        </w:trPr>
        <w:tc>
          <w:tcPr>
            <w:tcW w:w="4230" w:type="dxa"/>
            <w:shd w:val="clear" w:color="auto" w:fill="auto"/>
          </w:tcPr>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甲方：田林百矿田田碳素有限公司</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(印章）</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法定代表人或授权代表人：</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话：0776-7310600</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开户行：广西北部湾银行百色市中山支行</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账 号：800114239688883  </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税 号：91451029MA5LC22339</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址：田林县旧州镇板坚工业园区内（广西田林百矿铝业有限公司内）</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签订日期：202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   月   日</w:t>
            </w:r>
          </w:p>
        </w:tc>
        <w:tc>
          <w:tcPr>
            <w:tcW w:w="4230" w:type="dxa"/>
            <w:shd w:val="clear" w:color="auto" w:fill="auto"/>
          </w:tcPr>
          <w:p>
            <w:pPr>
              <w:spacing w:before="145" w:beforeLines="50" w:after="145" w:afterLines="50" w:line="440" w:lineRule="exac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乙</w:t>
            </w:r>
            <w:r>
              <w:rPr>
                <w:rFonts w:hint="eastAsia" w:ascii="宋体" w:hAnsi="宋体" w:eastAsia="宋体" w:cs="宋体"/>
                <w:color w:val="auto"/>
                <w:sz w:val="24"/>
                <w:highlight w:val="none"/>
              </w:rPr>
              <w:t>方：</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(印章）</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法定代表人或授权代表人：</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w:t>
            </w:r>
          </w:p>
          <w:p>
            <w:pPr>
              <w:spacing w:before="145" w:beforeLines="50" w:after="145" w:afterLines="50" w:line="440" w:lineRule="exac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开户行：</w:t>
            </w:r>
          </w:p>
          <w:p>
            <w:pPr>
              <w:spacing w:before="145" w:beforeLines="50" w:after="145" w:afterLines="50" w:line="440" w:lineRule="exac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账 号：</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税 号：</w:t>
            </w:r>
          </w:p>
          <w:p>
            <w:pPr>
              <w:spacing w:before="145" w:beforeLines="50" w:after="145" w:afterLines="50"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p>
          <w:p>
            <w:pPr>
              <w:pStyle w:val="12"/>
              <w:rPr>
                <w:rFonts w:hint="eastAsia" w:ascii="宋体" w:hAnsi="宋体" w:eastAsia="宋体" w:cs="宋体"/>
                <w:color w:val="auto"/>
                <w:highlight w:val="none"/>
                <w:lang w:val="en-US" w:eastAsia="zh-CN"/>
              </w:rPr>
            </w:pPr>
          </w:p>
          <w:p>
            <w:pPr>
              <w:spacing w:before="145" w:beforeLines="50" w:after="145" w:afterLines="50" w:line="44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签订日期：202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   月   日</w:t>
            </w:r>
          </w:p>
        </w:tc>
      </w:tr>
    </w:tbl>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4"/>
        <w:rPr>
          <w:rFonts w:hint="eastAsia" w:ascii="宋体" w:hAnsi="宋体" w:eastAsia="宋体" w:cs="宋体"/>
          <w:color w:val="auto"/>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p>
    <w:p>
      <w:pPr>
        <w:pStyle w:val="12"/>
        <w:rPr>
          <w:rFonts w:hint="eastAsia" w:ascii="宋体" w:hAnsi="宋体" w:eastAsia="宋体" w:cs="宋体"/>
          <w:b/>
          <w:color w:val="auto"/>
          <w:kern w:val="2"/>
          <w:highlight w:val="none"/>
        </w:rPr>
      </w:pPr>
      <w:r>
        <w:rPr>
          <w:rFonts w:hint="eastAsia" w:ascii="宋体" w:hAnsi="宋体" w:eastAsia="宋体" w:cs="宋体"/>
          <w:b/>
          <w:color w:val="auto"/>
          <w:kern w:val="2"/>
          <w:highlight w:val="none"/>
        </w:rPr>
        <w:t>附件1</w:t>
      </w:r>
    </w:p>
    <w:p>
      <w:pPr>
        <w:spacing w:before="291" w:beforeLines="100" w:after="291" w:afterLines="100"/>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诚信自律特别协议</w:t>
      </w:r>
    </w:p>
    <w:p>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r>
        <w:rPr>
          <w:rFonts w:hint="eastAsia" w:ascii="宋体" w:hAnsi="宋体" w:eastAsia="宋体" w:cs="宋体"/>
          <w:color w:val="auto"/>
          <w:sz w:val="24"/>
          <w:highlight w:val="none"/>
          <w:u w:val="single"/>
        </w:rPr>
        <w:t>田林百矿田田碳素有限公司</w:t>
      </w:r>
    </w:p>
    <w:p>
      <w:pPr>
        <w:spacing w:line="440" w:lineRule="exac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乙方：</w:t>
      </w:r>
      <w:r>
        <w:rPr>
          <w:rFonts w:hint="eastAsia" w:ascii="宋体" w:hAnsi="宋体" w:eastAsia="宋体" w:cs="宋体"/>
          <w:color w:val="auto"/>
          <w:sz w:val="24"/>
          <w:highlight w:val="none"/>
          <w:u w:val="single"/>
          <w:lang w:val="en-US" w:eastAsia="zh-CN"/>
        </w:rPr>
        <w:t xml:space="preserve">                         </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鉴于乙方为甲方提供产品/服务/工程或双方存在其他经济业务往来，为促使双方建立长期的诚信合作关系，保证在公平、公正、公开原则下履行业务合同，依据相关法律法规，经甲乙双方友好协商，达成如下约定。</w:t>
      </w:r>
    </w:p>
    <w:p>
      <w:pPr>
        <w:spacing w:before="145" w:beforeLines="50" w:after="145" w:afterLines="50" w:line="440" w:lineRule="exact"/>
        <w:ind w:firstLine="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第一条 诚信责任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乙方(包括乙方、乙方关联方及其相关工作人员，下同），应与甲方（包括甲方及其关联方，下同）人员（包括但不限于亲属、利益关系人等，下同）保持正常、合法的业务交往，按照有关法律法规和程序开展业务工作，严格履行双方合同约定。乙方应当遵守以下要求： </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不得向甲方人员提供、给予合同约定外的任何利益，包括但不限于回扣、实物、现金或现金等价物（如：消费卡/券、提货券、购物卡、换购券、充值卡或其他可供使用或消费的充值、储值卡及其他形态的有价礼券或证券等）、支票及财产性权益、旅游、宴请、娱乐、健身、免费消费等物质性利益或就业、就学以及其他便利等非物质性利益。</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（二）不得以任何理由为甲方人员报销应由甲方或个人支付的费用；</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（三）不得与甲方人员发生任何合资合作、借贷关系，也不得参与甲方人员的婚丧嫁娶活动；</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原则上不得与甲方人员发生例如房屋装修/租赁、车辆租赁等经济往来活动，如上述经济往来活动不存在可能影响甲方人员公正执行业务的，乙方与甲方人员发生的经济往来活动应符合市场公允定价原则，且乙方应当保留双方交易凭证；</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（五）不得以任何理由为甲方人员提供黄赌毒等违法活动；</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六）乙方保证甲方人员没有直接或间接投资乙方，没有直接或间接持有乙方的股权或干股，也没有到乙方任职（含兼职及担任董事、监事、高级管理人员等）。乙方保证其股东、实际控制人、主要管理人员和甲方人员没有亲属关系或其他特殊关系；若有以上关系，乙方应如实书面报告甲方；</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（七）乙方不得以任何借口和理由给予甲方人员任何形式的利益或好处。</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乙方同意约束其工作人员遵守上述约定并为其工作人员行为后果负责。</w:t>
      </w:r>
    </w:p>
    <w:p>
      <w:pPr>
        <w:spacing w:before="145" w:beforeLines="50" w:after="145" w:afterLines="50" w:line="440" w:lineRule="exact"/>
        <w:ind w:firstLine="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第二条  违约责任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2.1在双方业务往来期间及合作终止后2年内：乙方不得接受违反本诚信自律特别协议的甲方人员任职或提供服务；乙方不得直接或间接游说、雇用或聘请与业务合同有直接关联的甲方人员；但甲方同意的除外。 </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甲方人员如有违反本诚信自律特别协议的，一经查实，甲方将对责任人给予警告、处分、直至解除劳动合同。涉嫌犯罪的，则送交司法机关追究其法律责任。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 乙方违反本诚信自律特别协议或甲方提出乙方违反本协议约定的初步证据（如甲方员工的自述、相关证人证言及其他相关证据），乙方同意自乙方违约或甲方提出初步证据之日，甲方有权暂停支付乙方的所有款项且不承担逾期付款的违约责任直至甲方出具调查结果。</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 如乙方违反本诚信自律特别协议的，应按以下对应情形向甲方承担违约责任且甲方有权从应付款项或各类保证金中直接扣除乙方应承担的赔偿金：</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调查期间积极配合甲方并主动提供证据的：如调查结果为甲方人员主动索贿导致乙方输送不当利益的，则乙方应赔偿甲方损失；如调查结果为乙方主动向甲方人员输送不当利益的，乙方应赔偿甲方损失并承担合同金额（非固定金额的合同按照实际已发生的金额，下同）10%的违约责任；无法确定合同金额的，乙方应向甲方支付违约金10万元。</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（2）乙方不配合调查或未提供证据的：甲方有权独立查实直至得出结论。如乙方违反本诚信自律特别协议的，甲方有权按合同金额的30%追究乙方违约责任；无法确定合同金额的，乙方应向甲方支付违约金30万元。</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涉嫌犯罪的，则送交司法机关追究其法律责任。</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2.5如乙方违反本诚信自律特别协议约定的，甲方均有权终止双方合作并将乙方列入黑名单、以后不再作为供应商纳入等处理措施。</w:t>
      </w:r>
    </w:p>
    <w:p>
      <w:pPr>
        <w:spacing w:before="145" w:beforeLines="50" w:after="145" w:afterLines="50" w:line="440" w:lineRule="exact"/>
        <w:ind w:firstLine="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第三条  举报</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乙方可通过以下方式对甲方人员违反本诚信自律特别协议的行为如实举报或投诉，甲方受理渠道为：吉利科技集团有限公司法务合规部，电话400-016-0023，邮箱</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"mailto:integrity@Geely.com"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highlight w:val="none"/>
        </w:rPr>
        <w:t>COC-t@Geely.com</w:t>
      </w:r>
      <w:r>
        <w:rPr>
          <w:rFonts w:hint="eastAsia" w:ascii="宋体" w:hAnsi="宋体" w:eastAsia="宋体" w:cs="宋体"/>
          <w:color w:val="auto"/>
          <w:sz w:val="24"/>
          <w:highlight w:val="none"/>
        </w:rPr>
        <w:fldChar w:fldCharType="end"/>
      </w:r>
      <w:r>
        <w:rPr>
          <w:rFonts w:hint="eastAsia" w:ascii="宋体" w:hAnsi="宋体" w:eastAsia="宋体" w:cs="宋体"/>
          <w:color w:val="auto"/>
          <w:sz w:val="24"/>
          <w:highlight w:val="none"/>
        </w:rPr>
        <w:t>。</w:t>
      </w:r>
    </w:p>
    <w:p>
      <w:pPr>
        <w:spacing w:before="145" w:beforeLines="50" w:after="145" w:afterLines="50" w:line="440" w:lineRule="exact"/>
        <w:ind w:firstLine="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第四条  其他约定</w:t>
      </w:r>
    </w:p>
    <w:p>
      <w:pPr>
        <w:adjustRightInd w:val="0"/>
        <w:snapToGrid w:val="0"/>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4.1本协议壹式四份，甲方执二份，乙方执二份。</w:t>
      </w:r>
    </w:p>
    <w:p>
      <w:pPr>
        <w:adjustRightInd w:val="0"/>
        <w:snapToGrid w:val="0"/>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4.2本诚信自律特别协议与业务合同具有同等法律效力，作为业务合同的附件。</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4.3业务</w:t>
      </w:r>
      <w:bookmarkStart w:id="0" w:name="_Hlk92788699"/>
      <w:r>
        <w:rPr>
          <w:rFonts w:hint="eastAsia" w:ascii="宋体" w:hAnsi="宋体" w:eastAsia="宋体" w:cs="宋体"/>
          <w:color w:val="auto"/>
          <w:sz w:val="24"/>
          <w:highlight w:val="none"/>
        </w:rPr>
        <w:t>合同的变更、转让、终止或被撤销、无效不影响本诚信自律特别协议的效力。</w:t>
      </w:r>
      <w:bookmarkEnd w:id="0"/>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4.4本协议履行中任何争议均应向甲方所在地人民法院诉讼解决。</w:t>
      </w:r>
    </w:p>
    <w:p>
      <w:pPr>
        <w:spacing w:before="145" w:beforeLines="50" w:after="145" w:afterLines="50" w:line="440" w:lineRule="exact"/>
        <w:ind w:firstLine="200"/>
        <w:rPr>
          <w:rFonts w:hint="eastAsia" w:ascii="宋体" w:hAnsi="宋体" w:eastAsia="宋体" w:cs="宋体"/>
          <w:color w:val="auto"/>
          <w:sz w:val="24"/>
          <w:highlight w:val="none"/>
        </w:rPr>
      </w:pPr>
    </w:p>
    <w:p>
      <w:pPr>
        <w:spacing w:before="145" w:beforeLines="50" w:after="145" w:afterLines="50" w:line="440" w:lineRule="exact"/>
        <w:ind w:firstLine="480" w:firstLineChars="200"/>
        <w:rPr>
          <w:rFonts w:hint="eastAsia" w:ascii="宋体" w:hAnsi="宋体" w:eastAsia="宋体" w:cs="宋体"/>
          <w:color w:val="auto"/>
          <w:sz w:val="24"/>
          <w:highlight w:val="none"/>
        </w:rPr>
      </w:pPr>
      <w:bookmarkStart w:id="1" w:name="_Hlk74814265"/>
      <w:r>
        <w:rPr>
          <w:rFonts w:hint="eastAsia" w:ascii="宋体" w:hAnsi="宋体" w:eastAsia="宋体" w:cs="宋体"/>
          <w:color w:val="auto"/>
          <w:sz w:val="24"/>
          <w:highlight w:val="none"/>
        </w:rPr>
        <w:t>(以下无正文)</w:t>
      </w:r>
    </w:p>
    <w:p>
      <w:pPr>
        <w:spacing w:line="480" w:lineRule="exact"/>
        <w:rPr>
          <w:rFonts w:hint="eastAsia" w:ascii="宋体" w:hAnsi="宋体" w:eastAsia="宋体" w:cs="宋体"/>
          <w:color w:val="auto"/>
          <w:sz w:val="24"/>
          <w:highlight w:val="none"/>
        </w:rPr>
      </w:pPr>
    </w:p>
    <w:p>
      <w:pPr>
        <w:spacing w:line="440" w:lineRule="exact"/>
        <w:rPr>
          <w:rFonts w:hint="eastAsia" w:ascii="宋体" w:hAnsi="宋体" w:eastAsia="宋体" w:cs="宋体"/>
          <w:color w:val="auto"/>
          <w:sz w:val="24"/>
          <w:highlight w:val="none"/>
        </w:rPr>
      </w:pPr>
    </w:p>
    <w:bookmarkEnd w:id="1"/>
    <w:p>
      <w:pPr>
        <w:pStyle w:val="16"/>
        <w:rPr>
          <w:rFonts w:hint="eastAsia" w:ascii="宋体" w:hAnsi="宋体" w:eastAsia="宋体" w:cs="宋体"/>
          <w:color w:val="auto"/>
          <w:sz w:val="24"/>
          <w:highlight w:val="none"/>
        </w:rPr>
      </w:pPr>
    </w:p>
    <w:p>
      <w:pPr>
        <w:pStyle w:val="16"/>
        <w:rPr>
          <w:rFonts w:hint="eastAsia" w:ascii="宋体" w:hAnsi="宋体" w:eastAsia="宋体" w:cs="宋体"/>
          <w:color w:val="auto"/>
          <w:sz w:val="24"/>
          <w:highlight w:val="none"/>
        </w:rPr>
      </w:pPr>
    </w:p>
    <w:p>
      <w:pPr>
        <w:pStyle w:val="16"/>
        <w:rPr>
          <w:rFonts w:hint="eastAsia" w:ascii="宋体" w:hAnsi="宋体" w:eastAsia="宋体" w:cs="宋体"/>
          <w:color w:val="auto"/>
          <w:sz w:val="24"/>
          <w:highlight w:val="none"/>
        </w:rPr>
      </w:pPr>
    </w:p>
    <w:p>
      <w:pPr>
        <w:pStyle w:val="16"/>
        <w:rPr>
          <w:rFonts w:hint="eastAsia" w:ascii="宋体" w:hAnsi="宋体" w:eastAsia="宋体" w:cs="宋体"/>
          <w:color w:val="auto"/>
          <w:sz w:val="24"/>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p>
    <w:p>
      <w:pPr>
        <w:pStyle w:val="12"/>
        <w:spacing w:line="480" w:lineRule="exact"/>
        <w:rPr>
          <w:rFonts w:hint="eastAsia" w:ascii="宋体" w:hAnsi="宋体" w:eastAsia="宋体" w:cs="宋体"/>
          <w:b/>
          <w:bCs/>
          <w:color w:val="auto"/>
          <w:kern w:val="2"/>
          <w:highlight w:val="none"/>
        </w:rPr>
      </w:pPr>
      <w:r>
        <w:rPr>
          <w:rFonts w:hint="eastAsia" w:ascii="宋体" w:hAnsi="宋体" w:eastAsia="宋体" w:cs="宋体"/>
          <w:b/>
          <w:bCs/>
          <w:color w:val="auto"/>
          <w:kern w:val="2"/>
          <w:highlight w:val="none"/>
        </w:rPr>
        <w:t>附件2</w:t>
      </w:r>
    </w:p>
    <w:p>
      <w:pPr>
        <w:spacing w:line="44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吉利百矿集团田田碳素石油焦质量标准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0"/>
        <w:rPr>
          <w:rStyle w:val="17"/>
          <w:rFonts w:hint="eastAsia" w:ascii="黑体" w:hAnsi="黑体" w:eastAsia="黑体" w:cs="黑体"/>
          <w:b w:val="0"/>
          <w:bCs/>
          <w:color w:val="auto"/>
          <w:sz w:val="24"/>
          <w:szCs w:val="24"/>
          <w:highlight w:val="none"/>
          <w:lang w:val="en-US" w:eastAsia="zh-CN"/>
        </w:rPr>
      </w:pPr>
      <w:bookmarkStart w:id="2" w:name="_Toc23121"/>
      <w:r>
        <w:rPr>
          <w:rStyle w:val="17"/>
          <w:rFonts w:hint="eastAsia" w:ascii="黑体" w:hAnsi="黑体" w:eastAsia="黑体" w:cs="黑体"/>
          <w:b w:val="0"/>
          <w:bCs/>
          <w:color w:val="auto"/>
          <w:sz w:val="24"/>
          <w:szCs w:val="24"/>
          <w:highlight w:val="none"/>
          <w:lang w:val="en-US" w:eastAsia="zh-CN"/>
        </w:rPr>
        <w:t>1 石油焦（生焦）</w:t>
      </w:r>
      <w:bookmarkEnd w:id="2"/>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3" w:name="_Toc9771"/>
      <w:bookmarkStart w:id="4" w:name="_Toc6066"/>
      <w:bookmarkStart w:id="5" w:name="_Toc27731"/>
      <w:bookmarkStart w:id="6" w:name="_Toc1663"/>
      <w:r>
        <w:rPr>
          <w:rFonts w:hint="eastAsia" w:ascii="宋体" w:hAnsi="宋体" w:eastAsia="宋体" w:cs="宋体"/>
          <w:b/>
          <w:bCs w:val="0"/>
          <w:color w:val="auto"/>
          <w:kern w:val="10"/>
          <w:sz w:val="24"/>
          <w:highlight w:val="none"/>
          <w:lang w:val="en-US" w:eastAsia="zh-CN"/>
        </w:rPr>
        <w:t>1.1 范围</w:t>
      </w:r>
      <w:bookmarkEnd w:id="3"/>
      <w:bookmarkEnd w:id="4"/>
      <w:bookmarkEnd w:id="5"/>
      <w:bookmarkEnd w:id="6"/>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bookmarkStart w:id="7" w:name="_Toc24537"/>
      <w:bookmarkStart w:id="8" w:name="_Toc551"/>
      <w:bookmarkStart w:id="9" w:name="_Toc13700"/>
      <w:bookmarkStart w:id="10" w:name="_Toc12403"/>
      <w:r>
        <w:rPr>
          <w:rFonts w:hint="eastAsia" w:ascii="宋体" w:hAnsi="宋体" w:eastAsia="宋体" w:cs="Times New Roman"/>
          <w:color w:val="auto"/>
          <w:kern w:val="10"/>
          <w:sz w:val="24"/>
          <w:highlight w:val="none"/>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11" w:name="_Toc31298"/>
      <w:r>
        <w:rPr>
          <w:rFonts w:hint="eastAsia" w:ascii="宋体" w:hAnsi="宋体" w:eastAsia="宋体" w:cs="宋体"/>
          <w:b/>
          <w:bCs w:val="0"/>
          <w:color w:val="auto"/>
          <w:kern w:val="10"/>
          <w:sz w:val="24"/>
          <w:highlight w:val="none"/>
          <w:lang w:val="en-US" w:eastAsia="zh-CN"/>
        </w:rPr>
        <w:t>1.2 规范性引用文件</w:t>
      </w:r>
      <w:bookmarkEnd w:id="7"/>
      <w:bookmarkEnd w:id="8"/>
      <w:bookmarkEnd w:id="11"/>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12"/>
        <w:keepNext w:val="0"/>
        <w:keepLines w:val="0"/>
        <w:pageBreakBefore w:val="0"/>
        <w:widowControl w:val="0"/>
        <w:kinsoku/>
        <w:wordWrap/>
        <w:overflowPunct/>
        <w:topLinePunct w:val="0"/>
        <w:bidi w:val="0"/>
        <w:snapToGrid/>
        <w:spacing w:line="440" w:lineRule="exact"/>
        <w:ind w:firstLine="480" w:firstLineChars="200"/>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NB/SH/T 0527—2019石油焦（生焦）</w:t>
      </w:r>
    </w:p>
    <w:p>
      <w:pPr>
        <w:pStyle w:val="12"/>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keepNext w:val="0"/>
        <w:keepLines w:val="0"/>
        <w:pageBreakBefore w:val="0"/>
        <w:widowControl w:val="0"/>
        <w:kinsoku/>
        <w:wordWrap/>
        <w:overflowPunct/>
        <w:topLinePunct w:val="0"/>
        <w:autoSpaceDE/>
        <w:autoSpaceDN/>
        <w:bidi w:val="0"/>
        <w:adjustRightInd/>
        <w:snapToGrid/>
        <w:spacing w:line="440" w:lineRule="exact"/>
        <w:ind w:left="479" w:leftChars="228" w:firstLine="0" w:firstLineChars="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color w:val="auto"/>
          <w:kern w:val="10"/>
          <w:sz w:val="24"/>
          <w:highlight w:val="none"/>
          <w:lang w:val="en-US" w:eastAsia="zh-CN"/>
        </w:rPr>
      </w:pPr>
      <w:r>
        <w:rPr>
          <w:rFonts w:hint="default" w:ascii="宋体" w:hAnsi="宋体" w:eastAsia="宋体" w:cs="Times New Roman"/>
          <w:color w:val="auto"/>
          <w:kern w:val="10"/>
          <w:sz w:val="24"/>
          <w:highlight w:val="none"/>
          <w:lang w:val="en-US" w:eastAsia="zh-CN"/>
        </w:rPr>
        <w:t>GB/T</w:t>
      </w:r>
      <w:r>
        <w:rPr>
          <w:rFonts w:hint="eastAsia" w:ascii="宋体" w:hAnsi="宋体" w:eastAsia="宋体" w:cs="Times New Roman"/>
          <w:color w:val="auto"/>
          <w:kern w:val="10"/>
          <w:sz w:val="24"/>
          <w:highlight w:val="none"/>
          <w:lang w:val="en-US" w:eastAsia="zh-CN"/>
        </w:rPr>
        <w:t xml:space="preserve"> </w:t>
      </w:r>
      <w:r>
        <w:rPr>
          <w:rFonts w:hint="default" w:ascii="宋体" w:hAnsi="宋体" w:eastAsia="宋体" w:cs="Times New Roman"/>
          <w:color w:val="auto"/>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color w:val="auto"/>
          <w:kern w:val="10"/>
          <w:sz w:val="24"/>
          <w:highlight w:val="none"/>
          <w:lang w:val="en-US" w:eastAsia="zh-CN"/>
        </w:rPr>
      </w:pPr>
      <w:r>
        <w:rPr>
          <w:rFonts w:hint="default" w:ascii="宋体" w:hAnsi="宋体" w:eastAsia="宋体" w:cs="Times New Roman"/>
          <w:color w:val="auto"/>
          <w:kern w:val="10"/>
          <w:sz w:val="24"/>
          <w:highlight w:val="none"/>
          <w:lang w:val="en-US" w:eastAsia="zh-CN"/>
        </w:rPr>
        <w:t>GB/T 214-2007煤中全硫的测定方法</w:t>
      </w:r>
    </w:p>
    <w:bookmarkEnd w:id="9"/>
    <w:bookmarkEnd w:id="10"/>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color w:val="auto"/>
          <w:kern w:val="10"/>
          <w:sz w:val="24"/>
          <w:highlight w:val="none"/>
          <w:lang w:val="en-US" w:eastAsia="zh-CN"/>
        </w:rPr>
      </w:pPr>
      <w:bookmarkStart w:id="12" w:name="_Toc19710"/>
      <w:r>
        <w:rPr>
          <w:rFonts w:hint="eastAsia" w:ascii="宋体" w:hAnsi="宋体" w:eastAsia="宋体" w:cs="宋体"/>
          <w:b/>
          <w:bCs w:val="0"/>
          <w:color w:val="auto"/>
          <w:kern w:val="10"/>
          <w:sz w:val="24"/>
          <w:highlight w:val="none"/>
          <w:lang w:val="en-US" w:eastAsia="zh-CN"/>
        </w:rPr>
        <w:t>1.3 技术要求和试验方法</w:t>
      </w:r>
      <w:bookmarkEnd w:id="12"/>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黑体" w:hAnsi="黑体" w:eastAsia="黑体" w:cs="黑体"/>
          <w:b w:val="0"/>
          <w:bCs w:val="0"/>
          <w:color w:val="auto"/>
          <w:kern w:val="10"/>
          <w:sz w:val="24"/>
          <w:szCs w:val="22"/>
          <w:highlight w:val="none"/>
          <w:lang w:val="en-US" w:eastAsia="zh-CN" w:bidi="ar-SA"/>
        </w:rPr>
      </w:pPr>
      <w:r>
        <w:rPr>
          <w:rFonts w:hint="eastAsia" w:ascii="宋体" w:hAnsi="宋体" w:eastAsia="宋体" w:cs="Times New Roman"/>
          <w:color w:val="auto"/>
          <w:kern w:val="10"/>
          <w:sz w:val="24"/>
          <w:highlight w:val="none"/>
          <w:lang w:val="en-US" w:eastAsia="zh-CN"/>
        </w:rPr>
        <w:t>石油焦（生焦）的技术要求和试验方法应符合表1规定。</w:t>
      </w:r>
    </w:p>
    <w:p>
      <w:pPr>
        <w:pStyle w:val="4"/>
        <w:keepNext w:val="0"/>
        <w:keepLines w:val="0"/>
        <w:pageBreakBefore w:val="0"/>
        <w:widowControl w:val="0"/>
        <w:tabs>
          <w:tab w:val="left" w:pos="3330"/>
        </w:tabs>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10"/>
          <w:sz w:val="24"/>
          <w:szCs w:val="22"/>
          <w:highlight w:val="none"/>
          <w:lang w:val="en-US" w:eastAsia="zh-CN" w:bidi="ar-SA"/>
        </w:rPr>
      </w:pPr>
      <w:r>
        <w:rPr>
          <w:rFonts w:hint="eastAsia" w:ascii="宋体" w:hAnsi="宋体" w:eastAsia="宋体" w:cs="宋体"/>
          <w:b w:val="0"/>
          <w:bCs w:val="0"/>
          <w:color w:val="auto"/>
          <w:kern w:val="10"/>
          <w:sz w:val="24"/>
          <w:szCs w:val="22"/>
          <w:highlight w:val="none"/>
          <w:lang w:val="en-US" w:eastAsia="zh-CN" w:bidi="ar-SA"/>
        </w:rPr>
        <w:t>表1：石油焦（生焦）技术要求和试验方法</w:t>
      </w:r>
    </w:p>
    <w:tbl>
      <w:tblPr>
        <w:tblStyle w:val="9"/>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412"/>
        <w:gridCol w:w="27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b/>
                <w:bCs/>
                <w:color w:val="auto"/>
                <w:kern w:val="10"/>
                <w:sz w:val="21"/>
                <w:szCs w:val="21"/>
                <w:highlight w:val="none"/>
                <w:lang w:val="en-US" w:eastAsia="zh-CN"/>
              </w:rPr>
            </w:pPr>
          </w:p>
          <w:p>
            <w:pPr>
              <w:ind w:firstLine="211" w:firstLineChars="100"/>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项</w:t>
            </w:r>
            <w:r>
              <w:rPr>
                <w:rFonts w:hint="eastAsia" w:ascii="宋体" w:hAnsi="宋体" w:eastAsia="宋体" w:cs="宋体"/>
                <w:b/>
                <w:bCs/>
                <w:color w:val="auto"/>
                <w:kern w:val="10"/>
                <w:sz w:val="21"/>
                <w:szCs w:val="21"/>
                <w:highlight w:val="none"/>
                <w:lang w:val="en-US" w:eastAsia="zh-CN"/>
              </w:rPr>
              <w:tab/>
            </w:r>
            <w:r>
              <w:rPr>
                <w:rFonts w:hint="eastAsia" w:ascii="宋体" w:hAnsi="宋体" w:eastAsia="宋体" w:cs="宋体"/>
                <w:b/>
                <w:bCs/>
                <w:color w:val="auto"/>
                <w:kern w:val="10"/>
                <w:sz w:val="21"/>
                <w:szCs w:val="21"/>
                <w:highlight w:val="none"/>
                <w:lang w:val="en-US" w:eastAsia="zh-CN"/>
              </w:rPr>
              <w:t>目</w:t>
            </w:r>
          </w:p>
        </w:tc>
        <w:tc>
          <w:tcPr>
            <w:tcW w:w="4322"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质量指标</w:t>
            </w:r>
          </w:p>
        </w:tc>
        <w:tc>
          <w:tcPr>
            <w:tcW w:w="2700" w:type="dxa"/>
            <w:vMerge w:val="restart"/>
            <w:tcBorders>
              <w:left w:val="single" w:color="000000" w:sz="4" w:space="0"/>
            </w:tcBorders>
            <w:vAlign w:val="top"/>
          </w:tcPr>
          <w:p>
            <w:pPr>
              <w:ind w:firstLine="210" w:firstLineChars="100"/>
              <w:jc w:val="center"/>
              <w:rPr>
                <w:rFonts w:hint="eastAsia" w:ascii="宋体" w:hAnsi="宋体" w:eastAsia="宋体" w:cs="宋体"/>
                <w:b w:val="0"/>
                <w:bCs w:val="0"/>
                <w:color w:val="auto"/>
                <w:kern w:val="10"/>
                <w:sz w:val="21"/>
                <w:szCs w:val="21"/>
                <w:highlight w:val="none"/>
                <w:lang w:val="en-US" w:eastAsia="zh-CN"/>
              </w:rPr>
            </w:pPr>
          </w:p>
          <w:p>
            <w:pPr>
              <w:ind w:firstLine="211" w:firstLineChars="100"/>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ind w:firstLine="211" w:firstLineChars="100"/>
              <w:jc w:val="center"/>
              <w:rPr>
                <w:rFonts w:hint="eastAsia" w:ascii="宋体" w:hAnsi="宋体" w:eastAsia="宋体" w:cs="宋体"/>
                <w:b/>
                <w:bCs/>
                <w:color w:val="auto"/>
                <w:kern w:val="10"/>
                <w:sz w:val="21"/>
                <w:szCs w:val="21"/>
                <w:highlight w:val="none"/>
                <w:lang w:val="en-US" w:eastAsia="zh-CN"/>
              </w:rPr>
            </w:pPr>
          </w:p>
        </w:tc>
        <w:tc>
          <w:tcPr>
            <w:tcW w:w="1305" w:type="dxa"/>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中硫石油焦</w:t>
            </w:r>
          </w:p>
        </w:tc>
        <w:tc>
          <w:tcPr>
            <w:tcW w:w="1412" w:type="dxa"/>
            <w:tcBorders>
              <w:top w:val="single" w:color="000000" w:sz="4" w:space="0"/>
              <w:left w:val="single" w:color="000000" w:sz="4" w:space="0"/>
              <w:right w:val="single" w:color="auto" w:sz="4" w:space="0"/>
            </w:tcBorders>
            <w:vAlign w:val="center"/>
          </w:tcPr>
          <w:p>
            <w:pPr>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高硫石油焦</w:t>
            </w:r>
          </w:p>
        </w:tc>
        <w:tc>
          <w:tcPr>
            <w:tcW w:w="2700" w:type="dxa"/>
            <w:vMerge w:val="continue"/>
            <w:tcBorders>
              <w:left w:val="single" w:color="000000" w:sz="4" w:space="0"/>
            </w:tcBorders>
          </w:tcPr>
          <w:p>
            <w:pPr>
              <w:ind w:firstLine="210" w:firstLineChars="100"/>
              <w:jc w:val="center"/>
              <w:rPr>
                <w:rFonts w:hint="eastAsia" w:ascii="宋体" w:hAnsi="宋体" w:eastAsia="宋体" w:cs="宋体"/>
                <w:b w:val="0"/>
                <w:bCs w:val="0"/>
                <w:color w:val="auto"/>
                <w:kern w:val="10"/>
                <w:sz w:val="21"/>
                <w:szCs w:val="21"/>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1605" w:type="dxa"/>
            <w:tcBorders>
              <w:left w:val="single" w:color="auto" w:sz="4" w:space="0"/>
              <w:bottom w:val="single" w:color="000000" w:sz="4" w:space="0"/>
              <w:right w:val="single" w:color="auto"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1＜X≤4</w:t>
            </w:r>
          </w:p>
        </w:tc>
        <w:tc>
          <w:tcPr>
            <w:tcW w:w="1412" w:type="dxa"/>
            <w:tcBorders>
              <w:left w:val="single" w:color="auto" w:sz="4" w:space="0"/>
              <w:bottom w:val="single" w:color="000000" w:sz="4" w:space="0"/>
              <w:right w:val="single" w:color="000000"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4＜x≤6</w:t>
            </w:r>
          </w:p>
        </w:tc>
        <w:tc>
          <w:tcPr>
            <w:tcW w:w="2700" w:type="dxa"/>
            <w:tcBorders>
              <w:left w:val="single" w:color="000000" w:sz="4" w:space="0"/>
              <w:bottom w:val="single" w:color="000000" w:sz="4" w:space="0"/>
            </w:tcBorders>
            <w:vAlign w:val="center"/>
          </w:tcPr>
          <w:p>
            <w:pPr>
              <w:ind w:firstLine="210" w:firstLineChars="100"/>
              <w:jc w:val="both"/>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1605" w:type="dxa"/>
            <w:tcBorders>
              <w:top w:val="single" w:color="000000" w:sz="4" w:space="0"/>
              <w:left w:val="single" w:color="auto" w:sz="4" w:space="0"/>
              <w:bottom w:val="single" w:color="000000" w:sz="4" w:space="0"/>
              <w:right w:val="single" w:color="auto" w:sz="4" w:space="0"/>
            </w:tcBorders>
            <w:vAlign w:val="top"/>
          </w:tcPr>
          <w:p>
            <w:pPr>
              <w:tabs>
                <w:tab w:val="left" w:pos="495"/>
              </w:tabs>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1412" w:type="dxa"/>
            <w:tcBorders>
              <w:top w:val="single" w:color="000000" w:sz="4" w:space="0"/>
              <w:left w:val="single" w:color="auto" w:sz="4" w:space="0"/>
              <w:bottom w:val="single" w:color="000000" w:sz="4" w:space="0"/>
              <w:right w:val="single" w:color="000000" w:sz="4" w:space="0"/>
            </w:tcBorders>
            <w:vAlign w:val="top"/>
          </w:tcPr>
          <w:p>
            <w:pPr>
              <w:tabs>
                <w:tab w:val="left" w:pos="495"/>
              </w:tabs>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2700" w:type="dxa"/>
            <w:tcBorders>
              <w:top w:val="single" w:color="000000" w:sz="4" w:space="0"/>
              <w:left w:val="single" w:color="000000" w:sz="4" w:space="0"/>
              <w:bottom w:val="single" w:color="000000" w:sz="4" w:space="0"/>
            </w:tcBorders>
          </w:tcPr>
          <w:p>
            <w:pPr>
              <w:pStyle w:val="4"/>
              <w:keepNext w:val="0"/>
              <w:keepLines w:val="0"/>
              <w:pageBreakBefore w:val="0"/>
              <w:widowControl w:val="0"/>
              <w:tabs>
                <w:tab w:val="left" w:pos="3330"/>
              </w:tabs>
              <w:kinsoku/>
              <w:wordWrap/>
              <w:overflowPunct/>
              <w:topLinePunct w:val="0"/>
              <w:bidi w:val="0"/>
              <w:snapToGrid/>
              <w:spacing w:line="240" w:lineRule="auto"/>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≤0.5</w:t>
            </w:r>
          </w:p>
        </w:tc>
        <w:tc>
          <w:tcPr>
            <w:tcW w:w="1605"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≤0.5</w:t>
            </w:r>
          </w:p>
        </w:tc>
        <w:tc>
          <w:tcPr>
            <w:tcW w:w="1412"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≤0.5</w:t>
            </w:r>
          </w:p>
        </w:tc>
        <w:tc>
          <w:tcPr>
            <w:tcW w:w="2700" w:type="dxa"/>
            <w:tcBorders>
              <w:top w:val="single" w:color="000000" w:sz="4" w:space="0"/>
              <w:left w:val="single" w:color="000000" w:sz="4" w:space="0"/>
              <w:bottom w:val="single" w:color="000000" w:sz="4" w:space="0"/>
            </w:tcBorders>
            <w:vAlign w:val="center"/>
          </w:tcPr>
          <w:p>
            <w:pPr>
              <w:pStyle w:val="4"/>
              <w:keepNext w:val="0"/>
              <w:keepLines w:val="0"/>
              <w:pageBreakBefore w:val="0"/>
              <w:widowControl w:val="0"/>
              <w:tabs>
                <w:tab w:val="left" w:pos="3330"/>
              </w:tabs>
              <w:kinsoku/>
              <w:wordWrap/>
              <w:overflowPunct/>
              <w:topLinePunct w:val="0"/>
              <w:bidi w:val="0"/>
              <w:snapToGrid/>
              <w:spacing w:line="240" w:lineRule="auto"/>
              <w:ind w:firstLine="210" w:firstLineChars="100"/>
              <w:jc w:val="both"/>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≤8.0</w:t>
            </w:r>
          </w:p>
        </w:tc>
        <w:tc>
          <w:tcPr>
            <w:tcW w:w="1412"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≤8.0</w:t>
            </w:r>
          </w:p>
        </w:tc>
        <w:tc>
          <w:tcPr>
            <w:tcW w:w="2700" w:type="dxa"/>
            <w:tcBorders>
              <w:top w:val="single" w:color="000000" w:sz="4" w:space="0"/>
              <w:left w:val="single" w:color="000000" w:sz="4" w:space="0"/>
              <w:bottom w:val="single" w:color="000000" w:sz="4" w:space="0"/>
            </w:tcBorders>
            <w:vAlign w:val="center"/>
          </w:tcPr>
          <w:p>
            <w:pPr>
              <w:pStyle w:val="4"/>
              <w:keepNext w:val="0"/>
              <w:keepLines w:val="0"/>
              <w:pageBreakBefore w:val="0"/>
              <w:widowControl w:val="0"/>
              <w:tabs>
                <w:tab w:val="left" w:pos="3330"/>
              </w:tabs>
              <w:kinsoku/>
              <w:wordWrap/>
              <w:overflowPunct/>
              <w:topLinePunct w:val="0"/>
              <w:bidi w:val="0"/>
              <w:snapToGrid/>
              <w:spacing w:line="240" w:lineRule="auto"/>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粉焦量（</w:t>
            </w:r>
            <w:r>
              <w:rPr>
                <w:rFonts w:hint="default" w:ascii="Times New Roman" w:hAnsi="Times New Roman" w:eastAsia="宋体" w:cs="Times New Roman"/>
                <w:b w:val="0"/>
                <w:bCs w:val="0"/>
                <w:color w:val="auto"/>
                <w:kern w:val="10"/>
                <w:sz w:val="21"/>
                <w:szCs w:val="21"/>
                <w:highlight w:val="none"/>
                <w:lang w:val="en-US" w:eastAsia="zh-CN"/>
              </w:rPr>
              <w:t>&lt;</w:t>
            </w:r>
            <w:r>
              <w:rPr>
                <w:rFonts w:hint="eastAsia" w:ascii="宋体" w:hAnsi="宋体" w:eastAsia="宋体" w:cs="宋体"/>
                <w:b w:val="0"/>
                <w:bCs w:val="0"/>
                <w:color w:val="auto"/>
                <w:kern w:val="10"/>
                <w:sz w:val="21"/>
                <w:szCs w:val="21"/>
                <w:highlight w:val="none"/>
                <w:lang w:val="en-US" w:eastAsia="zh-CN"/>
              </w:rPr>
              <w:t>8mm）%</w:t>
            </w:r>
          </w:p>
        </w:tc>
        <w:tc>
          <w:tcPr>
            <w:tcW w:w="130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≤55</w:t>
            </w:r>
          </w:p>
        </w:tc>
        <w:tc>
          <w:tcPr>
            <w:tcW w:w="1605"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≤55</w:t>
            </w:r>
          </w:p>
        </w:tc>
        <w:tc>
          <w:tcPr>
            <w:tcW w:w="1412"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≤55</w:t>
            </w:r>
          </w:p>
        </w:tc>
        <w:tc>
          <w:tcPr>
            <w:tcW w:w="2700" w:type="dxa"/>
            <w:tcBorders>
              <w:top w:val="single" w:color="000000" w:sz="4" w:space="0"/>
              <w:left w:val="single" w:color="000000" w:sz="4" w:space="0"/>
              <w:bottom w:val="single" w:color="000000" w:sz="4" w:space="0"/>
            </w:tcBorders>
            <w:vAlign w:val="center"/>
          </w:tcPr>
          <w:p>
            <w:pPr>
              <w:ind w:firstLine="210" w:firstLineChars="100"/>
              <w:jc w:val="both"/>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钒含量ppm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≤900</w:t>
            </w:r>
          </w:p>
        </w:tc>
        <w:tc>
          <w:tcPr>
            <w:tcW w:w="2700" w:type="dxa"/>
            <w:tcBorders>
              <w:top w:val="single" w:color="000000" w:sz="4" w:space="0"/>
              <w:left w:val="single" w:color="000000" w:sz="4" w:space="0"/>
              <w:bottom w:val="single" w:color="auto" w:sz="4" w:space="0"/>
            </w:tcBorders>
          </w:tcPr>
          <w:p>
            <w:pPr>
              <w:pStyle w:val="4"/>
              <w:keepNext w:val="0"/>
              <w:keepLines w:val="0"/>
              <w:pageBreakBefore w:val="0"/>
              <w:widowControl w:val="0"/>
              <w:tabs>
                <w:tab w:val="left" w:pos="3330"/>
              </w:tabs>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铁含量ppm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≤400</w:t>
            </w:r>
          </w:p>
        </w:tc>
        <w:tc>
          <w:tcPr>
            <w:tcW w:w="2700" w:type="dxa"/>
            <w:tcBorders>
              <w:top w:val="single" w:color="000000" w:sz="4" w:space="0"/>
              <w:left w:val="single" w:color="000000" w:sz="4" w:space="0"/>
              <w:bottom w:val="single" w:color="auto" w:sz="4" w:space="0"/>
            </w:tcBorders>
          </w:tcPr>
          <w:p>
            <w:pPr>
              <w:pStyle w:val="4"/>
              <w:keepNext w:val="0"/>
              <w:keepLines w:val="0"/>
              <w:pageBreakBefore w:val="0"/>
              <w:widowControl w:val="0"/>
              <w:tabs>
                <w:tab w:val="left" w:pos="3330"/>
              </w:tabs>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硅含量ppm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≤300</w:t>
            </w:r>
          </w:p>
        </w:tc>
        <w:tc>
          <w:tcPr>
            <w:tcW w:w="2700"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钠含量ppm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≤300</w:t>
            </w:r>
          </w:p>
        </w:tc>
        <w:tc>
          <w:tcPr>
            <w:tcW w:w="2700"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(钙、镍等)</w:t>
            </w:r>
          </w:p>
        </w:tc>
        <w:tc>
          <w:tcPr>
            <w:tcW w:w="4322"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当生产过程中需要控制时，由生产技术部门下发指标要求，并在采购合同中注明。</w:t>
            </w:r>
          </w:p>
        </w:tc>
        <w:tc>
          <w:tcPr>
            <w:tcW w:w="2700" w:type="dxa"/>
            <w:tcBorders>
              <w:top w:val="single" w:color="auto" w:sz="4" w:space="0"/>
              <w:left w:val="single" w:color="000000" w:sz="4" w:space="0"/>
              <w:bottom w:val="single" w:color="000000" w:sz="4" w:space="0"/>
            </w:tcBorders>
            <w:vAlign w:val="center"/>
          </w:tcPr>
          <w:p>
            <w:pPr>
              <w:pStyle w:val="4"/>
              <w:keepNext w:val="0"/>
              <w:keepLines w:val="0"/>
              <w:pageBreakBefore w:val="0"/>
              <w:widowControl w:val="0"/>
              <w:tabs>
                <w:tab w:val="left" w:pos="3330"/>
              </w:tabs>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630" w:hanging="630" w:hangingChars="300"/>
              <w:jc w:val="left"/>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备注：以上质量指标要求适用于地方炼油厂及国外进口的石油焦，国内“三桶油”（即：中石油、中石化、中海油）生产的石油焦，需由我公司对其取样检测，质量性能符合我公司使用的石油焦指标要求后，再决定是否进行采购使用，质量指标以实际取样检测为准。</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color w:val="auto"/>
          <w:kern w:val="10"/>
          <w:sz w:val="24"/>
          <w:highlight w:val="none"/>
          <w:lang w:val="en-US" w:eastAsia="zh-CN"/>
        </w:rPr>
      </w:pPr>
      <w:bookmarkStart w:id="13" w:name="_Toc17909"/>
      <w:r>
        <w:rPr>
          <w:rFonts w:hint="eastAsia" w:ascii="宋体" w:hAnsi="宋体" w:eastAsia="宋体" w:cs="宋体"/>
          <w:b/>
          <w:bCs w:val="0"/>
          <w:color w:val="auto"/>
          <w:kern w:val="10"/>
          <w:sz w:val="24"/>
          <w:highlight w:val="none"/>
          <w:lang w:val="en-US" w:eastAsia="zh-CN"/>
        </w:rPr>
        <w:t>1.4 检验规则</w:t>
      </w:r>
      <w:bookmarkEnd w:id="13"/>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color w:val="auto"/>
          <w:kern w:val="10"/>
          <w:sz w:val="24"/>
          <w:highlight w:val="none"/>
          <w:lang w:val="en-US" w:eastAsia="zh-CN"/>
        </w:rPr>
      </w:pPr>
      <w:r>
        <w:rPr>
          <w:rFonts w:hint="eastAsia" w:ascii="宋体" w:hAnsi="宋体" w:eastAsia="宋体" w:cs="Times New Roman"/>
          <w:b/>
          <w:bCs w:val="0"/>
          <w:color w:val="auto"/>
          <w:kern w:val="10"/>
          <w:sz w:val="24"/>
          <w:highlight w:val="none"/>
          <w:lang w:val="en-US" w:eastAsia="zh-CN"/>
        </w:rPr>
        <w:t>1.4.1 检测和验收</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color w:val="auto"/>
          <w:highlight w:val="none"/>
          <w:lang w:val="en-US" w:eastAsia="zh-CN"/>
        </w:rPr>
      </w:pPr>
      <w:r>
        <w:rPr>
          <w:rFonts w:hint="eastAsia" w:ascii="宋体" w:hAnsi="宋体" w:eastAsia="宋体" w:cs="Times New Roman"/>
          <w:b w:val="0"/>
          <w:bCs w:val="0"/>
          <w:color w:val="auto"/>
          <w:kern w:val="10"/>
          <w:sz w:val="24"/>
          <w:highlight w:val="none"/>
          <w:lang w:val="en-US" w:eastAsia="zh-CN"/>
        </w:rPr>
        <w:t>1.4.1.1 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1.4.1.2 必要时，需方可依据订货单(或合同)约定，进入供方现场对拟交货的产品进行供货前的检查和验收。</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color w:val="auto"/>
          <w:kern w:val="10"/>
          <w:sz w:val="24"/>
          <w:highlight w:val="none"/>
          <w:lang w:val="en-US" w:eastAsia="zh-CN"/>
        </w:rPr>
      </w:pPr>
      <w:bookmarkStart w:id="14" w:name="_Toc3691"/>
      <w:r>
        <w:rPr>
          <w:rFonts w:hint="eastAsia" w:ascii="宋体" w:hAnsi="宋体" w:eastAsia="宋体" w:cs="Times New Roman"/>
          <w:b/>
          <w:bCs w:val="0"/>
          <w:color w:val="auto"/>
          <w:kern w:val="10"/>
          <w:sz w:val="24"/>
          <w:highlight w:val="none"/>
          <w:lang w:val="en-US" w:eastAsia="zh-CN"/>
        </w:rPr>
        <w:t>1.4.2 组批</w:t>
      </w:r>
      <w:bookmarkEnd w:id="14"/>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1.4.2.1 同一供应商，每车到货石油焦均需要采样，每5车组批检测水分、挥发分、灰分、硫含量，粉焦量（连续两日内到货量不足5车的同样组批检测），每15车组批检测铁、硅、钠、钒含量。</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1.4.2.2 石油焦在使用过程中出现质量问题时，可不定时进行取样检验，若为石油焦质量存在问题的，由供方承担对需方生产造成影响的责任及损失。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color w:val="auto"/>
          <w:kern w:val="10"/>
          <w:sz w:val="24"/>
          <w:highlight w:val="none"/>
          <w:lang w:val="en-US" w:eastAsia="zh-CN"/>
        </w:rPr>
      </w:pPr>
      <w:r>
        <w:rPr>
          <w:rFonts w:hint="eastAsia" w:ascii="宋体" w:hAnsi="宋体" w:eastAsia="宋体" w:cs="Times New Roman"/>
          <w:b/>
          <w:bCs w:val="0"/>
          <w:color w:val="auto"/>
          <w:kern w:val="10"/>
          <w:sz w:val="24"/>
          <w:highlight w:val="none"/>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color w:val="auto"/>
          <w:kern w:val="10"/>
          <w:sz w:val="24"/>
          <w:highlight w:val="none"/>
          <w:lang w:val="en-US" w:eastAsia="zh-CN"/>
        </w:rPr>
      </w:pPr>
      <w:r>
        <w:rPr>
          <w:rFonts w:hint="eastAsia" w:ascii="宋体" w:hAnsi="宋体" w:eastAsia="宋体" w:cs="Times New Roman"/>
          <w:b/>
          <w:bCs w:val="0"/>
          <w:color w:val="auto"/>
          <w:kern w:val="10"/>
          <w:sz w:val="24"/>
          <w:highlight w:val="none"/>
          <w:lang w:val="en-US" w:eastAsia="zh-CN"/>
        </w:rPr>
        <w:t>1.4.4 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bookmarkStart w:id="15" w:name="_Toc26421"/>
      <w:r>
        <w:rPr>
          <w:rFonts w:hint="eastAsia" w:ascii="宋体" w:hAnsi="宋体" w:eastAsia="宋体" w:cs="Times New Roman"/>
          <w:b w:val="0"/>
          <w:bCs w:val="0"/>
          <w:color w:val="auto"/>
          <w:kern w:val="10"/>
          <w:sz w:val="24"/>
          <w:highlight w:val="none"/>
          <w:lang w:val="en-US" w:eastAsia="zh-CN"/>
        </w:rPr>
        <w:t>1.4.4.1 到货取样和制样</w:t>
      </w:r>
      <w:bookmarkEnd w:id="15"/>
      <w:r>
        <w:rPr>
          <w:rFonts w:hint="eastAsia" w:ascii="宋体" w:hAnsi="宋体" w:eastAsia="宋体" w:cs="Times New Roman"/>
          <w:b w:val="0"/>
          <w:bCs w:val="0"/>
          <w:color w:val="auto"/>
          <w:kern w:val="10"/>
          <w:sz w:val="24"/>
          <w:highlight w:val="none"/>
          <w:lang w:val="en-US" w:eastAsia="zh-CN"/>
        </w:rPr>
        <w:t>,按照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color w:val="auto"/>
          <w:kern w:val="10"/>
          <w:sz w:val="24"/>
          <w:highlight w:val="none"/>
          <w:lang w:val="en-US" w:eastAsia="zh-CN"/>
        </w:rPr>
      </w:pPr>
      <w:r>
        <w:rPr>
          <w:rFonts w:hint="eastAsia" w:ascii="宋体" w:hAnsi="宋体" w:eastAsia="宋体" w:cs="Times New Roman"/>
          <w:b/>
          <w:bCs/>
          <w:color w:val="auto"/>
          <w:kern w:val="10"/>
          <w:sz w:val="24"/>
          <w:highlight w:val="none"/>
          <w:lang w:val="en-US" w:eastAsia="zh-CN"/>
        </w:rPr>
        <w:t>1.4.5 复检</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.4.5.1 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.4.5.2 复检样品：采用需方到货验收时的封存样品进行复检。</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 复检结果的应用：当复检质量高于原到货验收质量时，复检结果在该项指标检测标准规定再现性范围内的，以需方到货验收时检测结果为结算依据，当复检结果超出该项指标检测标准规定再现性范围的，以复检结果为结算依据。当复检仲裁质量低于原到货验收质量时，一律以复检仲裁结果为结算依据。</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 复检费用：在需方实验室进行复检的，复检费用由需方承担；由具有资质的第三方实验室复检的，复检费用由提出异议方承担（由需方先行支付，后由供方支付给需方）。</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color w:val="auto"/>
          <w:kern w:val="10"/>
          <w:sz w:val="24"/>
          <w:szCs w:val="24"/>
          <w:highlight w:val="none"/>
          <w:lang w:val="en-US" w:eastAsia="zh-CN" w:bidi="ar-SA"/>
        </w:rPr>
      </w:pPr>
      <w:r>
        <w:rPr>
          <w:rFonts w:hint="eastAsia" w:cs="Times New Roman"/>
          <w:b/>
          <w:color w:val="auto"/>
          <w:kern w:val="10"/>
          <w:sz w:val="24"/>
          <w:szCs w:val="24"/>
          <w:highlight w:val="none"/>
          <w:lang w:val="en-US" w:eastAsia="zh-CN" w:bidi="ar-SA"/>
        </w:rPr>
        <w:t>1.4</w:t>
      </w:r>
      <w:r>
        <w:rPr>
          <w:rFonts w:hint="eastAsia" w:ascii="宋体" w:hAnsi="宋体" w:eastAsia="宋体" w:cs="Times New Roman"/>
          <w:b/>
          <w:color w:val="auto"/>
          <w:kern w:val="10"/>
          <w:sz w:val="24"/>
          <w:szCs w:val="24"/>
          <w:highlight w:val="none"/>
          <w:lang w:val="en-US" w:eastAsia="zh-CN" w:bidi="ar-SA"/>
        </w:rPr>
        <w:t>.</w:t>
      </w:r>
      <w:r>
        <w:rPr>
          <w:rFonts w:hint="eastAsia" w:cs="Times New Roman"/>
          <w:b/>
          <w:color w:val="auto"/>
          <w:kern w:val="10"/>
          <w:sz w:val="24"/>
          <w:szCs w:val="24"/>
          <w:highlight w:val="none"/>
          <w:lang w:val="en-US" w:eastAsia="zh-CN" w:bidi="ar-SA"/>
        </w:rPr>
        <w:t xml:space="preserve">6 </w:t>
      </w:r>
      <w:r>
        <w:rPr>
          <w:rFonts w:hint="eastAsia" w:ascii="宋体" w:hAnsi="宋体" w:eastAsia="宋体" w:cs="Times New Roman"/>
          <w:b/>
          <w:color w:val="auto"/>
          <w:kern w:val="10"/>
          <w:sz w:val="24"/>
          <w:szCs w:val="24"/>
          <w:highlight w:val="none"/>
          <w:lang w:val="en-US" w:eastAsia="zh-CN" w:bidi="ar-SA"/>
        </w:rPr>
        <w:t>检验结果的判定</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firstLine="480" w:firstLineChars="200"/>
        <w:jc w:val="left"/>
        <w:textAlignment w:val="auto"/>
        <w:rPr>
          <w:rFonts w:hint="default" w:ascii="宋体" w:hAnsi="宋体" w:eastAsia="宋体" w:cs="Times New Roman"/>
          <w:b w:val="0"/>
          <w:bCs w:val="0"/>
          <w:color w:val="auto"/>
          <w:kern w:val="10"/>
          <w:sz w:val="24"/>
          <w:szCs w:val="24"/>
          <w:highlight w:val="none"/>
          <w:lang w:val="en-US" w:eastAsia="zh-CN" w:bidi="ar-SA"/>
        </w:rPr>
      </w:pPr>
      <w:r>
        <w:rPr>
          <w:rFonts w:hint="eastAsia" w:ascii="宋体" w:hAnsi="宋体" w:eastAsia="宋体" w:cs="Times New Roman"/>
          <w:b w:val="0"/>
          <w:bCs w:val="0"/>
          <w:color w:val="auto"/>
          <w:kern w:val="10"/>
          <w:sz w:val="24"/>
          <w:szCs w:val="24"/>
          <w:highlight w:val="none"/>
          <w:lang w:val="en-US" w:eastAsia="zh-CN" w:bidi="ar-SA"/>
        </w:rPr>
        <w:t>验收过程中，出现</w:t>
      </w:r>
      <w:r>
        <w:rPr>
          <w:rFonts w:hint="default" w:ascii="宋体" w:hAnsi="宋体" w:eastAsia="宋体" w:cs="Times New Roman"/>
          <w:b w:val="0"/>
          <w:bCs w:val="0"/>
          <w:color w:val="auto"/>
          <w:kern w:val="10"/>
          <w:sz w:val="24"/>
          <w:szCs w:val="24"/>
          <w:highlight w:val="none"/>
          <w:lang w:val="en-US" w:eastAsia="zh-CN" w:bidi="ar-SA"/>
        </w:rPr>
        <w:t>任何</w:t>
      </w:r>
      <w:r>
        <w:rPr>
          <w:rFonts w:hint="eastAsia" w:ascii="宋体" w:hAnsi="宋体" w:eastAsia="宋体" w:cs="Times New Roman"/>
          <w:b w:val="0"/>
          <w:bCs w:val="0"/>
          <w:color w:val="auto"/>
          <w:kern w:val="10"/>
          <w:sz w:val="24"/>
          <w:szCs w:val="24"/>
          <w:highlight w:val="none"/>
          <w:lang w:val="en-US" w:eastAsia="zh-CN" w:bidi="ar-SA"/>
        </w:rPr>
        <w:t>一</w:t>
      </w:r>
      <w:r>
        <w:rPr>
          <w:rFonts w:hint="default" w:ascii="宋体" w:hAnsi="宋体" w:eastAsia="宋体" w:cs="Times New Roman"/>
          <w:b w:val="0"/>
          <w:bCs w:val="0"/>
          <w:color w:val="auto"/>
          <w:kern w:val="10"/>
          <w:sz w:val="24"/>
          <w:szCs w:val="24"/>
          <w:highlight w:val="none"/>
          <w:lang w:val="en-US" w:eastAsia="zh-CN" w:bidi="ar-SA"/>
        </w:rPr>
        <w:t>项</w:t>
      </w:r>
      <w:r>
        <w:rPr>
          <w:rFonts w:hint="eastAsia" w:ascii="宋体" w:hAnsi="宋体" w:eastAsia="宋体" w:cs="Times New Roman"/>
          <w:b w:val="0"/>
          <w:bCs w:val="0"/>
          <w:color w:val="auto"/>
          <w:kern w:val="10"/>
          <w:sz w:val="24"/>
          <w:szCs w:val="24"/>
          <w:highlight w:val="none"/>
          <w:lang w:val="en-US" w:eastAsia="zh-CN" w:bidi="ar-SA"/>
        </w:rPr>
        <w:t>质量指标</w:t>
      </w:r>
      <w:r>
        <w:rPr>
          <w:rFonts w:hint="default" w:ascii="宋体" w:hAnsi="宋体" w:eastAsia="宋体" w:cs="Times New Roman"/>
          <w:b w:val="0"/>
          <w:bCs w:val="0"/>
          <w:color w:val="auto"/>
          <w:kern w:val="10"/>
          <w:sz w:val="24"/>
          <w:szCs w:val="24"/>
          <w:highlight w:val="none"/>
          <w:lang w:val="en-US" w:eastAsia="zh-CN" w:bidi="ar-SA"/>
        </w:rPr>
        <w:t>不合格，</w:t>
      </w:r>
      <w:r>
        <w:rPr>
          <w:rFonts w:hint="eastAsia" w:ascii="宋体" w:hAnsi="宋体" w:eastAsia="宋体" w:cs="Times New Roman"/>
          <w:b w:val="0"/>
          <w:bCs w:val="0"/>
          <w:color w:val="auto"/>
          <w:kern w:val="10"/>
          <w:sz w:val="24"/>
          <w:szCs w:val="24"/>
          <w:highlight w:val="none"/>
          <w:lang w:val="en-US" w:eastAsia="zh-CN" w:bidi="ar-SA"/>
        </w:rPr>
        <w:t>判定该批次石油焦不合格。</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color w:val="auto"/>
          <w:kern w:val="10"/>
          <w:sz w:val="24"/>
          <w:szCs w:val="24"/>
          <w:highlight w:val="none"/>
          <w:lang w:val="en-US" w:eastAsia="zh-CN" w:bidi="ar-SA"/>
        </w:rPr>
      </w:pPr>
      <w:r>
        <w:rPr>
          <w:rFonts w:hint="eastAsia" w:cs="Times New Roman"/>
          <w:b/>
          <w:color w:val="auto"/>
          <w:kern w:val="10"/>
          <w:sz w:val="24"/>
          <w:szCs w:val="24"/>
          <w:highlight w:val="none"/>
          <w:lang w:val="en-US" w:eastAsia="zh-CN" w:bidi="ar-SA"/>
        </w:rPr>
        <w:t>1.4</w:t>
      </w:r>
      <w:r>
        <w:rPr>
          <w:rFonts w:hint="eastAsia" w:ascii="宋体" w:hAnsi="宋体" w:eastAsia="宋体" w:cs="Times New Roman"/>
          <w:b/>
          <w:color w:val="auto"/>
          <w:kern w:val="10"/>
          <w:sz w:val="24"/>
          <w:szCs w:val="24"/>
          <w:highlight w:val="none"/>
          <w:lang w:val="en-US" w:eastAsia="zh-CN" w:bidi="ar-SA"/>
        </w:rPr>
        <w:t>.</w:t>
      </w:r>
      <w:r>
        <w:rPr>
          <w:rFonts w:hint="eastAsia" w:cs="Times New Roman"/>
          <w:b/>
          <w:color w:val="auto"/>
          <w:kern w:val="10"/>
          <w:sz w:val="24"/>
          <w:szCs w:val="24"/>
          <w:highlight w:val="none"/>
          <w:lang w:val="en-US" w:eastAsia="zh-CN" w:bidi="ar-SA"/>
        </w:rPr>
        <w:t xml:space="preserve">7 </w:t>
      </w:r>
      <w:r>
        <w:rPr>
          <w:rFonts w:hint="eastAsia" w:ascii="宋体" w:hAnsi="宋体" w:eastAsia="宋体" w:cs="Times New Roman"/>
          <w:b/>
          <w:color w:val="auto"/>
          <w:kern w:val="10"/>
          <w:sz w:val="24"/>
          <w:szCs w:val="24"/>
          <w:highlight w:val="none"/>
          <w:lang w:val="en-US" w:eastAsia="zh-CN" w:bidi="ar-SA"/>
        </w:rPr>
        <w:t>外观质量</w:t>
      </w:r>
    </w:p>
    <w:p>
      <w:pPr>
        <w:pStyle w:val="18"/>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firstLine="480" w:firstLineChars="200"/>
        <w:jc w:val="left"/>
        <w:textAlignment w:val="auto"/>
        <w:rPr>
          <w:rFonts w:hint="default" w:ascii="宋体" w:hAnsi="宋体" w:eastAsia="宋体" w:cs="Times New Roman"/>
          <w:b w:val="0"/>
          <w:bCs w:val="0"/>
          <w:color w:val="auto"/>
          <w:kern w:val="10"/>
          <w:sz w:val="24"/>
          <w:szCs w:val="24"/>
          <w:highlight w:val="none"/>
          <w:lang w:val="en-US" w:eastAsia="zh-CN" w:bidi="ar-SA"/>
        </w:rPr>
      </w:pPr>
      <w:r>
        <w:rPr>
          <w:rFonts w:hint="default" w:ascii="宋体" w:hAnsi="宋体" w:eastAsia="宋体" w:cs="Times New Roman"/>
          <w:b w:val="0"/>
          <w:bCs w:val="0"/>
          <w:color w:val="auto"/>
          <w:kern w:val="10"/>
          <w:sz w:val="24"/>
          <w:szCs w:val="24"/>
          <w:highlight w:val="none"/>
          <w:lang w:val="en-US" w:eastAsia="zh-CN" w:bidi="ar-SA"/>
        </w:rPr>
        <w:t>石油焦中出现焦泥、沥青、弹丸焦及非石油焦物质，</w:t>
      </w:r>
      <w:r>
        <w:rPr>
          <w:rFonts w:hint="eastAsia" w:cs="Times New Roman"/>
          <w:b w:val="0"/>
          <w:bCs w:val="0"/>
          <w:color w:val="auto"/>
          <w:kern w:val="10"/>
          <w:sz w:val="24"/>
          <w:szCs w:val="24"/>
          <w:highlight w:val="none"/>
          <w:lang w:val="en-US" w:eastAsia="zh-CN" w:bidi="ar-SA"/>
        </w:rPr>
        <w:t>作退货处理，因退货对需方生产造成影响的，由供方承担相关责任及赔偿相应损失。</w:t>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bookmarkStart w:id="16" w:name="_Toc28819"/>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17" w:name="_Toc11519"/>
      <w:r>
        <w:rPr>
          <w:rFonts w:hint="eastAsia" w:ascii="宋体" w:hAnsi="宋体" w:eastAsia="宋体" w:cs="宋体"/>
          <w:b/>
          <w:bCs w:val="0"/>
          <w:color w:val="auto"/>
          <w:kern w:val="10"/>
          <w:sz w:val="24"/>
          <w:highlight w:val="none"/>
          <w:lang w:val="en-US" w:eastAsia="zh-CN"/>
        </w:rPr>
        <w:t>1.5 随行文件</w:t>
      </w:r>
      <w:bookmarkEnd w:id="16"/>
      <w:bookmarkEnd w:id="17"/>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每批到货石油焦应附有质量证明书等，应注明：</w:t>
      </w:r>
      <w:r>
        <w:rPr>
          <w:rFonts w:hint="eastAsia" w:asciiTheme="majorEastAsia" w:hAnsiTheme="majorEastAsia" w:eastAsiaTheme="majorEastAsia" w:cstheme="majorEastAsia"/>
          <w:b w:val="0"/>
          <w:bCs w:val="0"/>
          <w:color w:val="auto"/>
          <w:kern w:val="10"/>
          <w:sz w:val="24"/>
          <w:highlight w:val="none"/>
          <w:lang w:val="en-US" w:eastAsia="zh-CN"/>
        </w:rPr>
        <w:t>①</w:t>
      </w:r>
      <w:r>
        <w:rPr>
          <w:rFonts w:hint="eastAsia" w:ascii="宋体" w:hAnsi="宋体" w:eastAsia="宋体" w:cs="Times New Roman"/>
          <w:b w:val="0"/>
          <w:bCs w:val="0"/>
          <w:color w:val="auto"/>
          <w:kern w:val="10"/>
          <w:sz w:val="24"/>
          <w:highlight w:val="none"/>
          <w:lang w:val="en-US" w:eastAsia="zh-CN"/>
        </w:rPr>
        <w:t>供方信息；</w:t>
      </w:r>
      <w:r>
        <w:rPr>
          <w:rFonts w:hint="eastAsia" w:asciiTheme="majorEastAsia" w:hAnsiTheme="majorEastAsia" w:eastAsiaTheme="majorEastAsia" w:cstheme="majorEastAsia"/>
          <w:b w:val="0"/>
          <w:bCs w:val="0"/>
          <w:color w:val="auto"/>
          <w:kern w:val="10"/>
          <w:sz w:val="24"/>
          <w:highlight w:val="none"/>
          <w:lang w:val="en-US" w:eastAsia="zh-CN"/>
        </w:rPr>
        <w:t>②</w:t>
      </w:r>
      <w:r>
        <w:rPr>
          <w:rFonts w:hint="eastAsia" w:ascii="宋体" w:hAnsi="宋体" w:eastAsia="宋体" w:cs="Times New Roman"/>
          <w:b w:val="0"/>
          <w:bCs w:val="0"/>
          <w:color w:val="auto"/>
          <w:kern w:val="10"/>
          <w:sz w:val="24"/>
          <w:highlight w:val="none"/>
          <w:lang w:val="en-US" w:eastAsia="zh-CN"/>
        </w:rPr>
        <w:t>产品名称和牌号；</w:t>
      </w:r>
      <w:r>
        <w:rPr>
          <w:rFonts w:hint="eastAsia" w:asciiTheme="majorEastAsia" w:hAnsiTheme="majorEastAsia" w:eastAsiaTheme="majorEastAsia" w:cstheme="majorEastAsia"/>
          <w:b w:val="0"/>
          <w:bCs w:val="0"/>
          <w:color w:val="auto"/>
          <w:kern w:val="10"/>
          <w:sz w:val="24"/>
          <w:highlight w:val="none"/>
          <w:lang w:val="en-US" w:eastAsia="zh-CN"/>
        </w:rPr>
        <w:t>③</w:t>
      </w:r>
      <w:r>
        <w:rPr>
          <w:rFonts w:hint="eastAsia" w:ascii="宋体" w:hAnsi="宋体" w:eastAsia="宋体" w:cs="Times New Roman"/>
          <w:b w:val="0"/>
          <w:bCs w:val="0"/>
          <w:color w:val="auto"/>
          <w:kern w:val="10"/>
          <w:sz w:val="24"/>
          <w:highlight w:val="none"/>
          <w:lang w:val="en-US" w:eastAsia="zh-CN"/>
        </w:rPr>
        <w:t>批号、净含量；</w:t>
      </w:r>
      <w:r>
        <w:rPr>
          <w:rFonts w:hint="eastAsia" w:ascii="宋体" w:hAnsi="宋体" w:eastAsia="宋体" w:cs="宋体"/>
          <w:b w:val="0"/>
          <w:bCs w:val="0"/>
          <w:color w:val="auto"/>
          <w:kern w:val="10"/>
          <w:sz w:val="24"/>
          <w:highlight w:val="none"/>
          <w:lang w:val="en-US" w:eastAsia="zh-CN"/>
        </w:rPr>
        <w:t>④</w:t>
      </w:r>
      <w:r>
        <w:rPr>
          <w:rFonts w:hint="eastAsia" w:ascii="宋体" w:hAnsi="宋体" w:eastAsia="宋体" w:cs="Times New Roman"/>
          <w:b w:val="0"/>
          <w:bCs w:val="0"/>
          <w:color w:val="auto"/>
          <w:kern w:val="10"/>
          <w:sz w:val="24"/>
          <w:highlight w:val="none"/>
          <w:lang w:val="en-US" w:eastAsia="zh-CN"/>
        </w:rPr>
        <w:t>分析检验结果及供方技术(质量)监督部门印记；</w:t>
      </w:r>
      <w:r>
        <w:rPr>
          <w:rFonts w:hint="eastAsia" w:ascii="宋体" w:hAnsi="宋体" w:eastAsia="宋体" w:cs="宋体"/>
          <w:b w:val="0"/>
          <w:bCs w:val="0"/>
          <w:color w:val="auto"/>
          <w:kern w:val="10"/>
          <w:sz w:val="24"/>
          <w:highlight w:val="none"/>
          <w:lang w:val="en-US" w:eastAsia="zh-CN"/>
        </w:rPr>
        <w:t>⑤</w:t>
      </w:r>
      <w:r>
        <w:rPr>
          <w:rFonts w:hint="eastAsia" w:ascii="宋体" w:hAnsi="宋体" w:eastAsia="宋体" w:cs="Times New Roman"/>
          <w:b w:val="0"/>
          <w:bCs w:val="0"/>
          <w:color w:val="auto"/>
          <w:kern w:val="10"/>
          <w:sz w:val="24"/>
          <w:highlight w:val="none"/>
          <w:lang w:val="en-US" w:eastAsia="zh-CN"/>
        </w:rPr>
        <w:t>执行标准号；</w:t>
      </w:r>
      <w:r>
        <w:rPr>
          <w:rFonts w:hint="eastAsia" w:ascii="宋体" w:hAnsi="宋体" w:eastAsia="宋体" w:cs="宋体"/>
          <w:b w:val="0"/>
          <w:bCs w:val="0"/>
          <w:color w:val="auto"/>
          <w:kern w:val="10"/>
          <w:sz w:val="24"/>
          <w:highlight w:val="none"/>
          <w:lang w:val="en-US" w:eastAsia="zh-CN"/>
        </w:rPr>
        <w:t>⑥</w:t>
      </w:r>
      <w:r>
        <w:rPr>
          <w:rFonts w:hint="eastAsia" w:ascii="宋体" w:hAnsi="宋体" w:eastAsia="宋体" w:cs="Times New Roman"/>
          <w:b w:val="0"/>
          <w:bCs w:val="0"/>
          <w:color w:val="auto"/>
          <w:kern w:val="10"/>
          <w:sz w:val="24"/>
          <w:highlight w:val="none"/>
          <w:lang w:val="en-US" w:eastAsia="zh-CN"/>
        </w:rPr>
        <w:t>生产日期。</w:t>
      </w:r>
      <w:bookmarkStart w:id="18" w:name="_Toc22569"/>
      <w:bookmarkStart w:id="19" w:name="_Toc15574"/>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20" w:name="_Toc20929"/>
      <w:r>
        <w:rPr>
          <w:rFonts w:hint="eastAsia" w:ascii="宋体" w:hAnsi="宋体" w:eastAsia="宋体" w:cs="宋体"/>
          <w:b/>
          <w:bCs w:val="0"/>
          <w:color w:val="auto"/>
          <w:kern w:val="10"/>
          <w:sz w:val="24"/>
          <w:highlight w:val="none"/>
          <w:lang w:val="en-US" w:eastAsia="zh-CN"/>
        </w:rPr>
        <w:t>1.6 包装、运输和贮存</w:t>
      </w:r>
      <w:bookmarkEnd w:id="18"/>
      <w:bookmarkEnd w:id="19"/>
      <w:bookmarkEnd w:id="20"/>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1.6.1 石油焦发运时,车厢内应清扫干净。不同焦种的石油焦产不应混装。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1.6.2 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1.6.3 石油焦运输过程应做好防雨、防尘防护。</w:t>
      </w:r>
      <w:bookmarkStart w:id="21" w:name="_Toc9931"/>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r>
        <w:rPr>
          <w:rFonts w:hint="eastAsia" w:ascii="宋体" w:hAnsi="宋体" w:eastAsia="宋体" w:cs="宋体"/>
          <w:b/>
          <w:bCs w:val="0"/>
          <w:color w:val="auto"/>
          <w:kern w:val="10"/>
          <w:sz w:val="24"/>
          <w:highlight w:val="none"/>
          <w:lang w:val="en-US" w:eastAsia="zh-CN"/>
        </w:rPr>
        <w:t>1.7 扣重细则</w:t>
      </w:r>
      <w:bookmarkEnd w:id="21"/>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当供方供应的石油焦不合格时，如需方同意接收使用的，按以下扣重细则进行扣重，否则进行退货处理。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hint="eastAsia" w:ascii="宋体" w:hAnsi="宋体" w:eastAsia="黑体" w:cs="Times New Roman"/>
          <w:b w:val="0"/>
          <w:bCs w:val="0"/>
          <w:color w:val="auto"/>
          <w:kern w:val="10"/>
          <w:sz w:val="24"/>
          <w:highlight w:val="none"/>
          <w:lang w:val="en-US" w:eastAsia="zh-CN"/>
        </w:rPr>
      </w:pPr>
      <w:r>
        <w:rPr>
          <w:rFonts w:hint="eastAsia" w:ascii="宋体" w:hAnsi="宋体" w:eastAsia="宋体" w:cs="宋体"/>
          <w:b w:val="0"/>
          <w:bCs w:val="0"/>
          <w:color w:val="auto"/>
          <w:kern w:val="10"/>
          <w:sz w:val="24"/>
          <w:szCs w:val="22"/>
          <w:highlight w:val="none"/>
          <w:lang w:val="en-US" w:eastAsia="zh-CN" w:bidi="ar-SA"/>
        </w:rPr>
        <w:t>表2：石油焦质量扣重细则</w:t>
      </w:r>
    </w:p>
    <w:tbl>
      <w:tblPr>
        <w:tblStyle w:val="9"/>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0" w:type="dxa"/>
          <w:left w:w="108" w:type="dxa"/>
          <w:bottom w:w="0" w:type="dxa"/>
          <w:right w:w="108" w:type="dxa"/>
        </w:tblCellMar>
      </w:tblPr>
      <w:tblGrid>
        <w:gridCol w:w="750"/>
        <w:gridCol w:w="1245"/>
        <w:gridCol w:w="1080"/>
        <w:gridCol w:w="1545"/>
        <w:gridCol w:w="1969"/>
        <w:gridCol w:w="1080"/>
        <w:gridCol w:w="2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00" w:hRule="atLeast"/>
          <w:tblHeader/>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石油焦质量</w:t>
            </w:r>
            <w:r>
              <w:rPr>
                <w:rFonts w:hint="eastAsia" w:ascii="宋体" w:hAnsi="宋体" w:cs="宋体"/>
                <w:b/>
                <w:bCs/>
                <w:i w:val="0"/>
                <w:iCs w:val="0"/>
                <w:color w:val="auto"/>
                <w:kern w:val="0"/>
                <w:sz w:val="21"/>
                <w:szCs w:val="21"/>
                <w:highlight w:val="none"/>
                <w:u w:val="none"/>
                <w:lang w:val="en-US" w:eastAsia="zh-CN" w:bidi="ar"/>
              </w:rPr>
              <w:t>扣重</w:t>
            </w:r>
            <w:r>
              <w:rPr>
                <w:rFonts w:hint="eastAsia" w:ascii="宋体" w:hAnsi="宋体" w:eastAsia="宋体" w:cs="宋体"/>
                <w:b/>
                <w:bCs/>
                <w:i w:val="0"/>
                <w:iCs w:val="0"/>
                <w:color w:val="auto"/>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70" w:hRule="atLeast"/>
          <w:tblHeader/>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ind w:firstLine="211" w:firstLineChars="10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合格标准</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让步接收标准</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cs="宋体"/>
                <w:b/>
                <w:bCs/>
                <w:i w:val="0"/>
                <w:iCs w:val="0"/>
                <w:color w:val="auto"/>
                <w:kern w:val="0"/>
                <w:sz w:val="21"/>
                <w:szCs w:val="21"/>
                <w:highlight w:val="none"/>
                <w:u w:val="none"/>
                <w:lang w:val="en-US" w:eastAsia="zh-CN" w:bidi="ar"/>
              </w:rPr>
              <w:t>让步接收</w:t>
            </w:r>
            <w:r>
              <w:rPr>
                <w:rFonts w:hint="eastAsia" w:ascii="宋体" w:hAnsi="宋体" w:eastAsia="宋体" w:cs="宋体"/>
                <w:b/>
                <w:bCs/>
                <w:i w:val="0"/>
                <w:iCs w:val="0"/>
                <w:color w:val="auto"/>
                <w:kern w:val="0"/>
                <w:sz w:val="21"/>
                <w:szCs w:val="21"/>
                <w:highlight w:val="none"/>
                <w:u w:val="none"/>
                <w:lang w:val="en-US" w:eastAsia="zh-CN" w:bidi="ar"/>
              </w:rPr>
              <w:t>扣重标准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退货标准</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达退货标准，但</w:t>
            </w:r>
            <w:r>
              <w:rPr>
                <w:rFonts w:hint="eastAsia" w:ascii="宋体" w:hAnsi="宋体" w:cs="宋体"/>
                <w:b/>
                <w:bCs/>
                <w:i w:val="0"/>
                <w:iCs w:val="0"/>
                <w:color w:val="auto"/>
                <w:kern w:val="0"/>
                <w:sz w:val="21"/>
                <w:szCs w:val="21"/>
                <w:highlight w:val="none"/>
                <w:u w:val="none"/>
                <w:lang w:val="en-US" w:eastAsia="zh-CN" w:bidi="ar"/>
              </w:rPr>
              <w:t>已卸货无法退货</w:t>
            </w:r>
            <w:r>
              <w:rPr>
                <w:rFonts w:hint="eastAsia" w:ascii="宋体" w:hAnsi="宋体" w:eastAsia="宋体" w:cs="宋体"/>
                <w:b/>
                <w:bCs/>
                <w:i w:val="0"/>
                <w:iCs w:val="0"/>
                <w:color w:val="auto"/>
                <w:kern w:val="0"/>
                <w:sz w:val="21"/>
                <w:szCs w:val="21"/>
                <w:highlight w:val="none"/>
                <w:u w:val="none"/>
                <w:lang w:val="en-US" w:eastAsia="zh-CN" w:bidi="ar"/>
              </w:rPr>
              <w:t>扣重标准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65" w:hRule="atLeast"/>
          <w:jc w:val="center"/>
        </w:trPr>
        <w:tc>
          <w:tcPr>
            <w:tcW w:w="750" w:type="dxa"/>
            <w:vMerge w:val="restart"/>
            <w:tcBorders>
              <w:top w:val="single" w:color="000000" w:sz="4" w:space="0"/>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w:t>
            </w:r>
          </w:p>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restart"/>
            <w:tcBorders>
              <w:top w:val="single" w:color="000000" w:sz="4" w:space="0"/>
              <w:left w:val="single" w:color="000000" w:sz="4" w:space="0"/>
              <w:right w:val="single" w:color="000000" w:sz="4" w:space="0"/>
            </w:tcBorders>
            <w:shd w:val="clear" w:color="auto" w:fill="FFFFFF" w:themeFill="background1"/>
            <w:noWrap/>
            <w:vAlign w:val="center"/>
          </w:tcPr>
          <w:p>
            <w:pPr>
              <w:keepNext w:val="0"/>
              <w:keepLines w:val="0"/>
              <w:widowControl/>
              <w:suppressLineNumbers w:val="0"/>
              <w:tabs>
                <w:tab w:val="left" w:pos="455"/>
              </w:tabs>
              <w:ind w:firstLine="210" w:firstLineChars="10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硫含量</w:t>
            </w:r>
            <w:r>
              <w:rPr>
                <w:rFonts w:hint="eastAsia" w:ascii="宋体" w:hAnsi="宋体" w:eastAsia="宋体" w:cs="宋体"/>
                <w:b w:val="0"/>
                <w:bCs w:val="0"/>
                <w:i w:val="0"/>
                <w:iCs w:val="0"/>
                <w:color w:val="auto"/>
                <w:kern w:val="0"/>
                <w:sz w:val="21"/>
                <w:szCs w:val="21"/>
                <w:highlight w:val="none"/>
                <w:u w:val="none"/>
                <w:lang w:val="en-US" w:eastAsia="zh-CN" w:bidi="ar"/>
              </w:rPr>
              <w:t>（根据实际焦种硫含量确定指标范围，在合同中约定）</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7.0＜x≤7.5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x＞7.5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6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tabs>
                <w:tab w:val="left" w:pos="455"/>
              </w:tabs>
              <w:ind w:firstLine="210" w:firstLineChars="100"/>
              <w:jc w:val="center"/>
              <w:textAlignment w:val="center"/>
              <w:rPr>
                <w:rFonts w:hint="default" w:ascii="宋体" w:hAnsi="宋体" w:eastAsia="宋体" w:cs="宋体"/>
                <w:b w:val="0"/>
                <w:bCs w:val="0"/>
                <w:i w:val="0"/>
                <w:iCs w:val="0"/>
                <w:color w:val="auto"/>
                <w:sz w:val="21"/>
                <w:szCs w:val="21"/>
                <w:highlight w:val="none"/>
                <w:u w:val="none"/>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≤6.0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6.0＜x≤6.5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x＞6.5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6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≤5.0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5.0＜x≤5.5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x＞5.5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4.0＜x≤4.5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x＞4.5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3.0＜x≤3.5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2.0＜x≤2.5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x＞2.5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bottom w:val="single" w:color="auto"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bottom w:val="single" w:color="auto"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1.0＜x≤1.5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x＞1.5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14"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≤0.5</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0.5＜x≤0.7</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每超0.1，扣25kg/吨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x＞0.7</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每超0.1扣50kg/吨。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2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10＜x≤12</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按“超一扣一”扣重处理。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x＞12</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按“超一扣三”扣重处理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1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≤55</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55＜x≤60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每增高1，扣2.5kg/吨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x＞60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每增高1，扣10kg/吨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≤8.0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8.0＜x≤10.0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按“超一扣一”扣重</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x＞10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按“超一扣三”扣重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restart"/>
            <w:tcBorders>
              <w:top w:val="single" w:color="000000" w:sz="4" w:space="0"/>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6</w:t>
            </w:r>
          </w:p>
        </w:tc>
        <w:tc>
          <w:tcPr>
            <w:tcW w:w="1245" w:type="dxa"/>
            <w:vMerge w:val="restart"/>
            <w:tcBorders>
              <w:top w:val="single" w:color="000000" w:sz="4" w:space="0"/>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钒含量%（根据实际焦种钒含量确定指标范围，在合同中约定）</w:t>
            </w:r>
          </w:p>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600＜x≤700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x＞700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600＜x≤700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x＞700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600＜x≤700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x＞700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600＜x≤700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x＞700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500＜x≤600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x＞600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200＜x≤250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x＞250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100＜x≤150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x＞150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铁含量（ppm）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 1ppm，扣4kg/吨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1ppm，扣4kg/吨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1ppm，扣4kg/吨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60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9049"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石油焦含有杂质、弹丸焦的，作退货处理，因退货对需方生产造成影响的，由供方承担相关责任，赔偿所造成的损失。</w:t>
            </w:r>
            <w:r>
              <w:rPr>
                <w:rFonts w:hint="eastAsia" w:ascii="宋体" w:hAnsi="宋体" w:eastAsia="宋体" w:cs="宋体"/>
                <w:b w:val="0"/>
                <w:bCs w:val="0"/>
                <w:i w:val="0"/>
                <w:iCs w:val="0"/>
                <w:color w:val="auto"/>
                <w:kern w:val="0"/>
                <w:sz w:val="21"/>
                <w:szCs w:val="21"/>
                <w:highlight w:val="none"/>
                <w:u w:val="none"/>
                <w:lang w:val="en-US" w:eastAsia="zh-CN" w:bidi="ar"/>
              </w:rPr>
              <w:tab/>
            </w:r>
            <w:r>
              <w:rPr>
                <w:rFonts w:hint="eastAsia" w:ascii="宋体" w:hAnsi="宋体" w:eastAsia="宋体" w:cs="宋体"/>
                <w:b w:val="0"/>
                <w:bCs w:val="0"/>
                <w:color w:val="auto"/>
                <w:kern w:val="10"/>
                <w:sz w:val="21"/>
                <w:szCs w:val="21"/>
                <w:highlight w:val="none"/>
                <w:lang w:val="en-US" w:eastAsia="zh-CN" w:bidi="ar-SA"/>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600" w:hRule="atLeast"/>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ind w:left="630" w:hanging="630" w:hangingChars="30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color w:val="auto"/>
                <w:sz w:val="21"/>
                <w:szCs w:val="21"/>
                <w:highlight w:val="none"/>
                <w:lang w:val="en-US" w:eastAsia="zh-CN"/>
              </w:rPr>
              <w:t>注：</w:t>
            </w:r>
            <w:r>
              <w:rPr>
                <w:rFonts w:ascii="宋体" w:hAnsi="宋体" w:eastAsia="宋体" w:cs="宋体"/>
                <w:color w:val="auto"/>
                <w:sz w:val="21"/>
                <w:szCs w:val="21"/>
                <w:highlight w:val="none"/>
              </w:rPr>
              <w:t>扣重只扣完该组批总重量为止，不延伸到扣减其它组批重量（即扣重不扣减到负数），但若为供方恶意掺杂使假的，通过专题会议评审后，按合同约定进行违约处</w:t>
            </w:r>
            <w:r>
              <w:rPr>
                <w:rFonts w:hint="eastAsia" w:ascii="宋体" w:hAnsi="宋体" w:eastAsia="宋体" w:cs="宋体"/>
                <w:color w:val="auto"/>
                <w:sz w:val="21"/>
                <w:szCs w:val="21"/>
                <w:highlight w:val="none"/>
                <w:lang w:val="en-US" w:eastAsia="zh-CN"/>
              </w:rPr>
              <w:t>罚</w:t>
            </w:r>
            <w:r>
              <w:rPr>
                <w:rFonts w:ascii="宋体" w:hAnsi="宋体" w:eastAsia="宋体" w:cs="宋体"/>
                <w:color w:val="auto"/>
                <w:sz w:val="21"/>
                <w:szCs w:val="21"/>
                <w:highlight w:val="none"/>
              </w:rPr>
              <w:t>。</w:t>
            </w:r>
          </w:p>
        </w:tc>
      </w:tr>
    </w:tbl>
    <w:p>
      <w:bookmarkStart w:id="22" w:name="_GoBack"/>
      <w:bookmarkEnd w:id="22"/>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YzNlZTIwYjA3Yzk2Y2UxMzIwMmZjMDc4ODA3M2UifQ=="/>
  </w:docVars>
  <w:rsids>
    <w:rsidRoot w:val="39E10FD8"/>
    <w:rsid w:val="2DF12490"/>
    <w:rsid w:val="31C601F9"/>
    <w:rsid w:val="39E10FD8"/>
    <w:rsid w:val="455327CC"/>
    <w:rsid w:val="49CD66BC"/>
    <w:rsid w:val="4A422570"/>
    <w:rsid w:val="50AA5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b/>
      <w:kern w:val="44"/>
      <w:sz w:val="48"/>
      <w:szCs w:val="48"/>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38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qFormat/>
    <w:uiPriority w:val="10"/>
    <w:pPr>
      <w:spacing w:before="240" w:after="60"/>
      <w:jc w:val="center"/>
      <w:outlineLvl w:val="0"/>
    </w:pPr>
    <w:rPr>
      <w:rFonts w:ascii="Arial" w:hAnsi="Arial"/>
      <w:b/>
      <w:sz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basedOn w:val="1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纯文本1"/>
    <w:basedOn w:val="1"/>
    <w:qFormat/>
    <w:uiPriority w:val="0"/>
    <w:pPr>
      <w:textAlignment w:val="baseline"/>
    </w:pPr>
    <w:rPr>
      <w:rFonts w:hAnsi="Courier New" w:cs="Times New Roman"/>
    </w:rPr>
  </w:style>
  <w:style w:type="paragraph" w:customStyle="1" w:styleId="14">
    <w:name w:val="正文1"/>
    <w:basedOn w:val="1"/>
    <w:qFormat/>
    <w:uiPriority w:val="0"/>
    <w:pPr>
      <w:adjustRightInd w:val="0"/>
      <w:spacing w:line="360" w:lineRule="atLeast"/>
      <w:jc w:val="left"/>
    </w:pPr>
    <w:rPr>
      <w:rFonts w:ascii="宋体"/>
      <w:kern w:val="0"/>
      <w:sz w:val="24"/>
    </w:rPr>
  </w:style>
  <w:style w:type="paragraph" w:customStyle="1" w:styleId="15">
    <w:name w:val="正文 A"/>
    <w:basedOn w:val="1"/>
    <w:qFormat/>
    <w:uiPriority w:val="0"/>
    <w:rPr>
      <w:rFonts w:eastAsia="Arial Unicode MS" w:cs="Arial Unicode MS"/>
      <w:color w:val="000000"/>
      <w:szCs w:val="21"/>
    </w:rPr>
  </w:style>
  <w:style w:type="paragraph" w:customStyle="1" w:styleId="16">
    <w:name w:val="样式1"/>
    <w:basedOn w:val="1"/>
    <w:qFormat/>
    <w:uiPriority w:val="0"/>
    <w:rPr>
      <w:b/>
      <w:color w:val="538135"/>
      <w:sz w:val="28"/>
    </w:rPr>
  </w:style>
  <w:style w:type="character" w:customStyle="1" w:styleId="17">
    <w:name w:val="标题 1 Char"/>
    <w:link w:val="2"/>
    <w:qFormat/>
    <w:uiPriority w:val="0"/>
    <w:rPr>
      <w:rFonts w:ascii="微软雅黑" w:hAnsi="微软雅黑" w:eastAsia="微软雅黑" w:cs="微软雅黑"/>
      <w:b/>
      <w:kern w:val="44"/>
      <w:sz w:val="48"/>
      <w:szCs w:val="48"/>
      <w:lang w:val="en-US" w:eastAsia="zh-CN" w:bidi="ar"/>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2024-01-10T09:57:00Z</dcterms:created>
  <dc:creator>彭素华</dc:creator>
  <cp:lastModifiedBy>螺丝粉</cp:lastModifiedBy>
  <dcterms:modified xsi:type="dcterms:W3CDTF">2024-03-25T06:43:37Z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D8E9194DB8A04D5BB3AC73AD8EBFB2F7_11</vt:lpwstr>
  </property>
</Properties>
</file>