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金属硅技术质量标准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0" w:name="_Toc6066"/>
      <w:bookmarkStart w:id="1" w:name="_Toc27731"/>
      <w:bookmarkStart w:id="2" w:name="_Toc1663"/>
      <w:bookmarkStart w:id="3" w:name="_Toc17247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1.1 范围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bookmarkStart w:id="4" w:name="_Toc551"/>
      <w:bookmarkStart w:id="5" w:name="_Toc24537"/>
      <w:bookmarkStart w:id="6" w:name="_Toc12403"/>
      <w:bookmarkStart w:id="7" w:name="_Toc13700"/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本标准规定了工业硅（金属硅）的技术要求、试验方法、检验规则、标志、包装、运输、贮存和随行文件（质量证明书）等内容。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适用于新材料公司采购工业硅（金属硅）质量技术要求、质量检验及质量验证。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8" w:name="_Toc24122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1.2 规范性引用文件</w:t>
      </w:r>
      <w:bookmarkEnd w:id="4"/>
      <w:bookmarkEnd w:id="5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下列文件中，除正在执行的合同中有明确规定外，其余最新版本（包括所有的修改单）适用于本标准。该部分标准的引用，包括（但不限于）取样方法、检测方法、重复性、再现性、数值修约等规定要求。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GB/T 2881-2014工业硅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GB/T 8170数值修约规则与极限数值的表示和判定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GB/T 14849（所有部分）工业硅化学分析方法</w:t>
      </w:r>
    </w:p>
    <w:bookmarkEnd w:id="6"/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9" w:name="_Toc30720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1.3 技术要求</w:t>
      </w:r>
      <w:bookmarkEnd w:id="9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10" w:name="_Toc13795"/>
      <w:bookmarkStart w:id="11" w:name="_Toc9289"/>
      <w:bookmarkStart w:id="12" w:name="_Toc25045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.1 化学成分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工业硅（金属硅）化学成分含量应符合表1的规定。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b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10"/>
          <w:sz w:val="24"/>
          <w:szCs w:val="24"/>
          <w:lang w:val="en-US" w:eastAsia="zh-CN" w:bidi="ar-SA"/>
        </w:rPr>
        <w:t>表1：化学成分</w:t>
      </w:r>
    </w:p>
    <w:tbl>
      <w:tblPr>
        <w:tblStyle w:val="8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543"/>
        <w:gridCol w:w="1722"/>
        <w:gridCol w:w="186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牌号</w:t>
            </w:r>
          </w:p>
        </w:tc>
        <w:tc>
          <w:tcPr>
            <w:tcW w:w="7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化学成分（质量分数）/％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名义硅含量，不小于</w:t>
            </w:r>
          </w:p>
        </w:tc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主要杂质元素含量，不大于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Si4410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名义硅含量应不低于100%减去铁、铝、钙元素含量总和的值。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630" w:leftChars="20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2.分析结果的判定采用修约比较法，数值修约规则按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GB/T 8170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的规定进行，修约数位与表中所列极限值数位一致。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13" w:name="_Toc18948"/>
      <w:bookmarkStart w:id="14" w:name="_Toc15056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.2 </w:t>
      </w:r>
      <w:bookmarkEnd w:id="13"/>
      <w:bookmarkEnd w:id="14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粒度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szCs w:val="24"/>
          <w:lang w:val="en-US" w:eastAsia="zh-CN" w:bidi="ar-SA"/>
        </w:rPr>
        <w:t>工业硅（金属硅）粒度范围及允许偏差应符合表</w:t>
      </w:r>
      <w:r>
        <w:rPr>
          <w:rFonts w:hint="eastAsia" w:cs="Times New Roman"/>
          <w:b w:val="0"/>
          <w:bCs/>
          <w:kern w:val="1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szCs w:val="24"/>
          <w:lang w:val="en-US" w:eastAsia="zh-CN" w:bidi="ar-SA"/>
        </w:rPr>
        <w:t>的规定。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 w:firstLine="2160" w:firstLineChars="900"/>
        <w:jc w:val="both"/>
        <w:textAlignment w:val="auto"/>
        <w:rPr>
          <w:rFonts w:hint="eastAsia" w:ascii="宋体" w:hAnsi="宋体" w:eastAsia="宋体" w:cs="宋体"/>
          <w:kern w:val="10"/>
          <w:sz w:val="24"/>
          <w:lang w:val="en-US" w:eastAsia="zh-CN"/>
        </w:rPr>
      </w:pPr>
      <w:bookmarkStart w:id="21" w:name="_GoBack"/>
      <w:bookmarkEnd w:id="21"/>
      <w:r>
        <w:rPr>
          <w:rFonts w:hint="eastAsia" w:ascii="宋体" w:hAnsi="宋体" w:eastAsia="宋体" w:cs="宋体"/>
          <w:kern w:val="10"/>
          <w:sz w:val="24"/>
          <w:szCs w:val="24"/>
          <w:lang w:val="en-US" w:eastAsia="zh-CN" w:bidi="ar-SA"/>
        </w:rPr>
        <w:t>表2：工业硅粒度范围及允许偏差</w:t>
      </w:r>
    </w:p>
    <w:tbl>
      <w:tblPr>
        <w:tblStyle w:val="8"/>
        <w:tblW w:w="8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342"/>
        <w:gridCol w:w="3"/>
        <w:gridCol w:w="3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粒度范围/mm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上层筛筛上物（质量分数）/％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下层筛筛下物（质量分数）/％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15" w:name="_Toc9135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.3 外观质量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工业硅（金属硅）以块状或粒状供货，其表面和断面应洁净，不允许有夹渣、粉状硅粘结以及其他异物。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16" w:name="_Toc25369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1.4 检验规则</w:t>
      </w:r>
      <w:bookmarkEnd w:id="16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.1 检测和验收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1.4.1.1 每批工业硅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（金属硅）</w:t>
      </w: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，供方需经具有资质的第三方检测机构检测合格后，方可发货至需方。每批工业硅发货时，供方需随车提供具有资质的第三方检测报告，并得到供方的认可。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1.4.1.2 每批工业硅到货后，需方应逐批进行取样封存，且每季度至少对留样随机抽检一次。当发现检验结果与合同约定不符时，应及时向供方提出异议。供方在收到需方质量异常反馈后，应在3个工作日内进行处理，否则视为默认需方提出的异议和后续处理意见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 w:firstLine="480" w:firstLineChars="200"/>
        <w:jc w:val="left"/>
        <w:textAlignment w:val="auto"/>
        <w:rPr>
          <w:rFonts w:hint="default" w:ascii="宋体" w:hAnsi="宋体" w:eastAsia="宋体" w:cs="Times New Roman"/>
          <w:b w:val="0"/>
          <w:bCs w:val="0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lang w:val="en-US" w:eastAsia="zh-CN"/>
        </w:rPr>
        <w:t xml:space="preserve">1.4.1.3 </w:t>
      </w:r>
      <w:r>
        <w:rPr>
          <w:rFonts w:hint="eastAsia" w:cs="Times New Roman"/>
          <w:b w:val="0"/>
          <w:bCs w:val="0"/>
          <w:kern w:val="10"/>
          <w:sz w:val="24"/>
          <w:highlight w:val="none"/>
          <w:lang w:val="en-US" w:eastAsia="zh-CN"/>
        </w:rPr>
        <w:t>生产过程中出现相关质量问题时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若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经验证为工业硅（金属硅）质量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不合格所引起的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则应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依据合同约定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视同为供方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违约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，由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供方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承担相关责任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并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赔偿相应损失。情节严重的，取消其供应商资格，列入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1.4.1.4 必要时，需方可依据订货单（或合同）约定，进入供方现场对拟交货的产品进行供货前的抽查检验。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每批工业硅（金属硅）应进行表1规定的化学成分、表2规定的粒度及外观质量检验。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取样和制样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auto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10"/>
          <w:sz w:val="24"/>
          <w:highlight w:val="none"/>
          <w:lang w:val="en-US" w:eastAsia="zh-CN"/>
        </w:rPr>
        <w:t>1.4.3.1 每批随机抽取不少于3袋工业硅进行取样，分别从每个袋子里上中下三个部位进行取样。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color w:val="auto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10"/>
          <w:sz w:val="24"/>
          <w:highlight w:val="none"/>
          <w:lang w:val="en-US" w:eastAsia="zh-CN"/>
        </w:rPr>
        <w:t>1.4.3.2 封存试样保存期限不少于3个月。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7"/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检验结果的判定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化学成分、粒度、外观质量等任何一项不合格时，判该批工业硅不合格。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10"/>
          <w:sz w:val="24"/>
          <w:lang w:val="en-US" w:eastAsia="zh-CN"/>
        </w:rPr>
        <w:t>1.4.5 复检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需双方在验收过程中就质量问题发生争议时，供方需在3个工作日内提出复检申请，用需方到货验收时封存样品进行复检。当复检结果在该项指标检测标准规定再现性范围内的，以需方到货验收时检测结果为结算依据，当复检结果超出该项指标检测标准规定再现性范围的，以复检结果为结算依据。对于到货验收时，需方已送样至具备资质的第三方检测机构进行检测的，以第三方检测结果为结算依据，不再受理供方的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17" w:name="_Toc21054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1.5 试验方法</w:t>
      </w:r>
      <w:bookmarkEnd w:id="1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1.5.1 化学成分分析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工业硅的化学成分分析按GB/T 14849</w:t>
      </w:r>
      <w:r>
        <w:rPr>
          <w:rFonts w:hint="eastAsia" w:ascii="宋体" w:hAnsi="宋体" w:eastAsia="宋体" w:cs="Times New Roman"/>
          <w:kern w:val="10"/>
          <w:sz w:val="24"/>
          <w:highlight w:val="none"/>
          <w:lang w:val="en-US" w:eastAsia="zh-CN"/>
        </w:rPr>
        <w:t>（所有部分）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的规定进行。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1.5.2 粒度检验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采用孔径为10mm和100mm的筛具进行粒度检测。对于筛上物，可采用手工分检法，将试样的方向或位置改变，让所有合适粒度的试样能通过筛孔。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1.5.3 外观检验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在自然散射光下，目视检查外观质量。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18" w:name="_Toc9839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1.6 标志、标签和随行文件</w:t>
      </w:r>
      <w:bookmarkEnd w:id="18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1.6.1 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包装袋上应标明：产品名称、产品执行标准号、产品批号、净含量、生产企业名称和地址。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1.6.2 随行文件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每批产品应附有质量证明书等，应注明</w:t>
      </w:r>
      <w:r>
        <w:rPr>
          <w:rFonts w:hint="eastAsia" w:ascii="宋体" w:hAnsi="宋体" w:eastAsia="宋体" w:cs="Times New Roman"/>
          <w:kern w:val="10"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①供方信息；②产品名称和牌号；③批号、净含量；④分析检验结果及供方技术（质量）监督部门印记；⑤执行标准号；⑥生产日期或包装日期。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19" w:name="_Toc27692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1.7 运输和贮存</w:t>
      </w:r>
      <w:bookmarkEnd w:id="1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1.7.1 工业硅包装物应能防潮，一般用塑料编织袋包装，每件净重宜为1000kg。产品在运输贮存过程中应防止雨淋或受潮。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1.7.2 产品应分批堆放在清洁、干燥的仓库内，不应污染。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outlineLvl w:val="1"/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</w:pPr>
      <w:bookmarkStart w:id="20" w:name="_Toc7799"/>
      <w:r>
        <w:rPr>
          <w:rFonts w:hint="eastAsia" w:ascii="宋体" w:hAnsi="宋体" w:eastAsia="宋体" w:cs="宋体"/>
          <w:b/>
          <w:bCs w:val="0"/>
          <w:kern w:val="10"/>
          <w:sz w:val="24"/>
          <w:lang w:val="en-US" w:eastAsia="zh-CN"/>
        </w:rPr>
        <w:t>1.8 扣款细则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b/>
          <w:bCs/>
          <w:color w:val="FF0000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当供方供应的工业硅不符合合同规定要求时，如需方同意接收使用的，按以下扣款细则进行扣款，否则进行退货处理。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黑体" w:hAnsi="黑体" w:eastAsia="黑体" w:cs="黑体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0"/>
          <w:sz w:val="24"/>
          <w:szCs w:val="24"/>
          <w:lang w:val="en-US" w:eastAsia="zh-CN" w:bidi="ar-SA"/>
        </w:rPr>
        <w:t>表3：金属硅扣款细则</w:t>
      </w:r>
    </w:p>
    <w:tbl>
      <w:tblPr>
        <w:tblStyle w:val="8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15"/>
        <w:gridCol w:w="1150"/>
        <w:gridCol w:w="1650"/>
        <w:gridCol w:w="25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902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金属硅扣款细则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  <w:jc w:val="center"/>
        </w:trPr>
        <w:tc>
          <w:tcPr>
            <w:tcW w:w="9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牌号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子项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降级扣款规定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扣款金额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Si4410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Fe%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≤0.40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每高于要求0.02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8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Al%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≤0.40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每高于要求0.05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8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Ca%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≤0.10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每高于要求0.02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8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粒度%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筛上物、筛下物分别不大于5%；每超出1%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585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经需方评审可降级使用的，扣款50元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/吨，不能使用的，退货处理。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2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660" w:hanging="66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注：1.降级扣款时，不足0.05的按0.05标准扣款；不足0.02的按0.02标准扣款；不足0.01的按0.01标准扣款。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2.如粒度筛下物超出标准，将进行统一存放，筛下物进行等价退货处理。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/>
          <w:sz w:val="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mM2MWQ5YjAwMTY3NTUzMWYyMTRkMTljNjViYzkifQ=="/>
  </w:docVars>
  <w:rsids>
    <w:rsidRoot w:val="00000000"/>
    <w:rsid w:val="2BC91FB6"/>
    <w:rsid w:val="57A93E0A"/>
    <w:rsid w:val="620B4DC5"/>
    <w:rsid w:val="649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标题 1 Char"/>
    <w:link w:val="3"/>
    <w:autoRedefine/>
    <w:qFormat/>
    <w:uiPriority w:val="0"/>
    <w:rPr>
      <w:b/>
      <w:kern w:val="44"/>
      <w:sz w:val="44"/>
    </w:rPr>
  </w:style>
  <w:style w:type="paragraph" w:styleId="13">
    <w:name w:val="List Paragraph"/>
    <w:basedOn w:val="1"/>
    <w:autoRedefine/>
    <w:qFormat/>
    <w:uiPriority w:val="1"/>
    <w:pPr>
      <w:ind w:left="657" w:hanging="58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2024-04-17T02:14:00Z</dcterms:created>
  <dc:creator>XXB</dc:creator>
  <cp:lastModifiedBy>咻咻咻</cp:lastModifiedBy>
  <dcterms:modified xsi:type="dcterms:W3CDTF">2024-05-06T07:47:08Z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52543264C80549D2A45E464A3D284542_12</vt:lpwstr>
  </property>
</Properties>
</file>