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32"/>
          <w:lang w:val="en-US" w:eastAsia="zh-CN"/>
        </w:rPr>
      </w:pPr>
      <w:bookmarkStart w:id="2" w:name="_GoBack"/>
      <w:r>
        <w:rPr>
          <w:rFonts w:hint="eastAsia" w:ascii="微软雅黑" w:hAnsi="微软雅黑" w:eastAsia="微软雅黑" w:cs="微软雅黑"/>
          <w:b/>
          <w:bCs w:val="0"/>
          <w:sz w:val="32"/>
          <w:szCs w:val="32"/>
          <w:lang w:val="en-US" w:eastAsia="zh-CN"/>
        </w:rPr>
        <w:t>广西百矿新材料技术有限公司2024年铝钛合金购</w:t>
      </w:r>
      <w:r>
        <w:rPr>
          <w:rFonts w:hint="eastAsia" w:ascii="微软雅黑" w:hAnsi="微软雅黑" w:eastAsia="微软雅黑"/>
          <w:b/>
          <w:sz w:val="32"/>
          <w:szCs w:val="32"/>
          <w:lang w:val="en-US" w:eastAsia="zh-CN"/>
        </w:rPr>
        <w:t>项目</w:t>
      </w:r>
    </w:p>
    <w:bookmarkEnd w:id="2"/>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1"/>
        <w:rPr>
          <w:rFonts w:hint="eastAsia"/>
          <w:lang w:val="en-US" w:eastAsia="zh-CN"/>
        </w:rPr>
      </w:pPr>
    </w:p>
    <w:p>
      <w:pPr>
        <w:pStyle w:val="2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0"/>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sz w:val="24"/>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sz w:val="24"/>
          <w:szCs w:val="24"/>
          <w:u w:val="single"/>
          <w:lang w:val="en-US" w:eastAsia="zh-CN"/>
        </w:rPr>
        <w:t>广西百矿新材料技术有限公司2024年铝钛合金采购项目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广西百矿新材料技术有限公司2024年铝钛合金采购项目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备采购条件，本项目分为两个标段，现邀请贵司参与本项目报单。</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1"/>
        <w:rPr>
          <w:rFonts w:hint="eastAsia" w:ascii="宋体" w:hAnsi="宋体" w:eastAsia="宋体" w:cs="宋体"/>
          <w:b/>
          <w:bCs/>
          <w:sz w:val="24"/>
          <w:szCs w:val="24"/>
        </w:rPr>
      </w:pPr>
    </w:p>
    <w:tbl>
      <w:tblPr>
        <w:tblStyle w:val="11"/>
        <w:tblW w:w="9490" w:type="dxa"/>
        <w:tblInd w:w="0" w:type="dxa"/>
        <w:shd w:val="clear" w:color="auto" w:fill="auto"/>
        <w:tblLayout w:type="fixed"/>
        <w:tblCellMar>
          <w:top w:w="0" w:type="dxa"/>
          <w:left w:w="0" w:type="dxa"/>
          <w:bottom w:w="0" w:type="dxa"/>
          <w:right w:w="0" w:type="dxa"/>
        </w:tblCellMar>
      </w:tblPr>
      <w:tblGrid>
        <w:gridCol w:w="960"/>
        <w:gridCol w:w="1025"/>
        <w:gridCol w:w="1862"/>
        <w:gridCol w:w="2700"/>
        <w:gridCol w:w="1146"/>
        <w:gridCol w:w="1797"/>
      </w:tblGrid>
      <w:tr>
        <w:tblPrEx>
          <w:tblCellMar>
            <w:top w:w="0" w:type="dxa"/>
            <w:left w:w="0" w:type="dxa"/>
            <w:bottom w:w="0" w:type="dxa"/>
            <w:right w:w="0" w:type="dxa"/>
          </w:tblCellMar>
        </w:tblPrEx>
        <w:trPr>
          <w:trHeight w:val="811" w:hRule="atLeast"/>
        </w:trPr>
        <w:tc>
          <w:tcPr>
            <w:tcW w:w="9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02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标段</w:t>
            </w:r>
          </w:p>
        </w:tc>
        <w:tc>
          <w:tcPr>
            <w:tcW w:w="186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7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4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7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预估使用量</w:t>
            </w:r>
          </w:p>
        </w:tc>
      </w:tr>
      <w:tr>
        <w:tblPrEx>
          <w:shd w:val="clear" w:color="auto" w:fill="auto"/>
        </w:tblPrEx>
        <w:trPr>
          <w:trHeight w:val="1300" w:hRule="atLeast"/>
        </w:trPr>
        <w:tc>
          <w:tcPr>
            <w:tcW w:w="960" w:type="dxa"/>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合金类</w:t>
            </w:r>
          </w:p>
        </w:tc>
        <w:tc>
          <w:tcPr>
            <w:tcW w:w="102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标段一</w:t>
            </w:r>
          </w:p>
        </w:tc>
        <w:tc>
          <w:tcPr>
            <w:tcW w:w="1862"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铝钛合金</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AIti10</w:t>
            </w:r>
          </w:p>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（详见质量技术标准）</w:t>
            </w:r>
          </w:p>
        </w:tc>
        <w:tc>
          <w:tcPr>
            <w:tcW w:w="11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440</w:t>
            </w:r>
          </w:p>
        </w:tc>
      </w:tr>
      <w:tr>
        <w:tblPrEx>
          <w:shd w:val="clear" w:color="auto" w:fill="auto"/>
          <w:tblCellMar>
            <w:top w:w="0" w:type="dxa"/>
            <w:left w:w="0" w:type="dxa"/>
            <w:bottom w:w="0" w:type="dxa"/>
            <w:right w:w="0" w:type="dxa"/>
          </w:tblCellMar>
        </w:tblPrEx>
        <w:trPr>
          <w:trHeight w:val="807" w:hRule="atLeast"/>
        </w:trPr>
        <w:tc>
          <w:tcPr>
            <w:tcW w:w="9490"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备注：以上表格计划用量为年度预估数量，不作为招标方招标数量的任何承诺，后期具体采购量以实际采购订单为准。</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广西百矿新材料技术有限公司辅料仓库内；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收到中标通知书后后根据采购订单15日内交付，其余部分以具体以甲方通知为准。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widowControl/>
        <w:suppressLineNumbers w:val="0"/>
        <w:ind w:firstLine="480" w:firstLineChars="200"/>
        <w:jc w:val="both"/>
        <w:rPr>
          <w:rFonts w:hint="eastAsia"/>
        </w:rPr>
      </w:pPr>
      <w:r>
        <w:rPr>
          <w:rFonts w:hint="eastAsia" w:ascii="宋体" w:hAnsi="宋体" w:eastAsia="宋体" w:cs="宋体"/>
          <w:b w:val="0"/>
          <w:bCs w:val="0"/>
          <w:color w:val="000000"/>
          <w:sz w:val="24"/>
          <w:szCs w:val="24"/>
          <w:lang w:eastAsia="zh-CN"/>
        </w:rPr>
        <w:t>详见附件《</w:t>
      </w:r>
      <w:r>
        <w:rPr>
          <w:rFonts w:hint="eastAsia" w:ascii="宋体" w:hAnsi="宋体" w:eastAsia="宋体" w:cs="宋体"/>
          <w:b w:val="0"/>
          <w:bCs w:val="0"/>
          <w:color w:val="000000"/>
          <w:sz w:val="24"/>
          <w:szCs w:val="24"/>
          <w:lang w:val="en-US" w:eastAsia="zh-CN"/>
        </w:rPr>
        <w:t>技术质量标准</w:t>
      </w:r>
      <w:r>
        <w:rPr>
          <w:rFonts w:hint="eastAsia" w:ascii="宋体" w:hAnsi="宋体" w:eastAsia="宋体" w:cs="宋体"/>
          <w:b w:val="0"/>
          <w:bCs w:val="0"/>
          <w:color w:val="000000"/>
          <w:sz w:val="24"/>
          <w:szCs w:val="24"/>
          <w:lang w:eastAsia="zh-CN"/>
        </w:rPr>
        <w:t>》</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1"/>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业绩要求：最近三年内有相关业绩不少于1个；(平台报名时上传营业执照及业绩合同)</w:t>
      </w:r>
    </w:p>
    <w:p>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sz w:val="24"/>
          <w:szCs w:val="24"/>
          <w:lang w:eastAsia="zh-CN"/>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1"/>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4.1定价方式</w:t>
      </w:r>
    </w:p>
    <w:p>
      <w:pPr>
        <w:keepNext w:val="0"/>
        <w:keepLines w:val="0"/>
        <w:pageBreakBefore w:val="0"/>
        <w:kinsoku/>
        <w:wordWrap/>
        <w:overflowPunct/>
        <w:topLinePunct w:val="0"/>
        <w:bidi w:val="0"/>
        <w:spacing w:line="400" w:lineRule="atLeast"/>
        <w:ind w:firstLine="480" w:firstLineChars="200"/>
        <w:textAlignment w:val="auto"/>
        <w:rPr>
          <w:rFonts w:ascii="宋体" w:hAnsi="宋体" w:eastAsia="宋体" w:cs="宋体"/>
          <w:sz w:val="24"/>
          <w:szCs w:val="24"/>
        </w:rPr>
      </w:pPr>
      <w:r>
        <w:rPr>
          <w:rFonts w:ascii="宋体" w:hAnsi="宋体" w:eastAsia="宋体" w:cs="宋体"/>
          <w:sz w:val="24"/>
          <w:szCs w:val="24"/>
        </w:rPr>
        <w:t>综合单价：长江有色金属网</w:t>
      </w:r>
      <w:r>
        <w:rPr>
          <w:rFonts w:hint="eastAsia" w:ascii="宋体" w:hAnsi="宋体" w:eastAsia="宋体" w:cs="宋体"/>
          <w:sz w:val="24"/>
          <w:szCs w:val="24"/>
          <w:lang w:val="en-US" w:eastAsia="zh-CN"/>
        </w:rPr>
        <w:t>A00铝锭现货前</w:t>
      </w:r>
      <w:r>
        <w:rPr>
          <w:rFonts w:ascii="宋体" w:hAnsi="宋体" w:eastAsia="宋体" w:cs="宋体"/>
          <w:sz w:val="24"/>
          <w:szCs w:val="24"/>
        </w:rPr>
        <w:t>5日均价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含订单日单价，</w:t>
      </w:r>
      <w:r>
        <w:rPr>
          <w:rFonts w:ascii="宋体" w:hAnsi="宋体" w:eastAsia="宋体" w:cs="宋体"/>
          <w:sz w:val="24"/>
          <w:szCs w:val="24"/>
        </w:rPr>
        <w:t>如订单日均价比前5日均价低则按订单日均价结算）+加工费（包含运输等费用）。</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4.2结算及付款方式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乘合同（产品清单）单价结算</w:t>
      </w:r>
      <w:r>
        <w:rPr>
          <w:rFonts w:ascii="宋体" w:hAnsi="宋体" w:cs="Arial"/>
          <w:color w:val="auto"/>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s="Arial"/>
          <w:color w:val="auto"/>
          <w:sz w:val="24"/>
          <w:lang w:val="en-US" w:eastAsia="zh-CN"/>
        </w:rPr>
        <w:t>甲方收到</w:t>
      </w:r>
      <w:r>
        <w:rPr>
          <w:rFonts w:hint="eastAsia" w:ascii="宋体" w:hAnsi="宋体"/>
          <w:color w:val="auto"/>
          <w:kern w:val="0"/>
          <w:sz w:val="24"/>
          <w:szCs w:val="24"/>
        </w:rPr>
        <w:t>发票</w:t>
      </w:r>
      <w:r>
        <w:rPr>
          <w:rFonts w:hint="eastAsia" w:ascii="宋体" w:hAnsi="宋体"/>
          <w:color w:val="auto"/>
          <w:kern w:val="0"/>
          <w:sz w:val="24"/>
          <w:szCs w:val="24"/>
          <w:lang w:val="en-US" w:eastAsia="zh-CN"/>
        </w:rPr>
        <w:t>15</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4.3议价方式</w:t>
      </w:r>
    </w:p>
    <w:p>
      <w:pPr>
        <w:pStyle w:val="3"/>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3"/>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3"/>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 xml:space="preserve">15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17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1"/>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r>
        <w:rPr>
          <w:rFonts w:hint="eastAsia" w:ascii="宋体" w:hAnsi="宋体" w:eastAsia="宋体" w:cs="宋体"/>
          <w:i w:val="0"/>
          <w:color w:val="000000"/>
          <w:sz w:val="22"/>
          <w:szCs w:val="22"/>
          <w:u w:val="none"/>
          <w:lang w:val="en-US" w:eastAsia="zh-CN"/>
        </w:rPr>
        <w:t>标段</w:t>
      </w: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5</w:t>
      </w:r>
      <w:r>
        <w:rPr>
          <w:rFonts w:hint="eastAsia" w:ascii="宋体" w:hAnsi="宋体" w:eastAsia="宋体"/>
          <w:color w:val="auto"/>
          <w:sz w:val="24"/>
          <w:szCs w:val="24"/>
        </w:rPr>
        <w:t>万元</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投标保证金以</w:t>
      </w:r>
      <w:r>
        <w:rPr>
          <w:rFonts w:hint="eastAsia" w:ascii="宋体" w:hAnsi="宋体" w:eastAsia="宋体"/>
          <w:color w:val="auto"/>
          <w:sz w:val="24"/>
          <w:szCs w:val="24"/>
        </w:rPr>
        <w:t>电汇</w:t>
      </w:r>
      <w:r>
        <w:rPr>
          <w:rFonts w:hint="eastAsia" w:ascii="宋体" w:hAnsi="宋体" w:eastAsia="宋体"/>
          <w:color w:val="auto"/>
          <w:sz w:val="24"/>
          <w:szCs w:val="24"/>
          <w:lang w:val="en-US" w:eastAsia="zh-CN"/>
        </w:rPr>
        <w:t>方式</w:t>
      </w:r>
      <w:r>
        <w:rPr>
          <w:rFonts w:hint="eastAsia" w:ascii="宋体" w:hAnsi="宋体" w:eastAsia="宋体"/>
          <w:color w:val="auto"/>
          <w:sz w:val="24"/>
          <w:szCs w:val="24"/>
        </w:rPr>
        <w:t>到以下账户：</w:t>
      </w:r>
    </w:p>
    <w:p>
      <w:pPr>
        <w:pStyle w:val="21"/>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 户 名：广西百矿新材料技术有限公司</w:t>
      </w:r>
    </w:p>
    <w:p>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开户银行：中国建设银行百色分行营业部</w:t>
      </w:r>
    </w:p>
    <w:p>
      <w:pPr>
        <w:pStyle w:val="3"/>
        <w:ind w:left="0" w:leftChars="0" w:firstLine="0" w:firstLine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帐   号：45050167610109666888</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广西百矿新材料技术有限公司2024年铝钛合金采购投标保证金</w:t>
      </w:r>
      <w:r>
        <w:rPr>
          <w:rFonts w:hint="eastAsia" w:ascii="宋体" w:hAnsi="宋体" w:eastAsia="宋体"/>
          <w:color w:val="auto"/>
          <w:sz w:val="24"/>
          <w:szCs w:val="24"/>
        </w:rPr>
        <w:t>）</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pPr>
        <w:spacing w:line="400" w:lineRule="exact"/>
        <w:ind w:firstLine="480" w:firstLineChars="200"/>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val="en-US" w:eastAsia="zh-CN"/>
        </w:rPr>
        <w:t>第一批物资到货验收合格15日内无息退还</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w:t>
      </w:r>
      <w:r>
        <w:rPr>
          <w:rFonts w:hint="eastAsia" w:ascii="宋体" w:hAnsi="宋体" w:eastAsia="宋体" w:cs="宋体"/>
          <w:b w:val="0"/>
          <w:bCs w:val="0"/>
          <w:sz w:val="24"/>
          <w:szCs w:val="24"/>
          <w:lang w:val="en-US" w:eastAsia="zh-CN"/>
        </w:rPr>
        <w:t>15日内</w:t>
      </w:r>
      <w:r>
        <w:rPr>
          <w:rFonts w:hint="eastAsia" w:ascii="宋体" w:hAnsi="宋体" w:eastAsia="宋体" w:cs="宋体"/>
          <w:b w:val="0"/>
          <w:bCs w:val="0"/>
          <w:sz w:val="24"/>
          <w:szCs w:val="24"/>
        </w:rPr>
        <w:t>无息退还。</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如供应商有下列情况，投标保证金不予退还：</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5"/>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5"/>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r>
        <w:rPr>
          <w:rFonts w:hint="eastAsia" w:cs="宋体"/>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4)投标人存在违法行为获取中标或存在以其他方式弄虚作假行为骗取中标的</w:t>
      </w:r>
      <w:r>
        <w:rPr>
          <w:rFonts w:hint="eastAsia" w:cs="宋体"/>
          <w:b w:val="0"/>
          <w:bCs w:val="0"/>
          <w:color w:val="000000" w:themeColor="text1"/>
          <w:kern w:val="2"/>
          <w:sz w:val="24"/>
          <w:szCs w:val="24"/>
          <w:lang w:val="en-US" w:eastAsia="zh-CN" w:bidi="ar-SA"/>
          <w14:textFill>
            <w14:solidFill>
              <w14:schemeClr w14:val="tx1"/>
            </w14:solidFill>
          </w14:textFill>
        </w:rPr>
        <w:t>；</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1"/>
        <w:rPr>
          <w:rFonts w:hint="eastAsia" w:asciiTheme="majorEastAsia" w:hAnsiTheme="majorEastAsia" w:eastAsiaTheme="majorEastAsia" w:cstheme="majorEastAsia"/>
          <w:color w:val="auto"/>
          <w:sz w:val="24"/>
          <w:szCs w:val="24"/>
          <w:lang w:val="en-US" w:eastAsia="zh-CN"/>
        </w:rPr>
      </w:pPr>
    </w:p>
    <w:p>
      <w:pPr>
        <w:pStyle w:val="3"/>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8.联系方式</w:t>
      </w:r>
    </w:p>
    <w:tbl>
      <w:tblPr>
        <w:tblStyle w:val="12"/>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翟荣兴</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pStyle w:val="21"/>
        <w:rPr>
          <w:rFonts w:hint="eastAsia" w:ascii="宋体" w:hAnsi="宋体" w:eastAsia="宋体" w:cs="宋体"/>
          <w:b/>
          <w:bCs/>
          <w:color w:val="auto"/>
          <w:sz w:val="21"/>
          <w:szCs w:val="21"/>
          <w:lang w:eastAsia="zh-CN"/>
        </w:rPr>
      </w:pPr>
    </w:p>
    <w:p>
      <w:pPr>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eastAsia="zh-CN"/>
        </w:rPr>
        <w:t>附件</w:t>
      </w:r>
      <w:r>
        <w:rPr>
          <w:rFonts w:hint="eastAsia" w:asciiTheme="majorEastAsia" w:hAnsiTheme="majorEastAsia" w:eastAsiaTheme="majorEastAsia" w:cstheme="majorEastAsia"/>
          <w:b/>
          <w:szCs w:val="21"/>
          <w:lang w:val="en-US" w:eastAsia="zh-CN"/>
        </w:rPr>
        <w:t>2：质量技术标准</w:t>
      </w:r>
    </w:p>
    <w:p>
      <w:pPr>
        <w:pStyle w:val="21"/>
        <w:rPr>
          <w:rFonts w:hint="default" w:eastAsia="宋体"/>
          <w:b/>
          <w:bCs/>
          <w:lang w:val="en-US" w:eastAsia="zh-CN"/>
        </w:rPr>
      </w:pPr>
    </w:p>
    <w:p>
      <w:pPr>
        <w:keepNext w:val="0"/>
        <w:keepLines w:val="0"/>
        <w:widowControl/>
        <w:suppressLineNumbers w:val="0"/>
        <w:jc w:val="both"/>
        <w:rPr>
          <w:b/>
          <w:szCs w:val="21"/>
        </w:rPr>
      </w:pPr>
      <w:r>
        <w:rPr>
          <w:rFonts w:hint="eastAsia" w:ascii="黑体" w:hAnsi="宋体" w:eastAsia="黑体" w:cs="黑体"/>
          <w:color w:val="000000"/>
          <w:kern w:val="0"/>
          <w:sz w:val="28"/>
          <w:szCs w:val="28"/>
          <w:lang w:val="en-US" w:eastAsia="zh-CN" w:bidi="ar"/>
        </w:rPr>
        <w:t>详见附件：铝钛合金技术质量标准</w:t>
      </w:r>
    </w:p>
    <w:p>
      <w:pPr>
        <w:pStyle w:val="21"/>
      </w:pPr>
    </w:p>
    <w:p>
      <w:pPr>
        <w:pStyle w:val="21"/>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5540D"/>
    <w:multiLevelType w:val="singleLevel"/>
    <w:tmpl w:val="7515540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97A2553"/>
    <w:rsid w:val="0A420305"/>
    <w:rsid w:val="0B820F78"/>
    <w:rsid w:val="0B8A3BDC"/>
    <w:rsid w:val="0C7C5845"/>
    <w:rsid w:val="0CAD008F"/>
    <w:rsid w:val="0DE54DDD"/>
    <w:rsid w:val="0E6C3CDC"/>
    <w:rsid w:val="0F0C5CC2"/>
    <w:rsid w:val="10437703"/>
    <w:rsid w:val="113A610C"/>
    <w:rsid w:val="11E9103B"/>
    <w:rsid w:val="12290200"/>
    <w:rsid w:val="12AC23E2"/>
    <w:rsid w:val="136B5FB3"/>
    <w:rsid w:val="13934C8A"/>
    <w:rsid w:val="139376FC"/>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5C646E"/>
    <w:rsid w:val="24782E39"/>
    <w:rsid w:val="256C065C"/>
    <w:rsid w:val="263920D0"/>
    <w:rsid w:val="271C3AA6"/>
    <w:rsid w:val="27FF17B9"/>
    <w:rsid w:val="28266776"/>
    <w:rsid w:val="286A351C"/>
    <w:rsid w:val="28DF7FBC"/>
    <w:rsid w:val="2A7055D9"/>
    <w:rsid w:val="2BB655EB"/>
    <w:rsid w:val="2CA17371"/>
    <w:rsid w:val="2DE03868"/>
    <w:rsid w:val="2EFA0920"/>
    <w:rsid w:val="2F2E0DD3"/>
    <w:rsid w:val="2FDF0AC1"/>
    <w:rsid w:val="30530CB9"/>
    <w:rsid w:val="31241C20"/>
    <w:rsid w:val="31A606A8"/>
    <w:rsid w:val="3370188D"/>
    <w:rsid w:val="337C12F0"/>
    <w:rsid w:val="33A5028C"/>
    <w:rsid w:val="340A6022"/>
    <w:rsid w:val="34991DD6"/>
    <w:rsid w:val="34A26162"/>
    <w:rsid w:val="34E47465"/>
    <w:rsid w:val="35C457E4"/>
    <w:rsid w:val="360E21C1"/>
    <w:rsid w:val="36401C52"/>
    <w:rsid w:val="37861D96"/>
    <w:rsid w:val="37FD118C"/>
    <w:rsid w:val="38AC6F88"/>
    <w:rsid w:val="3A3E06A3"/>
    <w:rsid w:val="3B0722D4"/>
    <w:rsid w:val="3BAF109E"/>
    <w:rsid w:val="3CCC43B5"/>
    <w:rsid w:val="3DDD74C1"/>
    <w:rsid w:val="3E2D76D6"/>
    <w:rsid w:val="3E4F3034"/>
    <w:rsid w:val="408373C1"/>
    <w:rsid w:val="409E30A8"/>
    <w:rsid w:val="40FC4CB0"/>
    <w:rsid w:val="41034C6C"/>
    <w:rsid w:val="41504F94"/>
    <w:rsid w:val="418A16EC"/>
    <w:rsid w:val="43922586"/>
    <w:rsid w:val="4561695E"/>
    <w:rsid w:val="46D34510"/>
    <w:rsid w:val="46DE6196"/>
    <w:rsid w:val="47AB2817"/>
    <w:rsid w:val="487415C3"/>
    <w:rsid w:val="487B65BE"/>
    <w:rsid w:val="48821426"/>
    <w:rsid w:val="4B166A95"/>
    <w:rsid w:val="4B493BD2"/>
    <w:rsid w:val="4C7157A4"/>
    <w:rsid w:val="4D2423DA"/>
    <w:rsid w:val="4E7C360B"/>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557AF4"/>
    <w:rsid w:val="5FD41082"/>
    <w:rsid w:val="600E2170"/>
    <w:rsid w:val="60934C78"/>
    <w:rsid w:val="60FC4012"/>
    <w:rsid w:val="6106280A"/>
    <w:rsid w:val="618F164B"/>
    <w:rsid w:val="61A241F9"/>
    <w:rsid w:val="62976BA7"/>
    <w:rsid w:val="62D46057"/>
    <w:rsid w:val="63924601"/>
    <w:rsid w:val="63EF192E"/>
    <w:rsid w:val="640336FD"/>
    <w:rsid w:val="650D0632"/>
    <w:rsid w:val="6534570D"/>
    <w:rsid w:val="65413FA7"/>
    <w:rsid w:val="65BB3DCB"/>
    <w:rsid w:val="66D44B2F"/>
    <w:rsid w:val="67714B74"/>
    <w:rsid w:val="67A105BB"/>
    <w:rsid w:val="67E919DE"/>
    <w:rsid w:val="682806B6"/>
    <w:rsid w:val="686D619C"/>
    <w:rsid w:val="6ACD6C40"/>
    <w:rsid w:val="6B26681C"/>
    <w:rsid w:val="6B3E03B6"/>
    <w:rsid w:val="6B5B2464"/>
    <w:rsid w:val="6B997406"/>
    <w:rsid w:val="6BE91E82"/>
    <w:rsid w:val="6CFB43E6"/>
    <w:rsid w:val="6D226F1D"/>
    <w:rsid w:val="6E1038D1"/>
    <w:rsid w:val="6EA76F13"/>
    <w:rsid w:val="6F5D25CA"/>
    <w:rsid w:val="704A38E5"/>
    <w:rsid w:val="71246855"/>
    <w:rsid w:val="716B46DE"/>
    <w:rsid w:val="724F2B10"/>
    <w:rsid w:val="72E55401"/>
    <w:rsid w:val="73645753"/>
    <w:rsid w:val="737D1E5A"/>
    <w:rsid w:val="73B93F82"/>
    <w:rsid w:val="74E62BE1"/>
    <w:rsid w:val="75592C7C"/>
    <w:rsid w:val="7600251B"/>
    <w:rsid w:val="76444236"/>
    <w:rsid w:val="76BF0406"/>
    <w:rsid w:val="789E2CA4"/>
    <w:rsid w:val="78E404CB"/>
    <w:rsid w:val="792917E7"/>
    <w:rsid w:val="7934385B"/>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autoRedefine/>
    <w:unhideWhenUsed/>
    <w:qFormat/>
    <w:uiPriority w:val="1"/>
    <w:rPr>
      <w:kern w:val="1"/>
    </w:rPr>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annotation text"/>
    <w:basedOn w:val="1"/>
    <w:link w:val="26"/>
    <w:autoRedefine/>
    <w:unhideWhenUsed/>
    <w:qFormat/>
    <w:uiPriority w:val="99"/>
    <w:pPr>
      <w:jc w:val="left"/>
    </w:pPr>
  </w:style>
  <w:style w:type="paragraph" w:styleId="5">
    <w:name w:val="Body Text"/>
    <w:basedOn w:val="1"/>
    <w:autoRedefine/>
    <w:qFormat/>
    <w:uiPriority w:val="1"/>
    <w:pPr>
      <w:ind w:left="169"/>
    </w:pPr>
    <w:rPr>
      <w:rFonts w:ascii="宋体" w:hAnsi="宋体" w:eastAsia="宋体" w:cs="宋体"/>
      <w:sz w:val="24"/>
      <w:szCs w:val="24"/>
      <w:lang w:val="zh-CN" w:eastAsia="zh-CN" w:bidi="zh-CN"/>
    </w:rPr>
  </w:style>
  <w:style w:type="paragraph" w:styleId="6">
    <w:name w:val="Date"/>
    <w:basedOn w:val="1"/>
    <w:next w:val="1"/>
    <w:link w:val="24"/>
    <w:autoRedefine/>
    <w:unhideWhenUsed/>
    <w:qFormat/>
    <w:uiPriority w:val="99"/>
    <w:pPr>
      <w:ind w:left="100" w:leftChars="2500"/>
    </w:pPr>
  </w:style>
  <w:style w:type="paragraph" w:styleId="7">
    <w:name w:val="Balloon Text"/>
    <w:basedOn w:val="1"/>
    <w:link w:val="27"/>
    <w:autoRedefine/>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autoRedefine/>
    <w:qFormat/>
    <w:uiPriority w:val="0"/>
    <w:rPr>
      <w:kern w:val="1"/>
    </w:rPr>
  </w:style>
  <w:style w:type="character" w:styleId="15">
    <w:name w:val="Strong"/>
    <w:basedOn w:val="13"/>
    <w:autoRedefine/>
    <w:qFormat/>
    <w:uiPriority w:val="22"/>
    <w:rPr>
      <w:b/>
      <w:bCs/>
    </w:rPr>
  </w:style>
  <w:style w:type="character" w:styleId="16">
    <w:name w:val="page number"/>
    <w:basedOn w:val="13"/>
    <w:autoRedefine/>
    <w:qFormat/>
    <w:uiPriority w:val="0"/>
  </w:style>
  <w:style w:type="character" w:styleId="17">
    <w:name w:val="FollowedHyperlink"/>
    <w:basedOn w:val="13"/>
    <w:autoRedefine/>
    <w:unhideWhenUsed/>
    <w:qFormat/>
    <w:uiPriority w:val="99"/>
    <w:rPr>
      <w:color w:val="800080" w:themeColor="followedHyperlink"/>
      <w:u w:val="single"/>
      <w14:textFill>
        <w14:solidFill>
          <w14:schemeClr w14:val="folHlink"/>
        </w14:solidFill>
      </w14:textFill>
    </w:rPr>
  </w:style>
  <w:style w:type="character" w:styleId="18">
    <w:name w:val="Emphasis"/>
    <w:basedOn w:val="13"/>
    <w:autoRedefine/>
    <w:qFormat/>
    <w:uiPriority w:val="20"/>
    <w:rPr>
      <w:i/>
    </w:rPr>
  </w:style>
  <w:style w:type="character" w:styleId="19">
    <w:name w:val="Hyperlink"/>
    <w:basedOn w:val="13"/>
    <w:autoRedefine/>
    <w:unhideWhenUsed/>
    <w:qFormat/>
    <w:uiPriority w:val="99"/>
    <w:rPr>
      <w:color w:val="0000FF"/>
      <w:u w:val="none"/>
    </w:rPr>
  </w:style>
  <w:style w:type="character" w:styleId="20">
    <w:name w:val="annotation reference"/>
    <w:basedOn w:val="13"/>
    <w:autoRedefine/>
    <w:unhideWhenUsed/>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2">
    <w:name w:val="页眉 Char"/>
    <w:basedOn w:val="13"/>
    <w:link w:val="9"/>
    <w:autoRedefine/>
    <w:qFormat/>
    <w:uiPriority w:val="99"/>
    <w:rPr>
      <w:sz w:val="18"/>
      <w:szCs w:val="18"/>
    </w:rPr>
  </w:style>
  <w:style w:type="character" w:customStyle="1" w:styleId="23">
    <w:name w:val="页脚 Char"/>
    <w:basedOn w:val="13"/>
    <w:link w:val="8"/>
    <w:autoRedefine/>
    <w:qFormat/>
    <w:uiPriority w:val="99"/>
    <w:rPr>
      <w:sz w:val="18"/>
      <w:szCs w:val="18"/>
    </w:rPr>
  </w:style>
  <w:style w:type="character" w:customStyle="1" w:styleId="24">
    <w:name w:val="日期 Char"/>
    <w:basedOn w:val="13"/>
    <w:link w:val="6"/>
    <w:autoRedefine/>
    <w:semiHidden/>
    <w:qFormat/>
    <w:uiPriority w:val="99"/>
  </w:style>
  <w:style w:type="paragraph" w:customStyle="1" w:styleId="25">
    <w:name w:val="List Paragraph"/>
    <w:basedOn w:val="1"/>
    <w:autoRedefine/>
    <w:qFormat/>
    <w:uiPriority w:val="34"/>
    <w:pPr>
      <w:ind w:firstLine="420" w:firstLineChars="200"/>
    </w:pPr>
  </w:style>
  <w:style w:type="character" w:customStyle="1" w:styleId="26">
    <w:name w:val="批注文字 Char"/>
    <w:basedOn w:val="13"/>
    <w:link w:val="4"/>
    <w:autoRedefine/>
    <w:semiHidden/>
    <w:qFormat/>
    <w:uiPriority w:val="99"/>
  </w:style>
  <w:style w:type="character" w:customStyle="1" w:styleId="27">
    <w:name w:val="批注框文本 Char"/>
    <w:basedOn w:val="13"/>
    <w:link w:val="7"/>
    <w:autoRedefine/>
    <w:semiHidden/>
    <w:qFormat/>
    <w:uiPriority w:val="99"/>
    <w:rPr>
      <w:sz w:val="18"/>
      <w:szCs w:val="18"/>
    </w:rPr>
  </w:style>
  <w:style w:type="paragraph" w:customStyle="1" w:styleId="28">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3"/>
    <w:autoRedefine/>
    <w:qFormat/>
    <w:uiPriority w:val="0"/>
    <w:rPr>
      <w:rFonts w:hint="eastAsia" w:ascii="宋体" w:hAnsi="宋体" w:eastAsia="宋体" w:cs="宋体"/>
      <w:color w:val="000000"/>
      <w:sz w:val="24"/>
      <w:szCs w:val="24"/>
      <w:u w:val="none"/>
    </w:rPr>
  </w:style>
  <w:style w:type="character" w:customStyle="1" w:styleId="32">
    <w:name w:val="font41"/>
    <w:basedOn w:val="13"/>
    <w:autoRedefine/>
    <w:qFormat/>
    <w:uiPriority w:val="0"/>
    <w:rPr>
      <w:rFonts w:hint="default" w:ascii="Times New Roman" w:hAnsi="Times New Roman" w:cs="Times New Roman"/>
      <w:color w:val="000000"/>
      <w:sz w:val="22"/>
      <w:szCs w:val="22"/>
      <w:u w:val="none"/>
    </w:rPr>
  </w:style>
  <w:style w:type="character" w:customStyle="1" w:styleId="33">
    <w:name w:val="font11"/>
    <w:basedOn w:val="13"/>
    <w:autoRedefine/>
    <w:qFormat/>
    <w:uiPriority w:val="0"/>
    <w:rPr>
      <w:rFonts w:hint="eastAsia" w:ascii="宋体" w:hAnsi="宋体" w:eastAsia="宋体" w:cs="宋体"/>
      <w:color w:val="FF0000"/>
      <w:sz w:val="20"/>
      <w:szCs w:val="20"/>
      <w:u w:val="none"/>
    </w:rPr>
  </w:style>
  <w:style w:type="paragraph" w:customStyle="1" w:styleId="34">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2</TotalTime>
  <ScaleCrop>false</ScaleCrop>
  <LinksUpToDate>false</LinksUpToDate>
  <CharactersWithSpaces>5128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2024-05-06T08:25:15Z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BD3C30A683794D4FA96E423101E5F91B</vt:lpwstr>
  </property>
</Properties>
</file>