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hint="eastAsia" w:ascii="宋体" w:hAnsi="宋体" w:eastAsia="宋体" w:cs="宋体"/>
          <w:b/>
          <w:color w:val="auto"/>
          <w:kern w:val="0"/>
          <w:sz w:val="30"/>
          <w:highlight w:val="none"/>
          <w:lang w:eastAsia="zh-CN"/>
        </w:rPr>
      </w:pPr>
      <w:r>
        <w:rPr>
          <w:rFonts w:hint="eastAsia" w:ascii="宋体" w:hAnsi="宋体" w:eastAsia="宋体" w:cs="宋体"/>
          <w:b/>
          <w:color w:val="auto"/>
          <w:kern w:val="0"/>
          <w:sz w:val="30"/>
          <w:highlight w:val="none"/>
          <w:lang w:eastAsia="zh-CN"/>
        </w:rPr>
        <w:t>田林百矿田田碳素有限公司石油焦采购项目</w:t>
      </w:r>
    </w:p>
    <w:p>
      <w:pPr>
        <w:spacing w:line="550" w:lineRule="exact"/>
        <w:jc w:val="center"/>
        <w:rPr>
          <w:rFonts w:hint="eastAsia" w:ascii="宋体" w:hAnsi="宋体" w:eastAsia="宋体" w:cs="宋体"/>
          <w:b/>
          <w:color w:val="auto"/>
          <w:sz w:val="30"/>
          <w:highlight w:val="none"/>
          <w:lang w:eastAsia="zh-CN"/>
        </w:rPr>
      </w:pPr>
      <w:r>
        <w:rPr>
          <w:rFonts w:hint="eastAsia" w:ascii="宋体" w:hAnsi="宋体" w:eastAsia="宋体" w:cs="宋体"/>
          <w:b/>
          <w:color w:val="auto"/>
          <w:kern w:val="0"/>
          <w:sz w:val="30"/>
          <w:highlight w:val="none"/>
          <w:lang w:eastAsia="zh-CN"/>
        </w:rPr>
        <w:t>邀请书</w:t>
      </w:r>
    </w:p>
    <w:p>
      <w:pPr>
        <w:pStyle w:val="4"/>
        <w:spacing w:before="6"/>
        <w:ind w:left="0"/>
        <w:rPr>
          <w:rFonts w:hint="eastAsia" w:ascii="宋体" w:hAnsi="宋体" w:eastAsia="宋体" w:cs="宋体"/>
          <w:b/>
          <w:color w:val="auto"/>
          <w:sz w:val="25"/>
          <w:highlight w:val="none"/>
          <w:lang w:eastAsia="zh-CN"/>
        </w:rPr>
      </w:pPr>
    </w:p>
    <w:p>
      <w:pPr>
        <w:pStyle w:val="2"/>
        <w:pBdr>
          <w:top w:val="none" w:color="auto" w:sz="0" w:space="0"/>
          <w:left w:val="none" w:color="auto" w:sz="0" w:space="0"/>
          <w:bottom w:val="none" w:color="auto" w:sz="0" w:space="0"/>
          <w:right w:val="none" w:color="auto" w:sz="0" w:space="0"/>
        </w:pBdr>
        <w:autoSpaceDE w:val="0"/>
        <w:autoSpaceDN w:val="0"/>
        <w:spacing w:before="0" w:beforeAutospacing="0" w:after="0" w:afterAutospacing="0"/>
        <w:ind w:left="0" w:right="0" w:firstLine="0"/>
        <w:jc w:val="left"/>
        <w:outlineLvl w:val="0"/>
        <w:rPr>
          <w:rFonts w:hint="eastAsia" w:ascii="宋体" w:hAnsi="宋体" w:eastAsia="宋体" w:cs="宋体"/>
          <w:bCs/>
          <w:color w:val="auto"/>
          <w:kern w:val="0"/>
          <w:sz w:val="24"/>
          <w:szCs w:val="24"/>
          <w:highlight w:val="none"/>
          <w:lang w:eastAsia="zh-CN" w:bidi="ar-SA"/>
        </w:rPr>
      </w:pPr>
      <w:r>
        <w:rPr>
          <w:rFonts w:hint="eastAsia" w:ascii="宋体" w:hAnsi="宋体" w:eastAsia="宋体" w:cs="宋体"/>
          <w:bCs/>
          <w:color w:val="auto"/>
          <w:kern w:val="0"/>
          <w:sz w:val="24"/>
          <w:szCs w:val="24"/>
          <w:highlight w:val="none"/>
          <w:lang w:eastAsia="zh-CN" w:bidi="ar-SA"/>
        </w:rPr>
        <w:t>采购类别：生产辅材类（注：请选择此类别，否则无法报名）</w:t>
      </w:r>
    </w:p>
    <w:p>
      <w:pPr>
        <w:pStyle w:val="2"/>
        <w:pBdr>
          <w:top w:val="none" w:color="auto" w:sz="0" w:space="0"/>
          <w:left w:val="none" w:color="auto" w:sz="0" w:space="0"/>
          <w:bottom w:val="none" w:color="auto" w:sz="0" w:space="0"/>
          <w:right w:val="none" w:color="auto" w:sz="0" w:space="0"/>
        </w:pBdr>
        <w:autoSpaceDE w:val="0"/>
        <w:autoSpaceDN w:val="0"/>
        <w:spacing w:before="0" w:beforeAutospacing="0" w:after="0" w:afterAutospacing="0"/>
        <w:ind w:left="0" w:right="0" w:firstLine="0"/>
        <w:jc w:val="left"/>
        <w:outlineLvl w:val="0"/>
        <w:rPr>
          <w:rFonts w:hint="eastAsia" w:ascii="宋体" w:hAnsi="宋体" w:eastAsia="宋体" w:cs="宋体"/>
          <w:b/>
          <w:color w:val="auto"/>
          <w:sz w:val="24"/>
          <w:szCs w:val="24"/>
          <w:highlight w:val="none"/>
          <w:lang w:eastAsia="zh-CN"/>
        </w:rPr>
      </w:pPr>
      <w:bookmarkStart w:id="0" w:name="1.招标条件"/>
      <w:bookmarkEnd w:id="0"/>
      <w:r>
        <w:rPr>
          <w:rFonts w:hint="eastAsia" w:ascii="宋体" w:hAnsi="宋体" w:eastAsia="宋体" w:cs="宋体"/>
          <w:bCs/>
          <w:color w:val="auto"/>
          <w:kern w:val="0"/>
          <w:sz w:val="24"/>
          <w:szCs w:val="24"/>
          <w:highlight w:val="none"/>
          <w:lang w:eastAsia="zh-CN" w:bidi="ar-SA"/>
        </w:rPr>
        <w:t>1.招标条件</w:t>
      </w:r>
    </w:p>
    <w:p>
      <w:pPr>
        <w:pStyle w:val="4"/>
        <w:keepNext w:val="0"/>
        <w:keepLines w:val="0"/>
        <w:pageBreakBefore w:val="0"/>
        <w:widowControl w:val="0"/>
        <w:tabs>
          <w:tab w:val="left" w:pos="3789"/>
          <w:tab w:val="left" w:pos="4101"/>
        </w:tabs>
        <w:kinsoku/>
        <w:wordWrap/>
        <w:overflowPunct/>
        <w:topLinePunct w:val="0"/>
        <w:autoSpaceDE/>
        <w:autoSpaceDN/>
        <w:bidi w:val="0"/>
        <w:adjustRightInd/>
        <w:snapToGrid/>
        <w:spacing w:line="400" w:lineRule="exact"/>
        <w:ind w:left="0" w:right="108"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u w:val="single"/>
          <w:lang w:eastAsia="zh-CN"/>
        </w:rPr>
        <w:t>田林百矿田田碳素有限公司石油焦采购项目</w:t>
      </w:r>
      <w:r>
        <w:rPr>
          <w:rFonts w:hint="eastAsia" w:ascii="宋体" w:hAnsi="宋体" w:eastAsia="宋体" w:cs="宋体"/>
          <w:color w:val="auto"/>
          <w:kern w:val="2"/>
          <w:sz w:val="24"/>
          <w:szCs w:val="24"/>
          <w:highlight w:val="none"/>
          <w:lang w:eastAsia="zh-CN"/>
        </w:rPr>
        <w:t>已具备招标采购条件，现邀请贵司参与本项目投标，招标</w:t>
      </w:r>
      <w:r>
        <w:rPr>
          <w:rFonts w:hint="eastAsia" w:ascii="宋体" w:hAnsi="宋体" w:eastAsia="宋体" w:cs="宋体"/>
          <w:color w:val="auto"/>
          <w:kern w:val="2"/>
          <w:sz w:val="24"/>
          <w:szCs w:val="24"/>
          <w:highlight w:val="none"/>
          <w:lang w:val="en-US" w:eastAsia="zh-CN"/>
        </w:rPr>
        <w:t>单位</w:t>
      </w:r>
      <w:r>
        <w:rPr>
          <w:rFonts w:hint="eastAsia" w:ascii="宋体" w:hAnsi="宋体" w:eastAsia="宋体" w:cs="宋体"/>
          <w:color w:val="auto"/>
          <w:kern w:val="2"/>
          <w:sz w:val="24"/>
          <w:szCs w:val="24"/>
          <w:highlight w:val="none"/>
          <w:lang w:eastAsia="zh-CN"/>
        </w:rPr>
        <w:t>为</w:t>
      </w:r>
      <w:r>
        <w:rPr>
          <w:rFonts w:hint="eastAsia" w:ascii="宋体" w:hAnsi="宋体" w:eastAsia="宋体" w:cs="宋体"/>
          <w:color w:val="auto"/>
          <w:kern w:val="2"/>
          <w:sz w:val="24"/>
          <w:szCs w:val="24"/>
          <w:highlight w:val="none"/>
          <w:u w:val="single"/>
          <w:lang w:eastAsia="zh-CN"/>
        </w:rPr>
        <w:t>田林百矿田田碳素有限公司</w:t>
      </w:r>
      <w:r>
        <w:rPr>
          <w:rFonts w:hint="eastAsia" w:ascii="宋体" w:hAnsi="宋体" w:eastAsia="宋体" w:cs="宋体"/>
          <w:color w:val="auto"/>
          <w:kern w:val="2"/>
          <w:sz w:val="24"/>
          <w:szCs w:val="24"/>
          <w:highlight w:val="none"/>
          <w:lang w:eastAsia="zh-CN"/>
        </w:rPr>
        <w:t>。</w:t>
      </w:r>
      <w:bookmarkStart w:id="1" w:name="2.项目概况"/>
      <w:bookmarkEnd w:id="1"/>
    </w:p>
    <w:p>
      <w:pPr>
        <w:pStyle w:val="4"/>
        <w:keepNext w:val="0"/>
        <w:keepLines w:val="0"/>
        <w:pageBreakBefore w:val="0"/>
        <w:widowControl w:val="0"/>
        <w:tabs>
          <w:tab w:val="left" w:pos="3789"/>
          <w:tab w:val="left" w:pos="4101"/>
        </w:tabs>
        <w:kinsoku/>
        <w:wordWrap/>
        <w:overflowPunct/>
        <w:topLinePunct w:val="0"/>
        <w:autoSpaceDE/>
        <w:autoSpaceDN/>
        <w:bidi w:val="0"/>
        <w:adjustRightInd/>
        <w:snapToGrid/>
        <w:spacing w:line="400" w:lineRule="exact"/>
        <w:ind w:left="0" w:leftChars="0" w:right="108" w:firstLine="0" w:firstLineChars="0"/>
        <w:textAlignment w:val="auto"/>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2.项目概况</w:t>
      </w:r>
    </w:p>
    <w:p>
      <w:pPr>
        <w:widowControl/>
        <w:shd w:val="clear" w:color="auto" w:fill="FFFFFF"/>
        <w:autoSpaceDE/>
        <w:autoSpaceDN/>
        <w:spacing w:line="400" w:lineRule="exact"/>
        <w:ind w:firstLine="480" w:firstLineChars="200"/>
        <w:rPr>
          <w:rFonts w:hint="eastAsia" w:ascii="宋体" w:hAnsi="宋体" w:eastAsia="宋体" w:cs="宋体"/>
          <w:color w:val="auto"/>
          <w:kern w:val="2"/>
          <w:sz w:val="24"/>
          <w:szCs w:val="24"/>
          <w:highlight w:val="none"/>
          <w:lang w:eastAsia="zh-CN"/>
        </w:rPr>
      </w:pPr>
      <w:bookmarkStart w:id="2" w:name="3.采购范围"/>
      <w:bookmarkEnd w:id="2"/>
      <w:bookmarkStart w:id="3" w:name="广西百矿铝业有限公司（以下简称：田阳铝厂）位于广西田阳县头塘镇新山村铝工业示范园"/>
      <w:bookmarkEnd w:id="3"/>
      <w:r>
        <w:rPr>
          <w:rFonts w:hint="eastAsia" w:ascii="宋体" w:hAnsi="宋体" w:eastAsia="宋体" w:cs="宋体"/>
          <w:color w:val="auto"/>
          <w:kern w:val="2"/>
          <w:sz w:val="24"/>
          <w:szCs w:val="24"/>
          <w:highlight w:val="none"/>
          <w:lang w:eastAsia="zh-CN"/>
        </w:rPr>
        <w:t>田林百矿田田碳素有限公司400kt/a预焙阳极碳素项目位于广西田林县旧州镇板坚村桂黔（田林）经济合作产业园区，年产400kt/a预焙阳极。项目配置2台40室预焙阳极极碳块焙烧炉，现就</w:t>
      </w:r>
      <w:r>
        <w:rPr>
          <w:rFonts w:hint="eastAsia" w:ascii="宋体" w:hAnsi="宋体" w:eastAsia="宋体" w:cs="宋体"/>
          <w:color w:val="auto"/>
          <w:kern w:val="2"/>
          <w:sz w:val="24"/>
          <w:szCs w:val="24"/>
          <w:highlight w:val="none"/>
          <w:u w:val="none"/>
          <w:lang w:eastAsia="zh-CN"/>
        </w:rPr>
        <w:t>田林百矿田田碳素有限公司石油焦采购项目</w:t>
      </w:r>
      <w:r>
        <w:rPr>
          <w:rFonts w:hint="eastAsia" w:ascii="宋体" w:hAnsi="宋体" w:eastAsia="宋体" w:cs="宋体"/>
          <w:color w:val="auto"/>
          <w:kern w:val="2"/>
          <w:sz w:val="24"/>
          <w:szCs w:val="24"/>
          <w:highlight w:val="none"/>
          <w:lang w:eastAsia="zh-CN"/>
        </w:rPr>
        <w:t>进行招标，欢迎有实力的公司参与此次招标活动。</w:t>
      </w:r>
    </w:p>
    <w:p>
      <w:pPr>
        <w:pStyle w:val="2"/>
        <w:tabs>
          <w:tab w:val="left" w:pos="716"/>
        </w:tabs>
        <w:spacing w:before="67"/>
        <w:ind w:left="0" w:firstLine="0"/>
        <w:rPr>
          <w:rFonts w:hint="eastAsia" w:ascii="宋体" w:hAnsi="宋体" w:eastAsia="宋体" w:cs="宋体"/>
          <w:color w:val="auto"/>
          <w:sz w:val="24"/>
          <w:szCs w:val="24"/>
          <w:highlight w:val="none"/>
          <w:lang w:eastAsia="zh-CN"/>
        </w:rPr>
      </w:pPr>
    </w:p>
    <w:p>
      <w:pPr>
        <w:pStyle w:val="2"/>
        <w:tabs>
          <w:tab w:val="left" w:pos="716"/>
        </w:tabs>
        <w:spacing w:before="67"/>
        <w:ind w:left="0" w:firstLine="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采购范围</w:t>
      </w:r>
    </w:p>
    <w:tbl>
      <w:tblPr>
        <w:tblStyle w:val="12"/>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56"/>
        <w:gridCol w:w="1231"/>
        <w:gridCol w:w="1778"/>
        <w:gridCol w:w="2178"/>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Pr>
          <w:p>
            <w:pPr>
              <w:pStyle w:val="2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1256" w:type="dxa"/>
          </w:tcPr>
          <w:p>
            <w:pPr>
              <w:pStyle w:val="2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标段</w:t>
            </w:r>
          </w:p>
        </w:tc>
        <w:tc>
          <w:tcPr>
            <w:tcW w:w="1231" w:type="dxa"/>
            <w:vAlign w:val="top"/>
          </w:tcPr>
          <w:p>
            <w:pPr>
              <w:pStyle w:val="2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名称</w:t>
            </w:r>
          </w:p>
        </w:tc>
        <w:tc>
          <w:tcPr>
            <w:tcW w:w="1778" w:type="dxa"/>
          </w:tcPr>
          <w:p>
            <w:pPr>
              <w:pStyle w:val="20"/>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硫含量/%</w:t>
            </w:r>
            <w:r>
              <w:rPr>
                <w:rFonts w:hint="eastAsia" w:ascii="宋体" w:hAnsi="宋体" w:eastAsia="宋体" w:cs="宋体"/>
                <w:b/>
                <w:bCs/>
                <w:color w:val="auto"/>
                <w:sz w:val="24"/>
                <w:szCs w:val="24"/>
                <w:highlight w:val="none"/>
                <w:lang w:val="en-US" w:eastAsia="zh-CN"/>
              </w:rPr>
              <w:t>(S)</w:t>
            </w:r>
          </w:p>
        </w:tc>
        <w:tc>
          <w:tcPr>
            <w:tcW w:w="2178" w:type="dxa"/>
          </w:tcPr>
          <w:p>
            <w:pPr>
              <w:pStyle w:val="2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供货周期</w:t>
            </w:r>
          </w:p>
        </w:tc>
        <w:tc>
          <w:tcPr>
            <w:tcW w:w="2079" w:type="dxa"/>
          </w:tcPr>
          <w:p>
            <w:pPr>
              <w:keepNext w:val="0"/>
              <w:keepLines w:val="0"/>
              <w:widowControl/>
              <w:suppressLineNumbers w:val="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kern w:val="0"/>
                <w:sz w:val="24"/>
                <w:szCs w:val="24"/>
                <w:highlight w:val="none"/>
                <w:lang w:val="en-US" w:eastAsia="zh-CN" w:bidi="ar"/>
              </w:rPr>
              <w:t>预估总量（吨）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9" w:type="dxa"/>
            <w:vMerge w:val="restart"/>
            <w:vAlign w:val="center"/>
          </w:tcPr>
          <w:p>
            <w:pPr>
              <w:pStyle w:val="20"/>
              <w:ind w:firstLine="240" w:firstLineChars="100"/>
              <w:jc w:val="both"/>
              <w:rPr>
                <w:rFonts w:hint="eastAsia" w:ascii="宋体" w:hAnsi="宋体" w:eastAsia="宋体" w:cs="宋体"/>
                <w:color w:val="auto"/>
                <w:sz w:val="24"/>
                <w:szCs w:val="24"/>
                <w:highlight w:val="none"/>
                <w:vertAlign w:val="baseline"/>
                <w:lang w:val="en-US" w:eastAsia="zh-CN"/>
              </w:rPr>
            </w:pPr>
            <w:r>
              <w:rPr>
                <w:rFonts w:hint="eastAsia" w:hAnsi="宋体" w:eastAsia="宋体" w:cs="宋体"/>
                <w:color w:val="auto"/>
                <w:sz w:val="24"/>
                <w:szCs w:val="24"/>
                <w:highlight w:val="none"/>
                <w:vertAlign w:val="baseline"/>
                <w:lang w:val="en-US" w:eastAsia="zh-CN"/>
              </w:rPr>
              <w:t>1</w:t>
            </w:r>
          </w:p>
        </w:tc>
        <w:tc>
          <w:tcPr>
            <w:tcW w:w="1256" w:type="dxa"/>
            <w:vMerge w:val="restart"/>
            <w:vAlign w:val="center"/>
          </w:tcPr>
          <w:p>
            <w:pPr>
              <w:pStyle w:val="2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标段一</w:t>
            </w:r>
          </w:p>
        </w:tc>
        <w:tc>
          <w:tcPr>
            <w:tcW w:w="1231" w:type="dxa"/>
            <w:vMerge w:val="restart"/>
            <w:vAlign w:val="center"/>
          </w:tcPr>
          <w:p>
            <w:pPr>
              <w:pStyle w:val="20"/>
              <w:jc w:val="center"/>
              <w:rPr>
                <w:rFonts w:hint="eastAsia"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石油焦</w:t>
            </w:r>
          </w:p>
        </w:tc>
        <w:tc>
          <w:tcPr>
            <w:tcW w:w="1778" w:type="dxa"/>
            <w:vMerge w:val="restart"/>
            <w:vAlign w:val="center"/>
          </w:tcPr>
          <w:p>
            <w:pPr>
              <w:pStyle w:val="2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s≤</w:t>
            </w:r>
            <w:r>
              <w:rPr>
                <w:rFonts w:hint="eastAsia" w:hAnsi="宋体" w:eastAsia="宋体" w:cs="宋体"/>
                <w:color w:val="auto"/>
                <w:sz w:val="24"/>
                <w:szCs w:val="24"/>
                <w:highlight w:val="none"/>
                <w:vertAlign w:val="baseline"/>
                <w:lang w:val="en-US" w:eastAsia="zh-CN"/>
              </w:rPr>
              <w:t>4</w:t>
            </w:r>
          </w:p>
        </w:tc>
        <w:tc>
          <w:tcPr>
            <w:tcW w:w="2178" w:type="dxa"/>
            <w:vMerge w:val="restart"/>
            <w:vAlign w:val="center"/>
          </w:tcPr>
          <w:p>
            <w:pPr>
              <w:pStyle w:val="20"/>
              <w:jc w:val="center"/>
              <w:rPr>
                <w:rFonts w:hint="default" w:ascii="宋体" w:hAnsi="宋体" w:eastAsia="宋体" w:cs="宋体"/>
                <w:color w:val="auto"/>
                <w:sz w:val="24"/>
                <w:szCs w:val="24"/>
                <w:highlight w:val="none"/>
                <w:vertAlign w:val="baseline"/>
                <w:lang w:val="en-US" w:eastAsia="zh-CN"/>
              </w:rPr>
            </w:pPr>
            <w:r>
              <w:rPr>
                <w:rFonts w:hint="eastAsia" w:hAnsi="宋体" w:eastAsia="宋体" w:cs="宋体"/>
                <w:color w:val="auto"/>
                <w:sz w:val="24"/>
                <w:szCs w:val="24"/>
                <w:highlight w:val="none"/>
                <w:vertAlign w:val="baseline"/>
                <w:lang w:val="en-US" w:eastAsia="zh-CN"/>
              </w:rPr>
              <w:t>1个月</w:t>
            </w:r>
          </w:p>
        </w:tc>
        <w:tc>
          <w:tcPr>
            <w:tcW w:w="2079" w:type="dxa"/>
            <w:vMerge w:val="restart"/>
            <w:vAlign w:val="center"/>
          </w:tcPr>
          <w:p>
            <w:pPr>
              <w:pStyle w:val="20"/>
              <w:jc w:val="center"/>
              <w:rPr>
                <w:rFonts w:hint="default" w:ascii="宋体" w:hAnsi="宋体" w:eastAsia="宋体" w:cs="宋体"/>
                <w:color w:val="auto"/>
                <w:sz w:val="24"/>
                <w:szCs w:val="24"/>
                <w:highlight w:val="none"/>
                <w:vertAlign w:val="baseline"/>
                <w:lang w:val="en-US" w:eastAsia="zh-CN"/>
              </w:rPr>
            </w:pPr>
            <w:r>
              <w:rPr>
                <w:rFonts w:hint="eastAsia" w:hAnsi="宋体" w:eastAsia="宋体" w:cs="宋体"/>
                <w:color w:val="auto"/>
                <w:sz w:val="24"/>
                <w:szCs w:val="24"/>
                <w:highlight w:val="none"/>
                <w:vertAlign w:val="baseline"/>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9" w:type="dxa"/>
            <w:vMerge w:val="continue"/>
            <w:vAlign w:val="center"/>
          </w:tcPr>
          <w:p>
            <w:pPr>
              <w:pStyle w:val="20"/>
              <w:jc w:val="center"/>
              <w:rPr>
                <w:rFonts w:hint="eastAsia" w:ascii="宋体" w:hAnsi="宋体" w:eastAsia="宋体" w:cs="宋体"/>
                <w:color w:val="auto"/>
                <w:highlight w:val="none"/>
              </w:rPr>
            </w:pPr>
          </w:p>
        </w:tc>
        <w:tc>
          <w:tcPr>
            <w:tcW w:w="1256" w:type="dxa"/>
            <w:vMerge w:val="continue"/>
            <w:vAlign w:val="center"/>
          </w:tcPr>
          <w:p>
            <w:pPr>
              <w:pStyle w:val="20"/>
              <w:jc w:val="center"/>
              <w:rPr>
                <w:rFonts w:hint="eastAsia" w:ascii="宋体" w:hAnsi="宋体" w:eastAsia="宋体" w:cs="宋体"/>
                <w:color w:val="auto"/>
                <w:highlight w:val="none"/>
              </w:rPr>
            </w:pPr>
          </w:p>
        </w:tc>
        <w:tc>
          <w:tcPr>
            <w:tcW w:w="1231" w:type="dxa"/>
            <w:vMerge w:val="continue"/>
            <w:vAlign w:val="center"/>
          </w:tcPr>
          <w:p>
            <w:pPr>
              <w:pStyle w:val="20"/>
              <w:jc w:val="center"/>
              <w:rPr>
                <w:rFonts w:hint="eastAsia" w:ascii="宋体" w:hAnsi="宋体" w:eastAsia="宋体" w:cs="宋体"/>
                <w:color w:val="auto"/>
                <w:highlight w:val="none"/>
              </w:rPr>
            </w:pPr>
          </w:p>
        </w:tc>
        <w:tc>
          <w:tcPr>
            <w:tcW w:w="1778" w:type="dxa"/>
            <w:vMerge w:val="continue"/>
            <w:vAlign w:val="center"/>
          </w:tcPr>
          <w:p>
            <w:pPr>
              <w:pStyle w:val="20"/>
              <w:jc w:val="center"/>
              <w:rPr>
                <w:rFonts w:hint="eastAsia" w:ascii="宋体" w:hAnsi="宋体" w:eastAsia="宋体" w:cs="宋体"/>
                <w:color w:val="auto"/>
                <w:sz w:val="24"/>
                <w:szCs w:val="24"/>
                <w:highlight w:val="none"/>
                <w:vertAlign w:val="baseline"/>
                <w:lang w:val="en-US" w:eastAsia="zh-CN"/>
              </w:rPr>
            </w:pPr>
          </w:p>
        </w:tc>
        <w:tc>
          <w:tcPr>
            <w:tcW w:w="2178" w:type="dxa"/>
            <w:vMerge w:val="continue"/>
            <w:vAlign w:val="center"/>
          </w:tcPr>
          <w:p>
            <w:pPr>
              <w:jc w:val="center"/>
              <w:rPr>
                <w:rFonts w:hint="eastAsia" w:ascii="宋体" w:hAnsi="宋体" w:eastAsia="宋体" w:cs="宋体"/>
                <w:color w:val="auto"/>
                <w:sz w:val="24"/>
                <w:szCs w:val="24"/>
                <w:highlight w:val="none"/>
                <w:vertAlign w:val="baseline"/>
                <w:lang w:val="en-US" w:eastAsia="zh-CN"/>
              </w:rPr>
            </w:pPr>
          </w:p>
        </w:tc>
        <w:tc>
          <w:tcPr>
            <w:tcW w:w="2079" w:type="dxa"/>
            <w:vMerge w:val="continue"/>
            <w:vAlign w:val="center"/>
          </w:tcPr>
          <w:p>
            <w:pPr>
              <w:jc w:val="center"/>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9" w:type="dxa"/>
            <w:vAlign w:val="center"/>
          </w:tcPr>
          <w:p>
            <w:pPr>
              <w:pStyle w:val="20"/>
              <w:jc w:val="center"/>
              <w:rPr>
                <w:rFonts w:hint="eastAsia" w:ascii="宋体" w:hAnsi="宋体" w:eastAsia="宋体" w:cs="宋体"/>
                <w:color w:val="auto"/>
                <w:highlight w:val="none"/>
                <w:lang w:val="en-US" w:eastAsia="zh-CN"/>
              </w:rPr>
            </w:pPr>
            <w:r>
              <w:rPr>
                <w:rFonts w:hint="eastAsia" w:hAnsi="宋体" w:eastAsia="宋体" w:cs="宋体"/>
                <w:color w:val="auto"/>
                <w:highlight w:val="none"/>
                <w:lang w:val="en-US" w:eastAsia="zh-CN"/>
              </w:rPr>
              <w:t>2</w:t>
            </w:r>
          </w:p>
        </w:tc>
        <w:tc>
          <w:tcPr>
            <w:tcW w:w="1256" w:type="dxa"/>
            <w:vAlign w:val="center"/>
          </w:tcPr>
          <w:p>
            <w:pPr>
              <w:pStyle w:val="2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vertAlign w:val="baseline"/>
                <w:lang w:val="en-US" w:eastAsia="zh-CN"/>
              </w:rPr>
              <w:t>标段</w:t>
            </w:r>
            <w:r>
              <w:rPr>
                <w:rFonts w:hint="eastAsia" w:hAnsi="宋体" w:eastAsia="宋体" w:cs="宋体"/>
                <w:color w:val="auto"/>
                <w:sz w:val="24"/>
                <w:szCs w:val="24"/>
                <w:highlight w:val="none"/>
                <w:vertAlign w:val="baseline"/>
                <w:lang w:val="en-US" w:eastAsia="zh-CN"/>
              </w:rPr>
              <w:t>二</w:t>
            </w:r>
          </w:p>
        </w:tc>
        <w:tc>
          <w:tcPr>
            <w:tcW w:w="1231" w:type="dxa"/>
            <w:vAlign w:val="center"/>
          </w:tcPr>
          <w:p>
            <w:pPr>
              <w:pStyle w:val="2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vertAlign w:val="baseline"/>
                <w:lang w:val="en-US" w:eastAsia="zh-CN"/>
              </w:rPr>
              <w:t>石油焦</w:t>
            </w:r>
          </w:p>
        </w:tc>
        <w:tc>
          <w:tcPr>
            <w:tcW w:w="1778" w:type="dxa"/>
            <w:vAlign w:val="center"/>
          </w:tcPr>
          <w:p>
            <w:pPr>
              <w:pStyle w:val="2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s≤</w:t>
            </w:r>
            <w:r>
              <w:rPr>
                <w:rFonts w:hint="eastAsia" w:hAnsi="宋体" w:eastAsia="宋体" w:cs="宋体"/>
                <w:color w:val="auto"/>
                <w:sz w:val="24"/>
                <w:szCs w:val="24"/>
                <w:highlight w:val="none"/>
                <w:vertAlign w:val="baseline"/>
                <w:lang w:val="en-US" w:eastAsia="zh-CN"/>
              </w:rPr>
              <w:t>5</w:t>
            </w:r>
          </w:p>
        </w:tc>
        <w:tc>
          <w:tcPr>
            <w:tcW w:w="2178" w:type="dxa"/>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hAnsi="宋体" w:eastAsia="宋体" w:cs="宋体"/>
                <w:color w:val="auto"/>
                <w:sz w:val="24"/>
                <w:szCs w:val="24"/>
                <w:highlight w:val="none"/>
                <w:vertAlign w:val="baseline"/>
                <w:lang w:val="en-US" w:eastAsia="zh-CN"/>
              </w:rPr>
              <w:t>1个月</w:t>
            </w:r>
          </w:p>
        </w:tc>
        <w:tc>
          <w:tcPr>
            <w:tcW w:w="2079" w:type="dxa"/>
            <w:vAlign w:val="center"/>
          </w:tcPr>
          <w:p>
            <w:pPr>
              <w:jc w:val="center"/>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11000</w:t>
            </w:r>
          </w:p>
        </w:tc>
      </w:tr>
    </w:tbl>
    <w:p>
      <w:pPr>
        <w:pStyle w:val="2"/>
        <w:keepNext w:val="0"/>
        <w:keepLines w:val="0"/>
        <w:pageBreakBefore w:val="0"/>
        <w:widowControl w:val="0"/>
        <w:numPr>
          <w:ilvl w:val="0"/>
          <w:numId w:val="0"/>
        </w:numPr>
        <w:tabs>
          <w:tab w:val="left" w:pos="716"/>
        </w:tabs>
        <w:kinsoku/>
        <w:wordWrap/>
        <w:overflowPunct/>
        <w:topLinePunct w:val="0"/>
        <w:autoSpaceDE/>
        <w:autoSpaceDN/>
        <w:bidi w:val="0"/>
        <w:adjustRightInd/>
        <w:snapToGrid/>
        <w:spacing w:before="67" w:line="300" w:lineRule="exact"/>
        <w:ind w:leftChars="0" w:right="0" w:rightChars="0" w:firstLine="420" w:firstLineChars="200"/>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1"/>
          <w:szCs w:val="21"/>
          <w:highlight w:val="none"/>
          <w:vertAlign w:val="baseline"/>
          <w:lang w:val="en-US" w:eastAsia="zh-CN" w:bidi="ar-SA"/>
        </w:rPr>
        <w:t>注：本次石油焦招标实际采购量依据最终价定；投标人根据自身现有供货量及指标情况进行投标。</w:t>
      </w:r>
    </w:p>
    <w:p>
      <w:pPr>
        <w:pStyle w:val="2"/>
        <w:numPr>
          <w:ilvl w:val="0"/>
          <w:numId w:val="0"/>
        </w:numPr>
        <w:tabs>
          <w:tab w:val="left" w:pos="716"/>
        </w:tabs>
        <w:spacing w:before="67"/>
        <w:ind w:leftChars="0" w:right="0" w:rightChars="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4.技术指标</w:t>
      </w:r>
    </w:p>
    <w:p>
      <w:pPr>
        <w:pStyle w:val="18"/>
        <w:rPr>
          <w:rFonts w:hint="eastAsia" w:ascii="宋体" w:hAnsi="宋体" w:eastAsia="宋体" w:cs="宋体"/>
          <w:b w:val="0"/>
          <w:bCs/>
          <w:color w:val="auto"/>
          <w:sz w:val="24"/>
          <w:szCs w:val="24"/>
          <w:highlight w:val="none"/>
          <w:lang w:val="en-US" w:eastAsia="zh-CN"/>
        </w:rPr>
      </w:pPr>
    </w:p>
    <w:p>
      <w:pPr>
        <w:pStyle w:val="18"/>
        <w:rPr>
          <w:rFonts w:hint="eastAsia" w:ascii="宋体" w:hAnsi="宋体" w:eastAsia="宋体" w:cs="宋体"/>
          <w:b w:val="0"/>
          <w:bCs/>
          <w:color w:val="auto"/>
          <w:sz w:val="24"/>
          <w:szCs w:val="24"/>
          <w:highlight w:val="none"/>
          <w:lang w:val="en-US" w:eastAsia="zh-CN"/>
        </w:rPr>
      </w:pPr>
    </w:p>
    <w:p>
      <w:pPr>
        <w:pStyle w:val="2"/>
        <w:keepNext w:val="0"/>
        <w:keepLines w:val="0"/>
        <w:pageBreakBefore w:val="0"/>
        <w:widowControl w:val="0"/>
        <w:numPr>
          <w:ilvl w:val="0"/>
          <w:numId w:val="0"/>
        </w:numPr>
        <w:tabs>
          <w:tab w:val="left" w:pos="716"/>
        </w:tabs>
        <w:kinsoku/>
        <w:wordWrap/>
        <w:overflowPunct/>
        <w:topLinePunct w:val="0"/>
        <w:autoSpaceDE/>
        <w:autoSpaceDN/>
        <w:bidi w:val="0"/>
        <w:adjustRightInd/>
        <w:snapToGrid/>
        <w:spacing w:before="67" w:line="240" w:lineRule="exact"/>
        <w:ind w:leftChars="0" w:right="0" w:rightChars="0" w:firstLine="480" w:firstLineChars="200"/>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石油焦采购技术指标（NB-SH-T 0527-2019）</w:t>
      </w:r>
    </w:p>
    <w:tbl>
      <w:tblPr>
        <w:tblStyle w:val="12"/>
        <w:tblW w:w="12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013"/>
        <w:gridCol w:w="1467"/>
        <w:gridCol w:w="1622"/>
        <w:gridCol w:w="1225"/>
        <w:gridCol w:w="1000"/>
        <w:gridCol w:w="1240"/>
        <w:gridCol w:w="960"/>
        <w:gridCol w:w="93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47" w:type="dxa"/>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vertAlign w:val="baseline"/>
                <w:lang w:eastAsia="zh-CN"/>
              </w:rPr>
            </w:pPr>
          </w:p>
          <w:p>
            <w:pPr>
              <w:pStyle w:val="18"/>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序号</w:t>
            </w:r>
          </w:p>
        </w:tc>
        <w:tc>
          <w:tcPr>
            <w:tcW w:w="1013" w:type="dxa"/>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both"/>
              <w:rPr>
                <w:rFonts w:hint="eastAsia" w:ascii="宋体" w:hAnsi="宋体" w:eastAsia="宋体" w:cs="宋体"/>
                <w:b w:val="0"/>
                <w:bCs w:val="0"/>
                <w:color w:val="auto"/>
                <w:sz w:val="24"/>
                <w:szCs w:val="24"/>
                <w:highlight w:val="none"/>
                <w:lang w:val="en-US" w:eastAsia="zh-CN"/>
              </w:rPr>
            </w:pPr>
          </w:p>
          <w:p>
            <w:pPr>
              <w:pStyle w:val="18"/>
              <w:keepNext w:val="0"/>
              <w:keepLines w:val="0"/>
              <w:pageBreakBefore w:val="0"/>
              <w:widowControl w:val="0"/>
              <w:numPr>
                <w:ilvl w:val="0"/>
                <w:numId w:val="0"/>
              </w:numPr>
              <w:kinsoku/>
              <w:wordWrap/>
              <w:overflowPunct/>
              <w:topLinePunct w:val="0"/>
              <w:autoSpaceDE w:val="0"/>
              <w:autoSpaceDN w:val="0"/>
              <w:bidi w:val="0"/>
              <w:adjustRightInd w:val="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名称</w:t>
            </w:r>
          </w:p>
        </w:tc>
        <w:tc>
          <w:tcPr>
            <w:tcW w:w="1467" w:type="dxa"/>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both"/>
              <w:rPr>
                <w:rFonts w:hint="eastAsia" w:ascii="宋体" w:hAnsi="宋体" w:eastAsia="宋体" w:cs="宋体"/>
                <w:b w:val="0"/>
                <w:bCs w:val="0"/>
                <w:color w:val="auto"/>
                <w:sz w:val="24"/>
                <w:szCs w:val="24"/>
                <w:highlight w:val="none"/>
                <w:lang w:val="en-US" w:eastAsia="zh-CN"/>
              </w:rPr>
            </w:pPr>
          </w:p>
          <w:p>
            <w:pPr>
              <w:pStyle w:val="18"/>
              <w:keepNext w:val="0"/>
              <w:keepLines w:val="0"/>
              <w:pageBreakBefore w:val="0"/>
              <w:widowControl w:val="0"/>
              <w:numPr>
                <w:ilvl w:val="0"/>
                <w:numId w:val="0"/>
              </w:numPr>
              <w:kinsoku/>
              <w:wordWrap/>
              <w:overflowPunct/>
              <w:topLinePunct w:val="0"/>
              <w:autoSpaceDE w:val="0"/>
              <w:autoSpaceDN w:val="0"/>
              <w:bidi w:val="0"/>
              <w:adjustRightInd w:val="0"/>
              <w:jc w:val="both"/>
              <w:rPr>
                <w:rFonts w:hint="eastAsia" w:ascii="宋体" w:hAnsi="宋体" w:eastAsia="宋体" w:cs="宋体"/>
                <w:b w:val="0"/>
                <w:bCs w:val="0"/>
                <w:color w:val="auto"/>
                <w:sz w:val="24"/>
                <w:szCs w:val="24"/>
                <w:highlight w:val="none"/>
                <w:vertAlign w:val="baseline"/>
                <w:lang w:val="en-US"/>
              </w:rPr>
            </w:pPr>
            <w:r>
              <w:rPr>
                <w:rFonts w:hint="eastAsia" w:ascii="宋体" w:hAnsi="宋体" w:eastAsia="宋体" w:cs="宋体"/>
                <w:b w:val="0"/>
                <w:bCs w:val="0"/>
                <w:color w:val="auto"/>
                <w:sz w:val="24"/>
                <w:szCs w:val="24"/>
                <w:highlight w:val="none"/>
                <w:lang w:val="en-US" w:eastAsia="zh-CN"/>
              </w:rPr>
              <w:t>硫含量/%(S)</w:t>
            </w:r>
          </w:p>
        </w:tc>
        <w:tc>
          <w:tcPr>
            <w:tcW w:w="1622" w:type="dxa"/>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both"/>
              <w:rPr>
                <w:rFonts w:hint="eastAsia" w:ascii="宋体" w:hAnsi="宋体" w:eastAsia="宋体" w:cs="宋体"/>
                <w:b w:val="0"/>
                <w:bCs w:val="0"/>
                <w:color w:val="auto"/>
                <w:sz w:val="24"/>
                <w:szCs w:val="24"/>
                <w:highlight w:val="none"/>
                <w:lang w:val="en-US" w:eastAsia="zh-CN"/>
              </w:rPr>
            </w:pPr>
          </w:p>
          <w:p>
            <w:pPr>
              <w:pStyle w:val="18"/>
              <w:keepNext w:val="0"/>
              <w:keepLines w:val="0"/>
              <w:pageBreakBefore w:val="0"/>
              <w:widowControl w:val="0"/>
              <w:numPr>
                <w:ilvl w:val="0"/>
                <w:numId w:val="0"/>
              </w:numPr>
              <w:kinsoku/>
              <w:wordWrap/>
              <w:overflowPunct/>
              <w:topLinePunct w:val="0"/>
              <w:autoSpaceDE w:val="0"/>
              <w:autoSpaceDN w:val="0"/>
              <w:bidi w:val="0"/>
              <w:adjustRightInd w:val="0"/>
              <w:jc w:val="both"/>
              <w:rPr>
                <w:rFonts w:hint="eastAsia" w:ascii="宋体" w:hAnsi="宋体" w:eastAsia="宋体" w:cs="宋体"/>
                <w:b w:val="0"/>
                <w:bCs w:val="0"/>
                <w:color w:val="auto"/>
                <w:sz w:val="24"/>
                <w:szCs w:val="24"/>
                <w:highlight w:val="none"/>
                <w:vertAlign w:val="baseline"/>
                <w:lang w:val="en-US"/>
              </w:rPr>
            </w:pPr>
            <w:r>
              <w:rPr>
                <w:rFonts w:hint="eastAsia" w:ascii="宋体" w:hAnsi="宋体" w:eastAsia="宋体" w:cs="宋体"/>
                <w:b w:val="0"/>
                <w:bCs w:val="0"/>
                <w:color w:val="auto"/>
                <w:sz w:val="24"/>
                <w:szCs w:val="24"/>
                <w:highlight w:val="none"/>
                <w:lang w:val="en-US" w:eastAsia="zh-CN"/>
              </w:rPr>
              <w:t>挥发分/%(V)</w:t>
            </w:r>
          </w:p>
        </w:tc>
        <w:tc>
          <w:tcPr>
            <w:tcW w:w="1225" w:type="dxa"/>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both"/>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rPr>
              <w:t>微量元素钒含量/ppm</w:t>
            </w:r>
          </w:p>
        </w:tc>
        <w:tc>
          <w:tcPr>
            <w:tcW w:w="1000" w:type="dxa"/>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both"/>
              <w:rPr>
                <w:rFonts w:hint="eastAsia" w:ascii="宋体" w:hAnsi="宋体" w:eastAsia="宋体" w:cs="宋体"/>
                <w:b w:val="0"/>
                <w:bCs w:val="0"/>
                <w:color w:val="auto"/>
                <w:sz w:val="24"/>
                <w:szCs w:val="24"/>
                <w:highlight w:val="none"/>
                <w:vertAlign w:val="baseline"/>
                <w:lang w:val="en-US"/>
              </w:rPr>
            </w:pPr>
            <w:r>
              <w:rPr>
                <w:rFonts w:hint="eastAsia" w:ascii="宋体" w:hAnsi="宋体" w:eastAsia="宋体" w:cs="宋体"/>
                <w:b w:val="0"/>
                <w:bCs w:val="0"/>
                <w:color w:val="auto"/>
                <w:sz w:val="24"/>
                <w:szCs w:val="24"/>
                <w:highlight w:val="none"/>
                <w:lang w:val="en-US" w:eastAsia="zh-CN"/>
              </w:rPr>
              <w:t>灰分/%(A)</w:t>
            </w:r>
          </w:p>
        </w:tc>
        <w:tc>
          <w:tcPr>
            <w:tcW w:w="1240" w:type="dxa"/>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both"/>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rPr>
              <w:t>粉焦量</w:t>
            </w:r>
            <w:r>
              <w:rPr>
                <w:rFonts w:hint="eastAsia" w:ascii="宋体" w:hAnsi="宋体" w:eastAsia="宋体" w:cs="宋体"/>
                <w:b w:val="0"/>
                <w:bCs w:val="0"/>
                <w:i w:val="0"/>
                <w:iCs w:val="0"/>
                <w:color w:val="auto"/>
                <w:kern w:val="0"/>
                <w:sz w:val="24"/>
                <w:szCs w:val="24"/>
                <w:highlight w:val="none"/>
                <w:u w:val="none"/>
                <w:lang w:val="en-US" w:eastAsia="zh-CN" w:bidi="ar"/>
              </w:rPr>
              <w:t>（&lt;8mm）</w:t>
            </w:r>
            <w:r>
              <w:rPr>
                <w:rFonts w:hint="eastAsia" w:ascii="宋体" w:hAnsi="宋体" w:eastAsia="宋体" w:cs="宋体"/>
                <w:b w:val="0"/>
                <w:bCs w:val="0"/>
                <w:color w:val="auto"/>
                <w:sz w:val="24"/>
                <w:szCs w:val="24"/>
                <w:highlight w:val="none"/>
                <w:lang w:val="en-US" w:eastAsia="zh-CN"/>
              </w:rPr>
              <w:t>/%</w:t>
            </w:r>
          </w:p>
        </w:tc>
        <w:tc>
          <w:tcPr>
            <w:tcW w:w="960" w:type="dxa"/>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both"/>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rPr>
              <w:t>水分/%</w:t>
            </w:r>
          </w:p>
        </w:tc>
        <w:tc>
          <w:tcPr>
            <w:tcW w:w="930" w:type="dxa"/>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铁含量/ppm</w:t>
            </w:r>
          </w:p>
        </w:tc>
        <w:tc>
          <w:tcPr>
            <w:tcW w:w="980" w:type="dxa"/>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硅、钠含量/ppm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7" w:type="dxa"/>
            <w:vMerge w:val="restart"/>
            <w:vAlign w:val="center"/>
          </w:tcPr>
          <w:p>
            <w:pPr>
              <w:pStyle w:val="18"/>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1013"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石油焦</w:t>
            </w:r>
          </w:p>
        </w:tc>
        <w:tc>
          <w:tcPr>
            <w:tcW w:w="1467" w:type="dxa"/>
            <w:vMerge w:val="restart"/>
            <w:vAlign w:val="center"/>
          </w:tcPr>
          <w:p>
            <w:pPr>
              <w:keepNext w:val="0"/>
              <w:keepLines w:val="0"/>
              <w:pageBreakBefore w:val="0"/>
              <w:widowControl w:val="0"/>
              <w:numPr>
                <w:ilvl w:val="0"/>
                <w:numId w:val="0"/>
              </w:numPr>
              <w:tabs>
                <w:tab w:val="left" w:pos="584"/>
              </w:tabs>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bCs/>
                <w:color w:val="auto"/>
                <w:kern w:val="10"/>
                <w:sz w:val="21"/>
                <w:szCs w:val="21"/>
                <w:highlight w:val="none"/>
                <w:lang w:val="en-US" w:eastAsia="zh-CN" w:bidi="ar-SA"/>
              </w:rPr>
              <w:t>s≤4</w:t>
            </w:r>
          </w:p>
        </w:tc>
        <w:tc>
          <w:tcPr>
            <w:tcW w:w="1622"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V≤10.0</w:t>
            </w:r>
          </w:p>
        </w:tc>
        <w:tc>
          <w:tcPr>
            <w:tcW w:w="1225"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val="0"/>
              <w:ind w:left="0" w:leftChars="0" w:firstLine="0" w:firstLineChars="0"/>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bidi="ar-SA"/>
              </w:rPr>
              <w:t>≤900</w:t>
            </w:r>
          </w:p>
        </w:tc>
        <w:tc>
          <w:tcPr>
            <w:tcW w:w="1000"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bidi="ar-SA"/>
              </w:rPr>
              <w:t>≤0.50</w:t>
            </w:r>
          </w:p>
        </w:tc>
        <w:tc>
          <w:tcPr>
            <w:tcW w:w="1240"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vertAlign w:val="baseline"/>
                <w:lang w:val="en-US"/>
              </w:rPr>
            </w:pPr>
            <w:r>
              <w:rPr>
                <w:rFonts w:hint="eastAsia" w:ascii="宋体" w:hAnsi="宋体" w:eastAsia="宋体" w:cs="宋体"/>
                <w:b w:val="0"/>
                <w:bCs w:val="0"/>
                <w:color w:val="auto"/>
                <w:sz w:val="24"/>
                <w:szCs w:val="24"/>
                <w:highlight w:val="none"/>
                <w:lang w:val="en-US" w:eastAsia="zh-CN" w:bidi="ar-SA"/>
              </w:rPr>
              <w:t>≤55</w:t>
            </w:r>
          </w:p>
        </w:tc>
        <w:tc>
          <w:tcPr>
            <w:tcW w:w="960"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lang w:val="en-US" w:eastAsia="zh-CN" w:bidi="ar-SA"/>
              </w:rPr>
              <w:t>≤8.0</w:t>
            </w:r>
          </w:p>
        </w:tc>
        <w:tc>
          <w:tcPr>
            <w:tcW w:w="930"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≤400</w:t>
            </w:r>
          </w:p>
        </w:tc>
        <w:tc>
          <w:tcPr>
            <w:tcW w:w="980" w:type="dxa"/>
            <w:vMerge w:val="restart"/>
            <w:vAlign w:val="center"/>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7" w:type="dxa"/>
            <w:vMerge w:val="continue"/>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vertAlign w:val="baseline"/>
                <w:lang w:val="en-US" w:eastAsia="zh-CN"/>
              </w:rPr>
            </w:pPr>
          </w:p>
        </w:tc>
        <w:tc>
          <w:tcPr>
            <w:tcW w:w="1013"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宋体" w:hAnsi="宋体" w:eastAsia="宋体" w:cs="宋体"/>
                <w:b w:val="0"/>
                <w:bCs w:val="0"/>
                <w:color w:val="auto"/>
                <w:sz w:val="24"/>
                <w:szCs w:val="24"/>
                <w:highlight w:val="none"/>
                <w:lang w:val="en-US" w:eastAsia="zh-CN" w:bidi="ar-SA"/>
              </w:rPr>
            </w:pPr>
          </w:p>
        </w:tc>
        <w:tc>
          <w:tcPr>
            <w:tcW w:w="1467" w:type="dxa"/>
            <w:vMerge w:val="continue"/>
            <w:vAlign w:val="top"/>
          </w:tcPr>
          <w:p>
            <w:pPr>
              <w:keepNext w:val="0"/>
              <w:keepLines w:val="0"/>
              <w:pageBreakBefore w:val="0"/>
              <w:widowControl w:val="0"/>
              <w:numPr>
                <w:ilvl w:val="0"/>
                <w:numId w:val="0"/>
              </w:numPr>
              <w:tabs>
                <w:tab w:val="left" w:pos="584"/>
              </w:tabs>
              <w:kinsoku/>
              <w:wordWrap/>
              <w:overflowPunct/>
              <w:topLinePunct w:val="0"/>
              <w:autoSpaceDE w:val="0"/>
              <w:autoSpaceDN w:val="0"/>
              <w:bidi w:val="0"/>
              <w:adjustRightInd w:val="0"/>
              <w:jc w:val="center"/>
              <w:rPr>
                <w:rFonts w:hint="eastAsia" w:ascii="宋体" w:hAnsi="宋体" w:eastAsia="宋体" w:cs="宋体"/>
                <w:b/>
                <w:bCs/>
                <w:color w:val="auto"/>
                <w:kern w:val="10"/>
                <w:sz w:val="21"/>
                <w:szCs w:val="21"/>
                <w:highlight w:val="none"/>
                <w:lang w:val="en-US" w:eastAsia="zh-CN" w:bidi="ar-SA"/>
              </w:rPr>
            </w:pPr>
          </w:p>
        </w:tc>
        <w:tc>
          <w:tcPr>
            <w:tcW w:w="1622"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1225"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ind w:left="0" w:leftChars="0" w:firstLine="0" w:firstLineChars="0"/>
              <w:jc w:val="center"/>
              <w:rPr>
                <w:rFonts w:hint="eastAsia" w:ascii="宋体" w:hAnsi="宋体" w:eastAsia="宋体" w:cs="宋体"/>
                <w:b w:val="0"/>
                <w:bCs w:val="0"/>
                <w:color w:val="auto"/>
                <w:sz w:val="24"/>
                <w:szCs w:val="24"/>
                <w:highlight w:val="none"/>
                <w:lang w:val="en-US" w:eastAsia="zh-CN" w:bidi="ar-SA"/>
              </w:rPr>
            </w:pPr>
          </w:p>
        </w:tc>
        <w:tc>
          <w:tcPr>
            <w:tcW w:w="100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124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6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3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8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7" w:type="dxa"/>
            <w:vMerge w:val="continue"/>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vertAlign w:val="baseline"/>
                <w:lang w:val="en-US" w:eastAsia="zh-CN"/>
              </w:rPr>
            </w:pPr>
          </w:p>
        </w:tc>
        <w:tc>
          <w:tcPr>
            <w:tcW w:w="1013"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宋体" w:hAnsi="宋体" w:eastAsia="宋体" w:cs="宋体"/>
                <w:b w:val="0"/>
                <w:bCs w:val="0"/>
                <w:color w:val="auto"/>
                <w:sz w:val="24"/>
                <w:szCs w:val="24"/>
                <w:highlight w:val="none"/>
                <w:lang w:val="en-US" w:eastAsia="zh-CN" w:bidi="ar-SA"/>
              </w:rPr>
            </w:pPr>
          </w:p>
        </w:tc>
        <w:tc>
          <w:tcPr>
            <w:tcW w:w="1467" w:type="dxa"/>
            <w:vMerge w:val="continue"/>
            <w:vAlign w:val="top"/>
          </w:tcPr>
          <w:p>
            <w:pPr>
              <w:keepNext w:val="0"/>
              <w:keepLines w:val="0"/>
              <w:pageBreakBefore w:val="0"/>
              <w:widowControl w:val="0"/>
              <w:numPr>
                <w:ilvl w:val="0"/>
                <w:numId w:val="0"/>
              </w:numPr>
              <w:tabs>
                <w:tab w:val="left" w:pos="584"/>
              </w:tabs>
              <w:kinsoku/>
              <w:wordWrap/>
              <w:overflowPunct/>
              <w:topLinePunct w:val="0"/>
              <w:autoSpaceDE w:val="0"/>
              <w:autoSpaceDN w:val="0"/>
              <w:bidi w:val="0"/>
              <w:adjustRightInd w:val="0"/>
              <w:jc w:val="center"/>
              <w:rPr>
                <w:rFonts w:hint="eastAsia" w:ascii="宋体" w:hAnsi="宋体" w:eastAsia="宋体" w:cs="宋体"/>
                <w:b/>
                <w:bCs/>
                <w:color w:val="auto"/>
                <w:kern w:val="10"/>
                <w:sz w:val="21"/>
                <w:szCs w:val="21"/>
                <w:highlight w:val="none"/>
                <w:lang w:val="en-US" w:eastAsia="zh-CN" w:bidi="ar-SA"/>
              </w:rPr>
            </w:pPr>
          </w:p>
        </w:tc>
        <w:tc>
          <w:tcPr>
            <w:tcW w:w="1622"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1225"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ind w:left="0" w:leftChars="0" w:firstLine="0" w:firstLineChars="0"/>
              <w:jc w:val="center"/>
              <w:rPr>
                <w:rFonts w:hint="eastAsia" w:ascii="宋体" w:hAnsi="宋体" w:eastAsia="宋体" w:cs="宋体"/>
                <w:b w:val="0"/>
                <w:bCs w:val="0"/>
                <w:color w:val="auto"/>
                <w:sz w:val="24"/>
                <w:szCs w:val="24"/>
                <w:highlight w:val="none"/>
                <w:lang w:val="en-US" w:eastAsia="zh-CN" w:bidi="ar-SA"/>
              </w:rPr>
            </w:pPr>
          </w:p>
        </w:tc>
        <w:tc>
          <w:tcPr>
            <w:tcW w:w="100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124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6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3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8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7" w:type="dxa"/>
            <w:vMerge w:val="continue"/>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vertAlign w:val="baseline"/>
                <w:lang w:val="en-US" w:eastAsia="zh-CN"/>
              </w:rPr>
            </w:pPr>
          </w:p>
        </w:tc>
        <w:tc>
          <w:tcPr>
            <w:tcW w:w="1013"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宋体" w:hAnsi="宋体" w:eastAsia="宋体" w:cs="宋体"/>
                <w:b w:val="0"/>
                <w:bCs w:val="0"/>
                <w:color w:val="auto"/>
                <w:sz w:val="24"/>
                <w:szCs w:val="24"/>
                <w:highlight w:val="none"/>
                <w:lang w:val="en-US" w:eastAsia="zh-CN" w:bidi="ar-SA"/>
              </w:rPr>
            </w:pPr>
          </w:p>
        </w:tc>
        <w:tc>
          <w:tcPr>
            <w:tcW w:w="1467" w:type="dxa"/>
            <w:vMerge w:val="continue"/>
            <w:vAlign w:val="top"/>
          </w:tcPr>
          <w:p>
            <w:pPr>
              <w:keepNext w:val="0"/>
              <w:keepLines w:val="0"/>
              <w:pageBreakBefore w:val="0"/>
              <w:widowControl w:val="0"/>
              <w:numPr>
                <w:ilvl w:val="0"/>
                <w:numId w:val="0"/>
              </w:numPr>
              <w:tabs>
                <w:tab w:val="left" w:pos="584"/>
              </w:tabs>
              <w:kinsoku/>
              <w:wordWrap/>
              <w:overflowPunct/>
              <w:topLinePunct w:val="0"/>
              <w:autoSpaceDE w:val="0"/>
              <w:autoSpaceDN w:val="0"/>
              <w:bidi w:val="0"/>
              <w:adjustRightInd w:val="0"/>
              <w:jc w:val="center"/>
              <w:rPr>
                <w:rFonts w:hint="eastAsia" w:ascii="宋体" w:hAnsi="宋体" w:eastAsia="宋体" w:cs="宋体"/>
                <w:b/>
                <w:bCs/>
                <w:color w:val="auto"/>
                <w:kern w:val="10"/>
                <w:sz w:val="21"/>
                <w:szCs w:val="21"/>
                <w:highlight w:val="none"/>
                <w:lang w:val="en-US" w:eastAsia="zh-CN" w:bidi="ar-SA"/>
              </w:rPr>
            </w:pPr>
          </w:p>
        </w:tc>
        <w:tc>
          <w:tcPr>
            <w:tcW w:w="1622"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1225"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ind w:left="0" w:leftChars="0" w:firstLine="0" w:firstLineChars="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≤600</w:t>
            </w:r>
          </w:p>
        </w:tc>
        <w:tc>
          <w:tcPr>
            <w:tcW w:w="100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124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6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3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8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7" w:type="dxa"/>
            <w:vMerge w:val="continue"/>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vertAlign w:val="baseline"/>
                <w:lang w:val="en-US" w:eastAsia="zh-CN"/>
              </w:rPr>
            </w:pPr>
          </w:p>
        </w:tc>
        <w:tc>
          <w:tcPr>
            <w:tcW w:w="1013"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宋体" w:hAnsi="宋体" w:eastAsia="宋体" w:cs="宋体"/>
                <w:b w:val="0"/>
                <w:bCs w:val="0"/>
                <w:color w:val="auto"/>
                <w:sz w:val="24"/>
                <w:szCs w:val="24"/>
                <w:highlight w:val="none"/>
                <w:lang w:val="en-US" w:eastAsia="zh-CN" w:bidi="ar-SA"/>
              </w:rPr>
            </w:pPr>
          </w:p>
        </w:tc>
        <w:tc>
          <w:tcPr>
            <w:tcW w:w="1467" w:type="dxa"/>
            <w:vMerge w:val="continue"/>
            <w:vAlign w:val="top"/>
          </w:tcPr>
          <w:p>
            <w:pPr>
              <w:keepNext w:val="0"/>
              <w:keepLines w:val="0"/>
              <w:pageBreakBefore w:val="0"/>
              <w:widowControl w:val="0"/>
              <w:numPr>
                <w:ilvl w:val="0"/>
                <w:numId w:val="0"/>
              </w:numPr>
              <w:tabs>
                <w:tab w:val="left" w:pos="584"/>
              </w:tabs>
              <w:kinsoku/>
              <w:wordWrap/>
              <w:overflowPunct/>
              <w:topLinePunct w:val="0"/>
              <w:autoSpaceDE w:val="0"/>
              <w:autoSpaceDN w:val="0"/>
              <w:bidi w:val="0"/>
              <w:adjustRightInd w:val="0"/>
              <w:jc w:val="center"/>
              <w:rPr>
                <w:rFonts w:hint="eastAsia" w:ascii="宋体" w:hAnsi="宋体" w:eastAsia="宋体" w:cs="宋体"/>
                <w:b/>
                <w:bCs/>
                <w:color w:val="auto"/>
                <w:kern w:val="10"/>
                <w:sz w:val="21"/>
                <w:szCs w:val="21"/>
                <w:highlight w:val="none"/>
                <w:lang w:val="en-US" w:eastAsia="zh-CN" w:bidi="ar-SA"/>
              </w:rPr>
            </w:pPr>
          </w:p>
        </w:tc>
        <w:tc>
          <w:tcPr>
            <w:tcW w:w="1622"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1225"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ind w:left="0" w:leftChars="0" w:firstLine="0" w:firstLineChars="0"/>
              <w:jc w:val="center"/>
              <w:rPr>
                <w:rFonts w:hint="eastAsia" w:ascii="宋体" w:hAnsi="宋体" w:eastAsia="宋体" w:cs="宋体"/>
                <w:b w:val="0"/>
                <w:bCs w:val="0"/>
                <w:color w:val="auto"/>
                <w:sz w:val="24"/>
                <w:szCs w:val="24"/>
                <w:highlight w:val="none"/>
                <w:lang w:val="en-US" w:eastAsia="zh-CN" w:bidi="ar-SA"/>
              </w:rPr>
            </w:pPr>
          </w:p>
        </w:tc>
        <w:tc>
          <w:tcPr>
            <w:tcW w:w="100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124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6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3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8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7" w:type="dxa"/>
            <w:vMerge w:val="continue"/>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vertAlign w:val="baseline"/>
                <w:lang w:val="en-US" w:eastAsia="zh-CN"/>
              </w:rPr>
            </w:pPr>
          </w:p>
        </w:tc>
        <w:tc>
          <w:tcPr>
            <w:tcW w:w="1013"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宋体" w:hAnsi="宋体" w:eastAsia="宋体" w:cs="宋体"/>
                <w:b w:val="0"/>
                <w:bCs w:val="0"/>
                <w:color w:val="auto"/>
                <w:sz w:val="24"/>
                <w:szCs w:val="24"/>
                <w:highlight w:val="none"/>
                <w:lang w:val="en-US" w:eastAsia="zh-CN" w:bidi="ar-SA"/>
              </w:rPr>
            </w:pPr>
          </w:p>
        </w:tc>
        <w:tc>
          <w:tcPr>
            <w:tcW w:w="1467" w:type="dxa"/>
            <w:vMerge w:val="continue"/>
            <w:vAlign w:val="top"/>
          </w:tcPr>
          <w:p>
            <w:pPr>
              <w:keepNext w:val="0"/>
              <w:keepLines w:val="0"/>
              <w:pageBreakBefore w:val="0"/>
              <w:widowControl w:val="0"/>
              <w:numPr>
                <w:ilvl w:val="0"/>
                <w:numId w:val="0"/>
              </w:numPr>
              <w:tabs>
                <w:tab w:val="left" w:pos="584"/>
              </w:tabs>
              <w:kinsoku/>
              <w:wordWrap/>
              <w:overflowPunct/>
              <w:topLinePunct w:val="0"/>
              <w:autoSpaceDE w:val="0"/>
              <w:autoSpaceDN w:val="0"/>
              <w:bidi w:val="0"/>
              <w:adjustRightInd w:val="0"/>
              <w:jc w:val="center"/>
              <w:rPr>
                <w:rFonts w:hint="eastAsia" w:ascii="宋体" w:hAnsi="宋体" w:eastAsia="宋体" w:cs="宋体"/>
                <w:b/>
                <w:bCs/>
                <w:color w:val="auto"/>
                <w:kern w:val="10"/>
                <w:sz w:val="21"/>
                <w:szCs w:val="21"/>
                <w:highlight w:val="none"/>
                <w:lang w:val="en-US" w:eastAsia="zh-CN" w:bidi="ar-SA"/>
              </w:rPr>
            </w:pPr>
          </w:p>
        </w:tc>
        <w:tc>
          <w:tcPr>
            <w:tcW w:w="1622"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1225"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ind w:left="0" w:leftChars="0" w:firstLine="0" w:firstLineChars="0"/>
              <w:jc w:val="center"/>
              <w:rPr>
                <w:rFonts w:hint="eastAsia" w:ascii="宋体" w:hAnsi="宋体" w:eastAsia="宋体" w:cs="宋体"/>
                <w:b w:val="0"/>
                <w:bCs w:val="0"/>
                <w:color w:val="auto"/>
                <w:sz w:val="24"/>
                <w:szCs w:val="24"/>
                <w:highlight w:val="none"/>
                <w:lang w:val="en-US" w:eastAsia="zh-CN" w:bidi="ar-SA"/>
              </w:rPr>
            </w:pPr>
          </w:p>
        </w:tc>
        <w:tc>
          <w:tcPr>
            <w:tcW w:w="100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124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6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3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8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7" w:type="dxa"/>
            <w:vMerge w:val="continue"/>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vertAlign w:val="baseline"/>
                <w:lang w:val="en-US" w:eastAsia="zh-CN"/>
              </w:rPr>
            </w:pPr>
          </w:p>
        </w:tc>
        <w:tc>
          <w:tcPr>
            <w:tcW w:w="1013"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宋体" w:hAnsi="宋体" w:eastAsia="宋体" w:cs="宋体"/>
                <w:b w:val="0"/>
                <w:bCs w:val="0"/>
                <w:color w:val="auto"/>
                <w:sz w:val="24"/>
                <w:szCs w:val="24"/>
                <w:highlight w:val="none"/>
                <w:lang w:val="en-US" w:eastAsia="zh-CN" w:bidi="ar-SA"/>
              </w:rPr>
            </w:pPr>
          </w:p>
        </w:tc>
        <w:tc>
          <w:tcPr>
            <w:tcW w:w="1467" w:type="dxa"/>
            <w:vMerge w:val="continue"/>
            <w:vAlign w:val="top"/>
          </w:tcPr>
          <w:p>
            <w:pPr>
              <w:keepNext w:val="0"/>
              <w:keepLines w:val="0"/>
              <w:pageBreakBefore w:val="0"/>
              <w:widowControl w:val="0"/>
              <w:numPr>
                <w:ilvl w:val="0"/>
                <w:numId w:val="0"/>
              </w:numPr>
              <w:tabs>
                <w:tab w:val="left" w:pos="584"/>
              </w:tabs>
              <w:kinsoku/>
              <w:wordWrap/>
              <w:overflowPunct/>
              <w:topLinePunct w:val="0"/>
              <w:autoSpaceDE w:val="0"/>
              <w:autoSpaceDN w:val="0"/>
              <w:bidi w:val="0"/>
              <w:adjustRightInd w:val="0"/>
              <w:jc w:val="center"/>
              <w:rPr>
                <w:rFonts w:hint="eastAsia" w:ascii="宋体" w:hAnsi="宋体" w:eastAsia="宋体" w:cs="宋体"/>
                <w:b/>
                <w:bCs/>
                <w:color w:val="auto"/>
                <w:kern w:val="10"/>
                <w:sz w:val="21"/>
                <w:szCs w:val="21"/>
                <w:highlight w:val="none"/>
                <w:lang w:val="en-US" w:eastAsia="zh-CN" w:bidi="ar-SA"/>
              </w:rPr>
            </w:pPr>
          </w:p>
        </w:tc>
        <w:tc>
          <w:tcPr>
            <w:tcW w:w="1622"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1225"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ind w:left="0" w:leftChars="0" w:firstLine="0" w:firstLineChars="0"/>
              <w:jc w:val="center"/>
              <w:rPr>
                <w:rFonts w:hint="eastAsia" w:ascii="宋体" w:hAnsi="宋体" w:eastAsia="宋体" w:cs="宋体"/>
                <w:b w:val="0"/>
                <w:bCs w:val="0"/>
                <w:color w:val="auto"/>
                <w:sz w:val="24"/>
                <w:szCs w:val="24"/>
                <w:highlight w:val="none"/>
                <w:lang w:val="en-US" w:eastAsia="zh-CN" w:bidi="ar-SA"/>
              </w:rPr>
            </w:pPr>
          </w:p>
        </w:tc>
        <w:tc>
          <w:tcPr>
            <w:tcW w:w="100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124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6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3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8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7" w:type="dxa"/>
            <w:vMerge w:val="continue"/>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vertAlign w:val="baseline"/>
                <w:lang w:val="en-US" w:eastAsia="zh-CN"/>
              </w:rPr>
            </w:pPr>
          </w:p>
        </w:tc>
        <w:tc>
          <w:tcPr>
            <w:tcW w:w="1013"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宋体" w:hAnsi="宋体" w:eastAsia="宋体" w:cs="宋体"/>
                <w:b w:val="0"/>
                <w:bCs w:val="0"/>
                <w:color w:val="auto"/>
                <w:sz w:val="24"/>
                <w:szCs w:val="24"/>
                <w:highlight w:val="none"/>
                <w:lang w:val="en-US" w:eastAsia="zh-CN" w:bidi="ar-SA"/>
              </w:rPr>
            </w:pPr>
          </w:p>
        </w:tc>
        <w:tc>
          <w:tcPr>
            <w:tcW w:w="1467" w:type="dxa"/>
            <w:vMerge w:val="continue"/>
            <w:vAlign w:val="top"/>
          </w:tcPr>
          <w:p>
            <w:pPr>
              <w:keepNext w:val="0"/>
              <w:keepLines w:val="0"/>
              <w:pageBreakBefore w:val="0"/>
              <w:widowControl w:val="0"/>
              <w:numPr>
                <w:ilvl w:val="0"/>
                <w:numId w:val="0"/>
              </w:numPr>
              <w:tabs>
                <w:tab w:val="left" w:pos="584"/>
              </w:tabs>
              <w:kinsoku/>
              <w:wordWrap/>
              <w:overflowPunct/>
              <w:topLinePunct w:val="0"/>
              <w:autoSpaceDE w:val="0"/>
              <w:autoSpaceDN w:val="0"/>
              <w:bidi w:val="0"/>
              <w:adjustRightInd w:val="0"/>
              <w:jc w:val="center"/>
              <w:rPr>
                <w:rFonts w:hint="eastAsia" w:ascii="宋体" w:hAnsi="宋体" w:eastAsia="宋体" w:cs="宋体"/>
                <w:b/>
                <w:bCs/>
                <w:color w:val="auto"/>
                <w:kern w:val="10"/>
                <w:sz w:val="21"/>
                <w:szCs w:val="21"/>
                <w:highlight w:val="none"/>
                <w:lang w:val="en-US" w:eastAsia="zh-CN" w:bidi="ar-SA"/>
              </w:rPr>
            </w:pPr>
          </w:p>
        </w:tc>
        <w:tc>
          <w:tcPr>
            <w:tcW w:w="1622"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1225"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ind w:left="0" w:leftChars="0" w:firstLine="0" w:firstLineChars="0"/>
              <w:jc w:val="center"/>
              <w:rPr>
                <w:rFonts w:hint="eastAsia" w:ascii="宋体" w:hAnsi="宋体" w:eastAsia="宋体" w:cs="宋体"/>
                <w:b w:val="0"/>
                <w:bCs w:val="0"/>
                <w:color w:val="auto"/>
                <w:sz w:val="24"/>
                <w:szCs w:val="24"/>
                <w:highlight w:val="none"/>
                <w:lang w:val="en-US" w:eastAsia="zh-CN" w:bidi="ar-SA"/>
              </w:rPr>
            </w:pPr>
          </w:p>
        </w:tc>
        <w:tc>
          <w:tcPr>
            <w:tcW w:w="100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124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6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3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8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7" w:type="dxa"/>
            <w:vMerge w:val="continue"/>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vertAlign w:val="baseline"/>
                <w:lang w:val="en-US" w:eastAsia="zh-CN"/>
              </w:rPr>
            </w:pPr>
          </w:p>
        </w:tc>
        <w:tc>
          <w:tcPr>
            <w:tcW w:w="1013"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宋体" w:hAnsi="宋体" w:eastAsia="宋体" w:cs="宋体"/>
                <w:b w:val="0"/>
                <w:bCs w:val="0"/>
                <w:color w:val="auto"/>
                <w:sz w:val="24"/>
                <w:szCs w:val="24"/>
                <w:highlight w:val="none"/>
                <w:lang w:val="en-US" w:eastAsia="zh-CN" w:bidi="ar-SA"/>
              </w:rPr>
            </w:pPr>
          </w:p>
        </w:tc>
        <w:tc>
          <w:tcPr>
            <w:tcW w:w="1467" w:type="dxa"/>
            <w:vMerge w:val="continue"/>
            <w:vAlign w:val="top"/>
          </w:tcPr>
          <w:p>
            <w:pPr>
              <w:keepNext w:val="0"/>
              <w:keepLines w:val="0"/>
              <w:pageBreakBefore w:val="0"/>
              <w:widowControl w:val="0"/>
              <w:numPr>
                <w:ilvl w:val="0"/>
                <w:numId w:val="0"/>
              </w:numPr>
              <w:tabs>
                <w:tab w:val="left" w:pos="584"/>
              </w:tabs>
              <w:kinsoku/>
              <w:wordWrap/>
              <w:overflowPunct/>
              <w:topLinePunct w:val="0"/>
              <w:autoSpaceDE w:val="0"/>
              <w:autoSpaceDN w:val="0"/>
              <w:bidi w:val="0"/>
              <w:adjustRightInd w:val="0"/>
              <w:jc w:val="center"/>
              <w:rPr>
                <w:rFonts w:hint="eastAsia" w:ascii="宋体" w:hAnsi="宋体" w:eastAsia="宋体" w:cs="宋体"/>
                <w:b/>
                <w:bCs/>
                <w:color w:val="auto"/>
                <w:kern w:val="10"/>
                <w:sz w:val="21"/>
                <w:szCs w:val="21"/>
                <w:highlight w:val="none"/>
                <w:lang w:val="en-US" w:eastAsia="zh-CN" w:bidi="ar-SA"/>
              </w:rPr>
            </w:pPr>
          </w:p>
        </w:tc>
        <w:tc>
          <w:tcPr>
            <w:tcW w:w="1622"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1225"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ind w:left="0" w:leftChars="0" w:firstLine="0" w:firstLineChars="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≤100</w:t>
            </w:r>
          </w:p>
        </w:tc>
        <w:tc>
          <w:tcPr>
            <w:tcW w:w="100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124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6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3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c>
          <w:tcPr>
            <w:tcW w:w="980" w:type="dxa"/>
            <w:vMerge w:val="continue"/>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7" w:type="dxa"/>
            <w:vAlign w:val="top"/>
          </w:tcPr>
          <w:p>
            <w:pPr>
              <w:pStyle w:val="18"/>
              <w:keepNext w:val="0"/>
              <w:keepLines w:val="0"/>
              <w:pageBreakBefore w:val="0"/>
              <w:widowControl w:val="0"/>
              <w:numPr>
                <w:ilvl w:val="0"/>
                <w:numId w:val="0"/>
              </w:numPr>
              <w:kinsoku/>
              <w:wordWrap/>
              <w:overflowPunct/>
              <w:topLinePunct w:val="0"/>
              <w:autoSpaceDE w:val="0"/>
              <w:autoSpaceDN w:val="0"/>
              <w:bidi w:val="0"/>
              <w:adjustRightInd w:val="0"/>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013" w:type="dxa"/>
            <w:vAlign w:val="top"/>
          </w:tcPr>
          <w:p>
            <w:pPr>
              <w:keepNext w:val="0"/>
              <w:keepLines w:val="0"/>
              <w:pageBreakBefore w:val="0"/>
              <w:widowControl w:val="0"/>
              <w:numPr>
                <w:ilvl w:val="0"/>
                <w:numId w:val="0"/>
              </w:numPr>
              <w:kinsoku/>
              <w:wordWrap/>
              <w:overflowPunct/>
              <w:topLinePunct w:val="0"/>
              <w:autoSpaceDE w:val="0"/>
              <w:autoSpaceDN w:val="0"/>
              <w:bidi w:val="0"/>
              <w:adjustRightInd w:val="0"/>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石油焦</w:t>
            </w:r>
          </w:p>
        </w:tc>
        <w:tc>
          <w:tcPr>
            <w:tcW w:w="1467" w:type="dxa"/>
            <w:vAlign w:val="top"/>
          </w:tcPr>
          <w:p>
            <w:pPr>
              <w:keepNext w:val="0"/>
              <w:keepLines w:val="0"/>
              <w:pageBreakBefore w:val="0"/>
              <w:widowControl w:val="0"/>
              <w:numPr>
                <w:ilvl w:val="0"/>
                <w:numId w:val="0"/>
              </w:numPr>
              <w:tabs>
                <w:tab w:val="left" w:pos="584"/>
              </w:tabs>
              <w:kinsoku/>
              <w:wordWrap/>
              <w:overflowPunct/>
              <w:topLinePunct w:val="0"/>
              <w:autoSpaceDE w:val="0"/>
              <w:autoSpaceDN w:val="0"/>
              <w:bidi w:val="0"/>
              <w:adjustRightInd w:val="0"/>
              <w:jc w:val="center"/>
              <w:rPr>
                <w:rFonts w:hint="eastAsia" w:ascii="宋体" w:hAnsi="宋体" w:eastAsia="宋体" w:cs="宋体"/>
                <w:b/>
                <w:bCs/>
                <w:color w:val="auto"/>
                <w:kern w:val="10"/>
                <w:sz w:val="21"/>
                <w:szCs w:val="21"/>
                <w:highlight w:val="none"/>
                <w:lang w:val="en-US" w:eastAsia="zh-CN" w:bidi="ar-SA"/>
              </w:rPr>
            </w:pPr>
            <w:r>
              <w:rPr>
                <w:rFonts w:hint="eastAsia" w:ascii="宋体" w:hAnsi="宋体" w:eastAsia="宋体" w:cs="宋体"/>
                <w:b/>
                <w:bCs/>
                <w:color w:val="auto"/>
                <w:kern w:val="10"/>
                <w:sz w:val="21"/>
                <w:szCs w:val="21"/>
                <w:highlight w:val="none"/>
                <w:lang w:val="en-US" w:eastAsia="zh-CN" w:bidi="ar-SA"/>
              </w:rPr>
              <w:t>s≤5</w:t>
            </w:r>
          </w:p>
        </w:tc>
        <w:tc>
          <w:tcPr>
            <w:tcW w:w="1622" w:type="dxa"/>
            <w:vAlign w:val="top"/>
          </w:tcPr>
          <w:p>
            <w:pPr>
              <w:keepNext w:val="0"/>
              <w:keepLines w:val="0"/>
              <w:pageBreakBefore w:val="0"/>
              <w:widowControl w:val="0"/>
              <w:numPr>
                <w:ilvl w:val="0"/>
                <w:numId w:val="0"/>
              </w:numPr>
              <w:kinsoku/>
              <w:wordWrap/>
              <w:overflowPunct/>
              <w:topLinePunct w:val="0"/>
              <w:autoSpaceDE w:val="0"/>
              <w:autoSpaceDN w:val="0"/>
              <w:bidi w:val="0"/>
              <w:adjustRightInd w:val="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V≤10.0</w:t>
            </w:r>
          </w:p>
        </w:tc>
        <w:tc>
          <w:tcPr>
            <w:tcW w:w="1225" w:type="dxa"/>
            <w:vAlign w:val="top"/>
          </w:tcPr>
          <w:p>
            <w:pPr>
              <w:keepNext w:val="0"/>
              <w:keepLines w:val="0"/>
              <w:pageBreakBefore w:val="0"/>
              <w:widowControl w:val="0"/>
              <w:numPr>
                <w:ilvl w:val="0"/>
                <w:numId w:val="0"/>
              </w:numPr>
              <w:kinsoku/>
              <w:wordWrap/>
              <w:overflowPunct/>
              <w:topLinePunct w:val="0"/>
              <w:autoSpaceDE w:val="0"/>
              <w:autoSpaceDN w:val="0"/>
              <w:bidi w:val="0"/>
              <w:adjustRightInd w:val="0"/>
              <w:ind w:left="0" w:leftChars="0" w:firstLine="0" w:firstLineChars="0"/>
              <w:jc w:val="center"/>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≤600</w:t>
            </w:r>
          </w:p>
        </w:tc>
        <w:tc>
          <w:tcPr>
            <w:tcW w:w="100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ind w:left="0" w:leftChars="0" w:firstLine="0" w:firstLine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≤0.50</w:t>
            </w:r>
          </w:p>
        </w:tc>
        <w:tc>
          <w:tcPr>
            <w:tcW w:w="124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ind w:left="0" w:leftChars="0" w:firstLine="0" w:firstLine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≤55</w:t>
            </w:r>
          </w:p>
        </w:tc>
        <w:tc>
          <w:tcPr>
            <w:tcW w:w="96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ind w:left="0" w:leftChars="0" w:firstLine="0" w:firstLineChars="0"/>
              <w:jc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bidi="ar-SA"/>
              </w:rPr>
              <w:t>≤8.0</w:t>
            </w:r>
          </w:p>
        </w:tc>
        <w:tc>
          <w:tcPr>
            <w:tcW w:w="93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≤400</w:t>
            </w:r>
          </w:p>
        </w:tc>
        <w:tc>
          <w:tcPr>
            <w:tcW w:w="98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ind w:left="0" w:leftChars="0" w:firstLine="0" w:firstLine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≤300</w:t>
            </w:r>
          </w:p>
        </w:tc>
      </w:tr>
    </w:tbl>
    <w:p>
      <w:pPr>
        <w:pStyle w:val="20"/>
        <w:keepNext w:val="0"/>
        <w:keepLines w:val="0"/>
        <w:pageBreakBefore w:val="0"/>
        <w:widowControl w:val="0"/>
        <w:kinsoku/>
        <w:wordWrap/>
        <w:overflowPunct/>
        <w:topLinePunct w:val="0"/>
        <w:autoSpaceDE/>
        <w:autoSpaceDN/>
        <w:bidi w:val="0"/>
        <w:adjustRightInd w:val="0"/>
        <w:snapToGrid/>
        <w:ind w:firstLine="420" w:firstLineChars="200"/>
        <w:textAlignment w:val="auto"/>
        <w:rPr>
          <w:rFonts w:hint="eastAsia" w:ascii="宋体" w:hAnsi="宋体" w:eastAsia="宋体" w:cs="宋体"/>
          <w:color w:val="auto"/>
          <w:kern w:val="2"/>
          <w:sz w:val="21"/>
          <w:szCs w:val="21"/>
          <w:highlight w:val="none"/>
          <w:lang w:val="en-US" w:eastAsia="zh-CN"/>
        </w:rPr>
      </w:pPr>
    </w:p>
    <w:p>
      <w:pPr>
        <w:pStyle w:val="2"/>
        <w:tabs>
          <w:tab w:val="left" w:pos="716"/>
        </w:tabs>
        <w:spacing w:before="67"/>
        <w:ind w:lef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.供货时间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交货期：签订合同</w:t>
      </w:r>
      <w:r>
        <w:rPr>
          <w:rFonts w:hint="eastAsia" w:ascii="宋体" w:hAnsi="宋体" w:eastAsia="宋体" w:cs="宋体"/>
          <w:color w:val="auto"/>
          <w:kern w:val="2"/>
          <w:sz w:val="24"/>
          <w:szCs w:val="24"/>
          <w:highlight w:val="none"/>
          <w:lang w:val="en-US" w:eastAsia="zh-CN"/>
        </w:rPr>
        <w:t>后开始交货，</w:t>
      </w:r>
      <w:r>
        <w:rPr>
          <w:rFonts w:hint="eastAsia" w:ascii="宋体" w:hAnsi="宋体" w:eastAsia="宋体" w:cs="宋体"/>
          <w:color w:val="auto"/>
          <w:kern w:val="2"/>
          <w:sz w:val="24"/>
          <w:szCs w:val="24"/>
          <w:highlight w:val="none"/>
          <w:lang w:eastAsia="zh-CN"/>
        </w:rPr>
        <w:t>具体交货时间</w:t>
      </w:r>
      <w:r>
        <w:rPr>
          <w:rFonts w:hint="eastAsia" w:ascii="宋体" w:hAnsi="宋体" w:eastAsia="宋体" w:cs="宋体"/>
          <w:color w:val="auto"/>
          <w:kern w:val="2"/>
          <w:sz w:val="24"/>
          <w:szCs w:val="24"/>
          <w:highlight w:val="none"/>
          <w:lang w:val="en-US" w:eastAsia="zh-CN"/>
        </w:rPr>
        <w:t>由招标方根据现场生产进度情况通知中标方，</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lang w:eastAsia="zh-CN"/>
        </w:rPr>
        <w:t>方发货前应书面通知</w:t>
      </w:r>
      <w:r>
        <w:rPr>
          <w:rFonts w:hint="eastAsia" w:ascii="宋体" w:hAnsi="宋体" w:eastAsia="宋体" w:cs="宋体"/>
          <w:color w:val="auto"/>
          <w:kern w:val="2"/>
          <w:sz w:val="24"/>
          <w:szCs w:val="24"/>
          <w:highlight w:val="none"/>
          <w:lang w:val="en-US" w:eastAsia="zh-CN"/>
        </w:rPr>
        <w:t>招标</w:t>
      </w:r>
      <w:r>
        <w:rPr>
          <w:rFonts w:hint="eastAsia" w:ascii="宋体" w:hAnsi="宋体" w:eastAsia="宋体" w:cs="宋体"/>
          <w:color w:val="auto"/>
          <w:kern w:val="2"/>
          <w:sz w:val="24"/>
          <w:szCs w:val="24"/>
          <w:highlight w:val="none"/>
          <w:lang w:eastAsia="zh-CN"/>
        </w:rPr>
        <w:t>方，经</w:t>
      </w:r>
      <w:r>
        <w:rPr>
          <w:rFonts w:hint="eastAsia" w:ascii="宋体" w:hAnsi="宋体" w:eastAsia="宋体" w:cs="宋体"/>
          <w:color w:val="auto"/>
          <w:kern w:val="2"/>
          <w:sz w:val="24"/>
          <w:szCs w:val="24"/>
          <w:highlight w:val="none"/>
          <w:lang w:val="en-US" w:eastAsia="zh-CN"/>
        </w:rPr>
        <w:t>招标</w:t>
      </w:r>
      <w:r>
        <w:rPr>
          <w:rFonts w:hint="eastAsia" w:ascii="宋体" w:hAnsi="宋体" w:eastAsia="宋体" w:cs="宋体"/>
          <w:color w:val="auto"/>
          <w:kern w:val="2"/>
          <w:sz w:val="24"/>
          <w:szCs w:val="24"/>
          <w:highlight w:val="none"/>
          <w:lang w:eastAsia="zh-CN"/>
        </w:rPr>
        <w:t>方书面确认后方可发货，否则因此造成损失由</w:t>
      </w:r>
      <w:r>
        <w:rPr>
          <w:rFonts w:hint="eastAsia" w:ascii="宋体" w:hAnsi="宋体" w:eastAsia="宋体" w:cs="宋体"/>
          <w:color w:val="auto"/>
          <w:kern w:val="2"/>
          <w:sz w:val="24"/>
          <w:szCs w:val="24"/>
          <w:highlight w:val="none"/>
          <w:lang w:val="en-US" w:eastAsia="zh-CN"/>
        </w:rPr>
        <w:t>中标</w:t>
      </w:r>
      <w:r>
        <w:rPr>
          <w:rFonts w:hint="eastAsia" w:ascii="宋体" w:hAnsi="宋体" w:eastAsia="宋体" w:cs="宋体"/>
          <w:color w:val="auto"/>
          <w:kern w:val="2"/>
          <w:sz w:val="24"/>
          <w:szCs w:val="24"/>
          <w:highlight w:val="none"/>
          <w:lang w:eastAsia="zh-CN"/>
        </w:rPr>
        <w:t>方全部承担）。</w:t>
      </w:r>
    </w:p>
    <w:p>
      <w:pPr>
        <w:pStyle w:val="2"/>
        <w:keepNext w:val="0"/>
        <w:keepLines w:val="0"/>
        <w:pageBreakBefore w:val="0"/>
        <w:widowControl w:val="0"/>
        <w:tabs>
          <w:tab w:val="left" w:pos="716"/>
        </w:tabs>
        <w:kinsoku/>
        <w:wordWrap/>
        <w:overflowPunct/>
        <w:topLinePunct w:val="0"/>
        <w:autoSpaceDE/>
        <w:autoSpaceDN/>
        <w:bidi w:val="0"/>
        <w:adjustRightInd/>
        <w:snapToGrid/>
        <w:spacing w:before="67" w:line="400" w:lineRule="exact"/>
        <w:ind w:left="0" w:firstLine="0"/>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color w:val="auto"/>
          <w:sz w:val="24"/>
          <w:szCs w:val="24"/>
          <w:highlight w:val="none"/>
          <w:lang w:eastAsia="zh-CN"/>
        </w:rPr>
        <w:t>6.定价方式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6.1.1</w:t>
      </w:r>
      <w:r>
        <w:rPr>
          <w:rFonts w:hint="eastAsia" w:ascii="宋体" w:hAnsi="宋体" w:eastAsia="宋体" w:cs="宋体"/>
          <w:b/>
          <w:bCs/>
          <w:color w:val="auto"/>
          <w:sz w:val="24"/>
          <w:szCs w:val="24"/>
          <w:highlight w:val="none"/>
          <w:lang w:val="en-US" w:eastAsia="zh-CN" w:bidi="ar-SA"/>
        </w:rPr>
        <w:t>石油焦结算价格：</w:t>
      </w:r>
      <w:r>
        <w:rPr>
          <w:rFonts w:hint="eastAsia" w:cs="宋体"/>
          <w:b/>
          <w:bCs/>
          <w:color w:val="auto"/>
          <w:sz w:val="24"/>
          <w:szCs w:val="24"/>
          <w:highlight w:val="none"/>
          <w:lang w:val="en-US" w:eastAsia="zh-CN" w:bidi="ar-SA"/>
        </w:rPr>
        <w:t>以招标价作为包干到厂价。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p>
    <w:p>
      <w:pPr>
        <w:pStyle w:val="2"/>
        <w:tabs>
          <w:tab w:val="left" w:pos="716"/>
        </w:tabs>
        <w:spacing w:before="67"/>
        <w:ind w:lef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.付款方式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先货后款，</w:t>
      </w:r>
      <w:r>
        <w:rPr>
          <w:rFonts w:hint="eastAsia" w:ascii="宋体" w:hAnsi="宋体" w:eastAsia="宋体" w:cs="宋体"/>
          <w:color w:val="auto"/>
          <w:kern w:val="2"/>
          <w:sz w:val="24"/>
          <w:szCs w:val="24"/>
          <w:highlight w:val="none"/>
          <w:lang w:val="en-US" w:eastAsia="zh-CN" w:bidi="ar-SA"/>
        </w:rPr>
        <w:t>每5000吨作为一个结算批次，到货量达5000吨时进行结算，发票经双方最终验收结算并盖章确认后开具。卖方按约定时间交货后，买卖双方应于5个工作日内核定该批数量、价格及质量并确认(存在质量异议除外)，以买方化验结果和磅单的实际收货重量作为结算依据办理结算。卖方按结算金额向买方分别开具13%增值税专用发票，买方在收发票后30天内支付货款，遇节假日相应顺延。</w:t>
      </w:r>
    </w:p>
    <w:p>
      <w:pPr>
        <w:pStyle w:val="2"/>
        <w:tabs>
          <w:tab w:val="left" w:pos="716"/>
        </w:tabs>
        <w:spacing w:before="67" w:line="435" w:lineRule="exact"/>
        <w:ind w:left="0" w:firstLine="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lang w:eastAsia="zh-CN"/>
        </w:rPr>
        <w:t>投标人资格要求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供应商须具备以下资质：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8.1 在中国境内注册，有独立法人资格和承担民事责任的能力；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8.2 遵守中华人民共和国有关法律、法规和条例；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8.3 经营资质：参投项目在营业执照经营范围内；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8.4 石油焦业绩要求：最近三年内碳素行业同类业绩不少于2个，每个业绩供货量3000吨及以上（业绩须附列表及对应列表的合同原件扫描件。合同原件扫描件含首尾页、供货清单或发票、签字盖章页，否则按无效业绩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8.5 近年来有较好业绩且无不良商业行为；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8.6 具有良好的商业信誉和健全的财务会计制度；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8.7 本次招标不接受联合体投标；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400" w:lineRule="exact"/>
        <w:ind w:left="0" w:right="0" w:firstLine="480" w:firstLineChars="200"/>
        <w:jc w:val="both"/>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8.8 完全响应我方石油焦采购项目的规格型号、质量要求、定价方式、付款方式及合同条款。</w:t>
      </w:r>
    </w:p>
    <w:p>
      <w:pPr>
        <w:pStyle w:val="2"/>
        <w:tabs>
          <w:tab w:val="left" w:pos="716"/>
        </w:tabs>
        <w:spacing w:before="68" w:line="435" w:lineRule="exact"/>
        <w:ind w:lef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.竞价谈判、评标办法</w:t>
      </w:r>
    </w:p>
    <w:p>
      <w:pPr>
        <w:pStyle w:val="4"/>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lang w:eastAsia="zh-CN"/>
        </w:rPr>
        <w:t>.1 通过资格审查后，我司根据“供应商评级管理办法”确定入围的投标人， 请至吉利电子招标平台（https://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pStyle w:val="4"/>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rPr>
          <w:rFonts w:hint="eastAsia" w:ascii="宋体" w:hAnsi="宋体" w:eastAsia="宋体" w:cs="宋体"/>
          <w:strike/>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lang w:eastAsia="zh-CN"/>
        </w:rPr>
        <w:t>.2 本次评标采用最低评标价法中标，按价格由低到高顺序确定中标人。本次招标暂定于</w:t>
      </w:r>
      <w:r>
        <w:rPr>
          <w:rFonts w:hint="eastAsia" w:ascii="宋体" w:hAnsi="宋体" w:eastAsia="宋体" w:cs="宋体"/>
          <w:color w:val="auto"/>
          <w:kern w:val="2"/>
          <w:sz w:val="24"/>
          <w:szCs w:val="24"/>
          <w:highlight w:val="none"/>
          <w:u w:val="single"/>
          <w:lang w:eastAsia="zh-CN"/>
        </w:rPr>
        <w:t>202</w:t>
      </w:r>
      <w:r>
        <w:rPr>
          <w:rFonts w:hint="eastAsia" w:ascii="宋体" w:hAnsi="宋体" w:eastAsia="宋体" w:cs="宋体"/>
          <w:color w:val="auto"/>
          <w:kern w:val="2"/>
          <w:sz w:val="24"/>
          <w:szCs w:val="24"/>
          <w:highlight w:val="none"/>
          <w:u w:val="single"/>
          <w:lang w:val="en-US" w:eastAsia="zh-CN"/>
        </w:rPr>
        <w:t>4</w:t>
      </w:r>
      <w:r>
        <w:rPr>
          <w:rFonts w:hint="eastAsia" w:ascii="宋体" w:hAnsi="宋体" w:eastAsia="宋体" w:cs="宋体"/>
          <w:color w:val="auto"/>
          <w:kern w:val="2"/>
          <w:sz w:val="24"/>
          <w:szCs w:val="24"/>
          <w:highlight w:val="none"/>
          <w:lang w:eastAsia="zh-CN"/>
        </w:rPr>
        <w:t>年</w:t>
      </w:r>
      <w:r>
        <w:rPr>
          <w:rFonts w:hint="eastAsia" w:ascii="宋体" w:hAnsi="宋体" w:eastAsia="宋体" w:cs="宋体"/>
          <w:color w:val="auto"/>
          <w:kern w:val="2"/>
          <w:sz w:val="24"/>
          <w:szCs w:val="24"/>
          <w:highlight w:val="none"/>
          <w:u w:val="single"/>
          <w:lang w:val="en-US" w:eastAsia="zh-CN"/>
        </w:rPr>
        <w:t>5</w:t>
      </w:r>
      <w:r>
        <w:rPr>
          <w:rFonts w:hint="eastAsia" w:ascii="宋体" w:hAnsi="宋体" w:eastAsia="宋体" w:cs="宋体"/>
          <w:color w:val="auto"/>
          <w:kern w:val="2"/>
          <w:sz w:val="24"/>
          <w:szCs w:val="24"/>
          <w:highlight w:val="none"/>
          <w:lang w:eastAsia="zh-CN"/>
        </w:rPr>
        <w:t>月</w:t>
      </w:r>
      <w:r>
        <w:rPr>
          <w:rFonts w:hint="eastAsia" w:ascii="宋体" w:hAnsi="宋体" w:eastAsia="宋体" w:cs="宋体"/>
          <w:color w:val="auto"/>
          <w:kern w:val="2"/>
          <w:sz w:val="24"/>
          <w:szCs w:val="24"/>
          <w:highlight w:val="none"/>
          <w:lang w:val="en-US" w:eastAsia="zh-CN"/>
        </w:rPr>
        <w:t>21</w:t>
      </w:r>
      <w:r>
        <w:rPr>
          <w:rFonts w:hint="eastAsia" w:ascii="宋体" w:hAnsi="宋体" w:eastAsia="宋体" w:cs="宋体"/>
          <w:color w:val="auto"/>
          <w:kern w:val="2"/>
          <w:sz w:val="24"/>
          <w:szCs w:val="24"/>
          <w:highlight w:val="none"/>
          <w:lang w:eastAsia="zh-CN"/>
        </w:rPr>
        <w:t>日进行（具体时间以通知为准），登录吉利电子招标平台（https://glzb.geely.com）进行报价，招标方有权选择电子竞价、电子谈判或者多种形式结合的方式，确定中标单位。</w:t>
      </w:r>
    </w:p>
    <w:p>
      <w:pPr>
        <w:pStyle w:val="2"/>
        <w:tabs>
          <w:tab w:val="left" w:pos="716"/>
        </w:tabs>
        <w:spacing w:line="434" w:lineRule="exact"/>
        <w:ind w:lef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.参与确认</w:t>
      </w:r>
    </w:p>
    <w:p>
      <w:pPr>
        <w:pStyle w:val="4"/>
        <w:spacing w:line="400" w:lineRule="exact"/>
        <w:ind w:lef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贵司收到邀请书后，请于</w:t>
      </w:r>
      <w:r>
        <w:rPr>
          <w:rFonts w:hint="eastAsia" w:ascii="宋体" w:hAnsi="宋体" w:eastAsia="宋体" w:cs="宋体"/>
          <w:color w:val="auto"/>
          <w:kern w:val="2"/>
          <w:sz w:val="24"/>
          <w:szCs w:val="24"/>
          <w:highlight w:val="none"/>
          <w:u w:val="single"/>
          <w:lang w:eastAsia="zh-CN"/>
        </w:rPr>
        <w:t>202</w:t>
      </w:r>
      <w:r>
        <w:rPr>
          <w:rFonts w:hint="eastAsia" w:ascii="宋体" w:hAnsi="宋体" w:eastAsia="宋体" w:cs="宋体"/>
          <w:color w:val="auto"/>
          <w:kern w:val="2"/>
          <w:sz w:val="24"/>
          <w:szCs w:val="24"/>
          <w:highlight w:val="none"/>
          <w:u w:val="single"/>
          <w:lang w:val="en-US" w:eastAsia="zh-CN"/>
        </w:rPr>
        <w:t>4</w:t>
      </w:r>
      <w:r>
        <w:rPr>
          <w:rFonts w:hint="eastAsia" w:ascii="宋体" w:hAnsi="宋体" w:eastAsia="宋体" w:cs="宋体"/>
          <w:color w:val="auto"/>
          <w:kern w:val="2"/>
          <w:sz w:val="24"/>
          <w:szCs w:val="24"/>
          <w:highlight w:val="none"/>
          <w:lang w:eastAsia="zh-CN"/>
        </w:rPr>
        <w:t>年</w:t>
      </w:r>
      <w:r>
        <w:rPr>
          <w:rFonts w:hint="eastAsia" w:ascii="宋体" w:hAnsi="宋体" w:eastAsia="宋体" w:cs="宋体"/>
          <w:color w:val="auto"/>
          <w:kern w:val="2"/>
          <w:sz w:val="24"/>
          <w:szCs w:val="24"/>
          <w:highlight w:val="none"/>
          <w:u w:val="single"/>
          <w:lang w:val="en-US" w:eastAsia="zh-CN"/>
        </w:rPr>
        <w:t>5</w:t>
      </w:r>
      <w:r>
        <w:rPr>
          <w:rFonts w:hint="eastAsia" w:ascii="宋体" w:hAnsi="宋体" w:eastAsia="宋体" w:cs="宋体"/>
          <w:color w:val="auto"/>
          <w:kern w:val="2"/>
          <w:sz w:val="24"/>
          <w:szCs w:val="24"/>
          <w:highlight w:val="none"/>
          <w:lang w:eastAsia="zh-CN"/>
        </w:rPr>
        <w:t>月</w:t>
      </w:r>
      <w:r>
        <w:rPr>
          <w:rFonts w:hint="eastAsia" w:ascii="宋体" w:hAnsi="宋体" w:eastAsia="宋体" w:cs="宋体"/>
          <w:color w:val="auto"/>
          <w:kern w:val="2"/>
          <w:sz w:val="24"/>
          <w:szCs w:val="24"/>
          <w:highlight w:val="none"/>
          <w:u w:val="single"/>
          <w:lang w:val="en-US" w:eastAsia="zh-CN"/>
        </w:rPr>
        <w:t>19</w:t>
      </w:r>
      <w:r>
        <w:rPr>
          <w:rFonts w:hint="eastAsia" w:ascii="宋体" w:hAnsi="宋体" w:eastAsia="宋体" w:cs="宋体"/>
          <w:color w:val="auto"/>
          <w:kern w:val="2"/>
          <w:sz w:val="24"/>
          <w:szCs w:val="24"/>
          <w:highlight w:val="none"/>
          <w:lang w:eastAsia="zh-CN"/>
        </w:rPr>
        <w:t>日前将参与确认（附件2）以邮件方式反馈给招标人商务人员，以确认是否参加投标。在本投标邀请书规定的时间内未表示是否参加或明确表示不参加投标的，不得再参加投标。</w:t>
      </w:r>
    </w:p>
    <w:p>
      <w:pPr>
        <w:pStyle w:val="2"/>
        <w:tabs>
          <w:tab w:val="left" w:pos="716"/>
        </w:tabs>
        <w:spacing w:before="61" w:line="435" w:lineRule="exact"/>
        <w:ind w:left="0" w:firstLine="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.投标保证金及履约保证金</w:t>
      </w:r>
    </w:p>
    <w:p>
      <w:pPr>
        <w:pStyle w:val="4"/>
        <w:spacing w:line="400" w:lineRule="exact"/>
        <w:ind w:left="0"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投标保证金金额：</w:t>
      </w:r>
      <w:r>
        <w:rPr>
          <w:rFonts w:hint="eastAsia" w:ascii="宋体" w:hAnsi="宋体" w:eastAsia="宋体" w:cs="宋体"/>
          <w:color w:val="auto"/>
          <w:kern w:val="2"/>
          <w:sz w:val="24"/>
          <w:szCs w:val="24"/>
          <w:highlight w:val="none"/>
          <w:lang w:val="en-US" w:eastAsia="zh-CN"/>
        </w:rPr>
        <w:t>30万元人民币</w:t>
      </w:r>
      <w:r>
        <w:rPr>
          <w:rFonts w:hint="eastAsia" w:ascii="宋体" w:hAnsi="宋体" w:eastAsia="宋体" w:cs="宋体"/>
          <w:color w:val="auto"/>
          <w:kern w:val="2"/>
          <w:sz w:val="24"/>
          <w:szCs w:val="24"/>
          <w:highlight w:val="none"/>
          <w:lang w:eastAsia="zh-CN"/>
        </w:rPr>
        <w:t>。</w:t>
      </w:r>
    </w:p>
    <w:p>
      <w:pPr>
        <w:pStyle w:val="4"/>
        <w:spacing w:line="400" w:lineRule="exact"/>
        <w:ind w:left="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合同履约保证金：</w:t>
      </w:r>
      <w:bookmarkStart w:id="4" w:name="_GoBack"/>
      <w:bookmarkEnd w:id="4"/>
      <w:r>
        <w:rPr>
          <w:rFonts w:hint="eastAsia" w:ascii="宋体" w:hAnsi="宋体" w:eastAsia="宋体" w:cs="宋体"/>
          <w:color w:val="auto"/>
          <w:kern w:val="2"/>
          <w:sz w:val="24"/>
          <w:szCs w:val="24"/>
          <w:highlight w:val="none"/>
          <w:lang w:val="en-US" w:eastAsia="zh-CN"/>
        </w:rPr>
        <w:t>合同履约保证金30万元，</w:t>
      </w:r>
      <w:r>
        <w:rPr>
          <w:rFonts w:hint="eastAsia" w:ascii="宋体" w:hAnsi="宋体" w:eastAsia="宋体" w:cs="宋体"/>
          <w:color w:val="auto"/>
          <w:kern w:val="2"/>
          <w:sz w:val="24"/>
          <w:szCs w:val="24"/>
          <w:highlight w:val="none"/>
          <w:lang w:eastAsia="zh-CN"/>
        </w:rPr>
        <w:t>投标保证金</w:t>
      </w:r>
      <w:r>
        <w:rPr>
          <w:rFonts w:hint="eastAsia" w:ascii="宋体" w:hAnsi="宋体" w:eastAsia="宋体" w:cs="宋体"/>
          <w:color w:val="auto"/>
          <w:kern w:val="2"/>
          <w:sz w:val="24"/>
          <w:szCs w:val="24"/>
          <w:highlight w:val="none"/>
          <w:lang w:val="en-US" w:eastAsia="zh-CN"/>
        </w:rPr>
        <w:t>自动为合同履约保证金。待合同履约结束扣除相应责任（如有）后退回。</w:t>
      </w:r>
    </w:p>
    <w:p>
      <w:pPr>
        <w:pStyle w:val="2"/>
        <w:tabs>
          <w:tab w:val="left" w:pos="716"/>
        </w:tabs>
        <w:spacing w:before="63"/>
        <w:ind w:left="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联系方式</w:t>
      </w:r>
    </w:p>
    <w:tbl>
      <w:tblPr>
        <w:tblStyle w:val="12"/>
        <w:tblW w:w="8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73"/>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692" w:type="dxa"/>
            <w:tcBorders>
              <w:top w:val="nil"/>
              <w:left w:val="nil"/>
              <w:bottom w:val="nil"/>
              <w:right w:val="nil"/>
            </w:tcBorders>
            <w:tcMar>
              <w:left w:w="28" w:type="dxa"/>
              <w:right w:w="28" w:type="dxa"/>
            </w:tcMar>
            <w:vAlign w:val="center"/>
          </w:tcPr>
          <w:p>
            <w:pPr>
              <w:spacing w:line="400" w:lineRule="exact"/>
              <w:jc w:val="distribut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公司</w:t>
            </w:r>
          </w:p>
        </w:tc>
        <w:tc>
          <w:tcPr>
            <w:tcW w:w="373" w:type="dxa"/>
            <w:tcBorders>
              <w:top w:val="nil"/>
              <w:left w:val="nil"/>
              <w:bottom w:val="nil"/>
              <w:right w:val="nil"/>
            </w:tcBorders>
            <w:tcMar>
              <w:left w:w="0" w:type="dxa"/>
              <w:right w:w="0" w:type="dxa"/>
            </w:tcMar>
            <w:vAlign w:val="center"/>
          </w:tcPr>
          <w:p>
            <w:pPr>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421" w:type="dxa"/>
            <w:tcBorders>
              <w:top w:val="nil"/>
              <w:left w:val="nil"/>
              <w:right w:val="nil"/>
            </w:tcBorders>
          </w:tcPr>
          <w:p>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田林百矿田田碳素有限公司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692" w:type="dxa"/>
            <w:tcBorders>
              <w:top w:val="nil"/>
              <w:left w:val="nil"/>
              <w:bottom w:val="nil"/>
              <w:right w:val="nil"/>
            </w:tcBorders>
            <w:tcMar>
              <w:left w:w="28" w:type="dxa"/>
              <w:right w:w="28" w:type="dxa"/>
            </w:tcMar>
            <w:vAlign w:val="center"/>
          </w:tcPr>
          <w:p>
            <w:pPr>
              <w:spacing w:line="400" w:lineRule="exact"/>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373" w:type="dxa"/>
            <w:tcBorders>
              <w:top w:val="nil"/>
              <w:left w:val="nil"/>
              <w:bottom w:val="nil"/>
              <w:right w:val="nil"/>
            </w:tcBorders>
            <w:tcMar>
              <w:left w:w="0" w:type="dxa"/>
              <w:right w:w="0" w:type="dxa"/>
            </w:tcMar>
            <w:vAlign w:val="center"/>
          </w:tcPr>
          <w:p>
            <w:pPr>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421" w:type="dxa"/>
            <w:tcBorders>
              <w:left w:val="nil"/>
              <w:right w:val="nil"/>
            </w:tcBorders>
          </w:tcPr>
          <w:p>
            <w:pPr>
              <w:spacing w:line="4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广西田林县旧州镇板坚村桂黔（田林）经济合作产业园区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92" w:type="dxa"/>
            <w:tcBorders>
              <w:top w:val="nil"/>
              <w:left w:val="nil"/>
              <w:bottom w:val="nil"/>
              <w:right w:val="nil"/>
            </w:tcBorders>
            <w:tcMar>
              <w:left w:w="28" w:type="dxa"/>
              <w:right w:w="28" w:type="dxa"/>
            </w:tcMar>
            <w:vAlign w:val="center"/>
          </w:tcPr>
          <w:p>
            <w:pPr>
              <w:spacing w:line="400" w:lineRule="exact"/>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373" w:type="dxa"/>
            <w:tcBorders>
              <w:top w:val="nil"/>
              <w:left w:val="nil"/>
              <w:bottom w:val="nil"/>
              <w:right w:val="nil"/>
            </w:tcBorders>
            <w:tcMar>
              <w:left w:w="0" w:type="dxa"/>
              <w:right w:w="0" w:type="dxa"/>
            </w:tcMar>
            <w:vAlign w:val="center"/>
          </w:tcPr>
          <w:p>
            <w:pPr>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421" w:type="dxa"/>
            <w:tcBorders>
              <w:left w:val="nil"/>
              <w:right w:val="nil"/>
            </w:tcBorders>
          </w:tcPr>
          <w:p>
            <w:pPr>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"https://glzb.geely.com"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https://glzb.geely.com</w:t>
            </w:r>
            <w:r>
              <w:rPr>
                <w:rFonts w:hint="eastAsia" w:ascii="宋体" w:hAnsi="宋体" w:eastAsia="宋体" w:cs="宋体"/>
                <w:color w:val="auto"/>
                <w:sz w:val="24"/>
                <w:szCs w:val="24"/>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92" w:type="dxa"/>
            <w:tcBorders>
              <w:top w:val="nil"/>
              <w:left w:val="nil"/>
              <w:bottom w:val="nil"/>
              <w:right w:val="nil"/>
            </w:tcBorders>
            <w:tcMar>
              <w:left w:w="28" w:type="dxa"/>
              <w:right w:w="28" w:type="dxa"/>
            </w:tcMar>
            <w:vAlign w:val="center"/>
          </w:tcPr>
          <w:p>
            <w:pPr>
              <w:spacing w:line="400" w:lineRule="exact"/>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373" w:type="dxa"/>
            <w:tcBorders>
              <w:top w:val="nil"/>
              <w:left w:val="nil"/>
              <w:bottom w:val="nil"/>
              <w:right w:val="nil"/>
            </w:tcBorders>
            <w:tcMar>
              <w:left w:w="0" w:type="dxa"/>
              <w:right w:w="0" w:type="dxa"/>
            </w:tcMar>
            <w:vAlign w:val="center"/>
          </w:tcPr>
          <w:p>
            <w:pPr>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421" w:type="dxa"/>
            <w:tcBorders>
              <w:left w:val="nil"/>
              <w:right w:val="nil"/>
            </w:tcBorders>
          </w:tcPr>
          <w:p>
            <w:pPr>
              <w:spacing w:line="400" w:lineRule="exact"/>
              <w:jc w:val="both"/>
              <w:rPr>
                <w:rFonts w:hint="eastAsia" w:ascii="宋体" w:hAnsi="宋体" w:eastAsia="宋体" w:cs="宋体"/>
                <w:color w:val="auto"/>
                <w:sz w:val="24"/>
                <w:szCs w:val="24"/>
                <w:highlight w:val="none"/>
                <w:lang w:eastAsia="zh-CN"/>
              </w:rPr>
            </w:pPr>
            <w:r>
              <w:rPr>
                <w:rFonts w:ascii="宋体" w:hAnsi="宋体" w:eastAsia="宋体" w:cs="宋体"/>
                <w:sz w:val="24"/>
                <w:szCs w:val="24"/>
              </w:rPr>
              <w:t>广西北部湾银行百色市中山支行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92" w:type="dxa"/>
            <w:tcBorders>
              <w:top w:val="nil"/>
              <w:left w:val="nil"/>
              <w:bottom w:val="nil"/>
              <w:right w:val="nil"/>
            </w:tcBorders>
            <w:tcMar>
              <w:left w:w="28" w:type="dxa"/>
              <w:right w:w="28" w:type="dxa"/>
            </w:tcMar>
            <w:vAlign w:val="center"/>
          </w:tcPr>
          <w:p>
            <w:pPr>
              <w:spacing w:line="400" w:lineRule="exact"/>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373" w:type="dxa"/>
            <w:tcBorders>
              <w:top w:val="nil"/>
              <w:left w:val="nil"/>
              <w:bottom w:val="nil"/>
              <w:right w:val="nil"/>
            </w:tcBorders>
            <w:tcMar>
              <w:left w:w="0" w:type="dxa"/>
              <w:right w:w="0" w:type="dxa"/>
            </w:tcMar>
            <w:vAlign w:val="center"/>
          </w:tcPr>
          <w:p>
            <w:pPr>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421" w:type="dxa"/>
            <w:tcBorders>
              <w:left w:val="nil"/>
              <w:right w:val="nil"/>
            </w:tcBorders>
          </w:tcPr>
          <w:p>
            <w:pPr>
              <w:spacing w:line="400" w:lineRule="exact"/>
              <w:jc w:val="both"/>
              <w:rPr>
                <w:rFonts w:hint="eastAsia" w:ascii="宋体" w:hAnsi="宋体" w:eastAsia="宋体" w:cs="宋体"/>
                <w:color w:val="auto"/>
                <w:sz w:val="24"/>
                <w:szCs w:val="24"/>
                <w:highlight w:val="none"/>
              </w:rPr>
            </w:pPr>
            <w:r>
              <w:rPr>
                <w:rFonts w:ascii="宋体" w:hAnsi="宋体" w:eastAsia="宋体" w:cs="宋体"/>
                <w:sz w:val="24"/>
                <w:szCs w:val="24"/>
              </w:rPr>
              <w:t>800114239688883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92" w:type="dxa"/>
            <w:tcBorders>
              <w:top w:val="nil"/>
              <w:left w:val="nil"/>
              <w:bottom w:val="nil"/>
              <w:right w:val="nil"/>
            </w:tcBorders>
            <w:tcMar>
              <w:left w:w="28" w:type="dxa"/>
              <w:right w:w="28" w:type="dxa"/>
            </w:tcMar>
            <w:vAlign w:val="center"/>
          </w:tcPr>
          <w:p>
            <w:pPr>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人</w:t>
            </w:r>
          </w:p>
        </w:tc>
        <w:tc>
          <w:tcPr>
            <w:tcW w:w="373" w:type="dxa"/>
            <w:tcBorders>
              <w:top w:val="nil"/>
              <w:left w:val="nil"/>
              <w:bottom w:val="nil"/>
              <w:right w:val="nil"/>
            </w:tcBorders>
            <w:tcMar>
              <w:left w:w="0" w:type="dxa"/>
              <w:right w:w="0" w:type="dxa"/>
            </w:tcMar>
            <w:vAlign w:val="center"/>
          </w:tcPr>
          <w:p>
            <w:pPr>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421" w:type="dxa"/>
            <w:tcBorders>
              <w:left w:val="nil"/>
              <w:right w:val="nil"/>
            </w:tcBorders>
          </w:tcPr>
          <w:p>
            <w:pPr>
              <w:spacing w:line="400" w:lineRule="exac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玉伟龙18776263013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692" w:type="dxa"/>
            <w:tcBorders>
              <w:top w:val="nil"/>
              <w:left w:val="nil"/>
              <w:bottom w:val="nil"/>
              <w:right w:val="nil"/>
            </w:tcBorders>
            <w:tcMar>
              <w:left w:w="28" w:type="dxa"/>
              <w:right w:w="28" w:type="dxa"/>
            </w:tcMar>
            <w:vAlign w:val="center"/>
          </w:tcPr>
          <w:p>
            <w:pPr>
              <w:spacing w:line="400" w:lineRule="exact"/>
              <w:jc w:val="distribut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邮箱</w:t>
            </w:r>
          </w:p>
        </w:tc>
        <w:tc>
          <w:tcPr>
            <w:tcW w:w="373" w:type="dxa"/>
            <w:tcBorders>
              <w:top w:val="nil"/>
              <w:left w:val="nil"/>
              <w:bottom w:val="nil"/>
              <w:right w:val="nil"/>
            </w:tcBorders>
            <w:tcMar>
              <w:left w:w="0" w:type="dxa"/>
              <w:right w:w="0" w:type="dxa"/>
            </w:tcMar>
            <w:vAlign w:val="center"/>
          </w:tcPr>
          <w:p>
            <w:pPr>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421" w:type="dxa"/>
            <w:tcBorders>
              <w:left w:val="nil"/>
              <w:right w:val="nil"/>
            </w:tcBorders>
          </w:tcPr>
          <w:p>
            <w:pPr>
              <w:spacing w:line="400" w:lineRule="exact"/>
              <w:jc w:val="both"/>
              <w:rPr>
                <w:rFonts w:hint="eastAsia" w:ascii="宋体" w:hAnsi="宋体" w:eastAsia="宋体" w:cs="宋体"/>
                <w:color w:val="auto"/>
                <w:sz w:val="24"/>
                <w:szCs w:val="24"/>
                <w:highlight w:val="none"/>
              </w:rPr>
            </w:pPr>
            <w:r>
              <w:rPr>
                <w:rFonts w:ascii="宋体" w:hAnsi="宋体" w:eastAsia="宋体" w:cs="宋体"/>
                <w:sz w:val="24"/>
                <w:szCs w:val="24"/>
              </w:rPr>
              <w:t>Weilong.Yu@geely.com</w:t>
            </w:r>
            <w:r>
              <w:rPr>
                <w:rFonts w:hint="eastAsia" w:ascii="宋体" w:hAnsi="宋体" w:eastAsia="宋体" w:cs="宋体"/>
                <w:color w:val="auto"/>
                <w:sz w:val="24"/>
                <w:szCs w:val="24"/>
                <w:highlight w:val="none"/>
              </w:rPr>
              <w:t>@geely.com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692" w:type="dxa"/>
            <w:tcBorders>
              <w:top w:val="nil"/>
              <w:left w:val="nil"/>
              <w:bottom w:val="nil"/>
              <w:right w:val="nil"/>
            </w:tcBorders>
            <w:tcMar>
              <w:left w:w="28" w:type="dxa"/>
              <w:right w:w="28" w:type="dxa"/>
            </w:tcMar>
            <w:vAlign w:val="center"/>
          </w:tcPr>
          <w:p>
            <w:pPr>
              <w:spacing w:line="400" w:lineRule="exact"/>
              <w:jc w:val="distribute"/>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投诉、举报电话</w:t>
            </w:r>
          </w:p>
        </w:tc>
        <w:tc>
          <w:tcPr>
            <w:tcW w:w="373" w:type="dxa"/>
            <w:tcBorders>
              <w:top w:val="nil"/>
              <w:left w:val="nil"/>
              <w:bottom w:val="nil"/>
              <w:right w:val="nil"/>
            </w:tcBorders>
            <w:tcMar>
              <w:left w:w="0" w:type="dxa"/>
              <w:right w:w="0" w:type="dxa"/>
            </w:tcMar>
            <w:vAlign w:val="center"/>
          </w:tcPr>
          <w:p>
            <w:pPr>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421" w:type="dxa"/>
            <w:tcBorders>
              <w:left w:val="nil"/>
              <w:right w:val="nil"/>
            </w:tcBorders>
          </w:tcPr>
          <w:p>
            <w:pPr>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0571-28098168（</w:t>
            </w:r>
            <w:r>
              <w:rPr>
                <w:rFonts w:hint="eastAsia" w:ascii="宋体" w:hAnsi="宋体" w:eastAsia="宋体" w:cs="宋体"/>
                <w:color w:val="auto"/>
                <w:kern w:val="2"/>
                <w:sz w:val="24"/>
                <w:szCs w:val="24"/>
                <w:highlight w:val="none"/>
                <w:lang w:eastAsia="zh-CN"/>
              </w:rPr>
              <w:t>供应链管理部</w:t>
            </w:r>
            <w:r>
              <w:rPr>
                <w:rFonts w:hint="eastAsia" w:ascii="宋体" w:hAnsi="宋体" w:eastAsia="宋体" w:cs="宋体"/>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92" w:type="dxa"/>
            <w:tcBorders>
              <w:top w:val="nil"/>
              <w:left w:val="nil"/>
              <w:bottom w:val="nil"/>
              <w:right w:val="nil"/>
            </w:tcBorders>
            <w:tcMar>
              <w:left w:w="28" w:type="dxa"/>
              <w:right w:w="28" w:type="dxa"/>
            </w:tcMar>
            <w:vAlign w:val="center"/>
          </w:tcPr>
          <w:p>
            <w:pPr>
              <w:spacing w:line="400" w:lineRule="exact"/>
              <w:jc w:val="distribute"/>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举报邮箱</w:t>
            </w:r>
          </w:p>
        </w:tc>
        <w:tc>
          <w:tcPr>
            <w:tcW w:w="373" w:type="dxa"/>
            <w:tcBorders>
              <w:top w:val="nil"/>
              <w:left w:val="nil"/>
              <w:bottom w:val="nil"/>
              <w:right w:val="nil"/>
            </w:tcBorders>
            <w:tcMar>
              <w:left w:w="0" w:type="dxa"/>
              <w:right w:w="0" w:type="dxa"/>
            </w:tcMar>
            <w:vAlign w:val="center"/>
          </w:tcPr>
          <w:p>
            <w:pPr>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6421" w:type="dxa"/>
            <w:tcBorders>
              <w:left w:val="nil"/>
              <w:right w:val="nil"/>
            </w:tcBorders>
          </w:tcPr>
          <w:p>
            <w:pPr>
              <w:pStyle w:val="18"/>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geelytech.bid@geely.com</w:t>
            </w:r>
          </w:p>
        </w:tc>
      </w:tr>
    </w:tbl>
    <w:p>
      <w:pPr>
        <w:pStyle w:val="18"/>
        <w:rPr>
          <w:rFonts w:hint="eastAsia" w:ascii="宋体" w:hAnsi="宋体" w:eastAsia="宋体" w:cs="宋体"/>
          <w:color w:val="auto"/>
          <w:kern w:val="2"/>
          <w:sz w:val="24"/>
          <w:szCs w:val="24"/>
          <w:highlight w:val="none"/>
        </w:rPr>
      </w:pPr>
    </w:p>
    <w:p>
      <w:pPr>
        <w:pStyle w:val="18"/>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附件 1：</w:t>
      </w:r>
      <w:r>
        <w:rPr>
          <w:rFonts w:hint="eastAsia" w:ascii="宋体" w:hAnsi="宋体" w:cs="宋体"/>
          <w:color w:val="auto"/>
          <w:kern w:val="2"/>
          <w:sz w:val="24"/>
          <w:szCs w:val="24"/>
          <w:highlight w:val="none"/>
          <w:lang w:val="en-US" w:eastAsia="zh-CN"/>
        </w:rPr>
        <w:t>石油焦采购质量标准</w:t>
      </w:r>
    </w:p>
    <w:p>
      <w:pPr>
        <w:pStyle w:val="20"/>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rPr>
        <w:t>附件2：参与投标确认函</w:t>
      </w:r>
    </w:p>
    <w:p>
      <w:pPr>
        <w:pStyle w:val="18"/>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 xml:space="preserve">附件 </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：采购合同</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版本</w:t>
      </w:r>
      <w:r>
        <w:rPr>
          <w:rFonts w:hint="eastAsia" w:ascii="宋体" w:hAnsi="宋体" w:eastAsia="宋体" w:cs="宋体"/>
          <w:color w:val="auto"/>
          <w:kern w:val="2"/>
          <w:sz w:val="24"/>
          <w:szCs w:val="24"/>
          <w:highlight w:val="none"/>
          <w:lang w:eastAsia="zh-CN"/>
        </w:rPr>
        <w:t>）</w:t>
      </w:r>
    </w:p>
    <w:p>
      <w:pPr>
        <w:pStyle w:val="2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附件 4：谈判须知</w:t>
      </w:r>
    </w:p>
    <w:p>
      <w:pPr>
        <w:pStyle w:val="2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附件 5：资质文件模板</w:t>
      </w:r>
    </w:p>
    <w:p>
      <w:pPr>
        <w:pStyle w:val="20"/>
        <w:rPr>
          <w:rFonts w:hint="default" w:ascii="宋体"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附件6：报价单</w:t>
      </w:r>
    </w:p>
    <w:p>
      <w:pPr>
        <w:pStyle w:val="20"/>
        <w:rPr>
          <w:rFonts w:hint="eastAsia" w:ascii="宋体" w:hAnsi="宋体" w:eastAsia="宋体" w:cs="宋体"/>
          <w:color w:val="auto"/>
          <w:kern w:val="2"/>
          <w:sz w:val="24"/>
          <w:szCs w:val="24"/>
          <w:highlight w:val="none"/>
          <w:lang w:val="en-US" w:eastAsia="zh-CN"/>
        </w:rPr>
      </w:pPr>
    </w:p>
    <w:p>
      <w:pPr>
        <w:spacing w:before="181"/>
        <w:ind w:left="494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田林百矿田田碳素有限公司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lang w:eastAsia="zh-CN"/>
        </w:rPr>
        <w:t>202</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年</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月</w:t>
      </w:r>
      <w:r>
        <w:rPr>
          <w:rFonts w:hint="eastAsia" w:ascii="宋体" w:hAnsi="宋体" w:eastAsia="宋体" w:cs="宋体"/>
          <w:color w:val="auto"/>
          <w:kern w:val="2"/>
          <w:sz w:val="24"/>
          <w:szCs w:val="24"/>
          <w:highlight w:val="none"/>
          <w:lang w:val="en-US" w:eastAsia="zh-CN"/>
        </w:rPr>
        <w:t>15</w:t>
      </w:r>
      <w:r>
        <w:rPr>
          <w:rFonts w:hint="eastAsia" w:ascii="宋体" w:hAnsi="宋体" w:eastAsia="宋体" w:cs="宋体"/>
          <w:color w:val="auto"/>
          <w:kern w:val="2"/>
          <w:sz w:val="24"/>
          <w:szCs w:val="24"/>
          <w:highlight w:val="none"/>
          <w:lang w:eastAsia="zh-CN"/>
        </w:rPr>
        <w:t>日</w:t>
      </w:r>
    </w:p>
    <w:p>
      <w:pPr>
        <w:pStyle w:val="18"/>
        <w:rPr>
          <w:rFonts w:hint="eastAsia" w:ascii="宋体" w:hAnsi="宋体" w:eastAsia="宋体" w:cs="宋体"/>
          <w:color w:val="auto"/>
          <w:kern w:val="2"/>
          <w:sz w:val="24"/>
          <w:szCs w:val="24"/>
          <w:highlight w:val="none"/>
          <w:lang w:eastAsia="zh-CN"/>
        </w:rPr>
      </w:pPr>
    </w:p>
    <w:p>
      <w:pPr>
        <w:pStyle w:val="20"/>
        <w:rPr>
          <w:rFonts w:hint="eastAsia" w:ascii="宋体" w:hAnsi="宋体" w:eastAsia="宋体" w:cs="宋体"/>
          <w:color w:val="auto"/>
          <w:kern w:val="2"/>
          <w:sz w:val="24"/>
          <w:szCs w:val="24"/>
          <w:highlight w:val="none"/>
          <w:lang w:eastAsia="zh-CN"/>
        </w:rPr>
      </w:pPr>
    </w:p>
    <w:p>
      <w:pPr>
        <w:pStyle w:val="20"/>
        <w:rPr>
          <w:rFonts w:hint="eastAsia" w:ascii="宋体" w:hAnsi="宋体" w:eastAsia="宋体" w:cs="宋体"/>
          <w:color w:val="auto"/>
          <w:kern w:val="2"/>
          <w:sz w:val="24"/>
          <w:szCs w:val="24"/>
          <w:highlight w:val="none"/>
          <w:lang w:eastAsia="zh-CN"/>
        </w:rPr>
      </w:pPr>
    </w:p>
    <w:p>
      <w:pPr>
        <w:pStyle w:val="20"/>
        <w:rPr>
          <w:rFonts w:hint="eastAsia" w:ascii="宋体" w:hAnsi="宋体" w:eastAsia="宋体" w:cs="宋体"/>
          <w:color w:val="auto"/>
          <w:kern w:val="2"/>
          <w:sz w:val="24"/>
          <w:szCs w:val="24"/>
          <w:highlight w:val="none"/>
          <w:lang w:eastAsia="zh-CN"/>
        </w:rPr>
      </w:pPr>
    </w:p>
    <w:p/>
    <w:sectPr>
      <w:headerReference r:id="rId3" w:type="default"/>
      <w:footerReference r:id="rId4" w:type="default"/>
      <w:footerReference r:id="rId5" w:type="even"/>
      <w:pgSz w:w="11906" w:h="16838"/>
      <w:pgMar w:top="1417" w:right="1417" w:bottom="1134"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YzNlZTIwYjA3Yzk2Y2UxMzIwMmZjMDc4ODA3M2UifQ=="/>
  </w:docVars>
  <w:rsids>
    <w:rsidRoot w:val="00172A27"/>
    <w:rsid w:val="00125861"/>
    <w:rsid w:val="001D7D8F"/>
    <w:rsid w:val="002A31E3"/>
    <w:rsid w:val="00371807"/>
    <w:rsid w:val="006171D9"/>
    <w:rsid w:val="00664C99"/>
    <w:rsid w:val="00734D2C"/>
    <w:rsid w:val="008925C5"/>
    <w:rsid w:val="00A34580"/>
    <w:rsid w:val="00A7001A"/>
    <w:rsid w:val="00F22F9D"/>
    <w:rsid w:val="010C2718"/>
    <w:rsid w:val="0176292B"/>
    <w:rsid w:val="019801D0"/>
    <w:rsid w:val="01EA6151"/>
    <w:rsid w:val="02100864"/>
    <w:rsid w:val="024D2111"/>
    <w:rsid w:val="025455B2"/>
    <w:rsid w:val="02B046A6"/>
    <w:rsid w:val="02B510FA"/>
    <w:rsid w:val="02EA4873"/>
    <w:rsid w:val="02FB4A5D"/>
    <w:rsid w:val="033E4BBF"/>
    <w:rsid w:val="03675EC4"/>
    <w:rsid w:val="03CF73B2"/>
    <w:rsid w:val="03D143FF"/>
    <w:rsid w:val="03E80368"/>
    <w:rsid w:val="03EE1054"/>
    <w:rsid w:val="03EF1A15"/>
    <w:rsid w:val="040A4AA1"/>
    <w:rsid w:val="043F0BEF"/>
    <w:rsid w:val="0449381C"/>
    <w:rsid w:val="04695C6C"/>
    <w:rsid w:val="04714B20"/>
    <w:rsid w:val="047B2B1B"/>
    <w:rsid w:val="04877EA0"/>
    <w:rsid w:val="049A2CD6"/>
    <w:rsid w:val="049B5F9F"/>
    <w:rsid w:val="04A01F97"/>
    <w:rsid w:val="04B97278"/>
    <w:rsid w:val="04EF4072"/>
    <w:rsid w:val="05157BA2"/>
    <w:rsid w:val="053C512E"/>
    <w:rsid w:val="05507F33"/>
    <w:rsid w:val="05926AFC"/>
    <w:rsid w:val="05D37841"/>
    <w:rsid w:val="05E80E12"/>
    <w:rsid w:val="062067FE"/>
    <w:rsid w:val="063D115E"/>
    <w:rsid w:val="066570F6"/>
    <w:rsid w:val="06A173BE"/>
    <w:rsid w:val="06B331CE"/>
    <w:rsid w:val="06B95525"/>
    <w:rsid w:val="06BC064E"/>
    <w:rsid w:val="06BD5DFB"/>
    <w:rsid w:val="06BE46F4"/>
    <w:rsid w:val="076467EA"/>
    <w:rsid w:val="076B2508"/>
    <w:rsid w:val="07C35693"/>
    <w:rsid w:val="07D7113E"/>
    <w:rsid w:val="07DC6755"/>
    <w:rsid w:val="08066011"/>
    <w:rsid w:val="08161C67"/>
    <w:rsid w:val="081D0714"/>
    <w:rsid w:val="083672A6"/>
    <w:rsid w:val="08524424"/>
    <w:rsid w:val="08AC6127"/>
    <w:rsid w:val="08E1104C"/>
    <w:rsid w:val="09233892"/>
    <w:rsid w:val="09434AE4"/>
    <w:rsid w:val="096128B0"/>
    <w:rsid w:val="096518D6"/>
    <w:rsid w:val="098D703C"/>
    <w:rsid w:val="09DB4F16"/>
    <w:rsid w:val="09FE0C04"/>
    <w:rsid w:val="0A2E773B"/>
    <w:rsid w:val="0A951569"/>
    <w:rsid w:val="0A960BA9"/>
    <w:rsid w:val="0AC736EC"/>
    <w:rsid w:val="0B1D3D7C"/>
    <w:rsid w:val="0B333027"/>
    <w:rsid w:val="0B4D0B41"/>
    <w:rsid w:val="0B5362AB"/>
    <w:rsid w:val="0B5D1214"/>
    <w:rsid w:val="0B7A250D"/>
    <w:rsid w:val="0B7E024F"/>
    <w:rsid w:val="0B8E7D66"/>
    <w:rsid w:val="0B913733"/>
    <w:rsid w:val="0BB023D2"/>
    <w:rsid w:val="0BD0037E"/>
    <w:rsid w:val="0C470AAF"/>
    <w:rsid w:val="0C4F0FDA"/>
    <w:rsid w:val="0C807E08"/>
    <w:rsid w:val="0C825B1D"/>
    <w:rsid w:val="0C8E11E7"/>
    <w:rsid w:val="0CB37785"/>
    <w:rsid w:val="0CE62A84"/>
    <w:rsid w:val="0CE926FB"/>
    <w:rsid w:val="0D0C53E6"/>
    <w:rsid w:val="0D1B387B"/>
    <w:rsid w:val="0D441024"/>
    <w:rsid w:val="0D530AAA"/>
    <w:rsid w:val="0D543193"/>
    <w:rsid w:val="0DC851EA"/>
    <w:rsid w:val="0DF85FA5"/>
    <w:rsid w:val="0E767028"/>
    <w:rsid w:val="0EB675B9"/>
    <w:rsid w:val="0EC0292C"/>
    <w:rsid w:val="0EC248F6"/>
    <w:rsid w:val="0ED83283"/>
    <w:rsid w:val="0EF451D0"/>
    <w:rsid w:val="0F36499C"/>
    <w:rsid w:val="0F476BAA"/>
    <w:rsid w:val="0F56415A"/>
    <w:rsid w:val="0F607C6B"/>
    <w:rsid w:val="0F9965A1"/>
    <w:rsid w:val="0FFE1C30"/>
    <w:rsid w:val="10090303"/>
    <w:rsid w:val="107435F9"/>
    <w:rsid w:val="108300B5"/>
    <w:rsid w:val="10B136ED"/>
    <w:rsid w:val="10B4026F"/>
    <w:rsid w:val="10C233A9"/>
    <w:rsid w:val="10DE1D04"/>
    <w:rsid w:val="10EC5B3E"/>
    <w:rsid w:val="10FE14EA"/>
    <w:rsid w:val="11010579"/>
    <w:rsid w:val="110765F0"/>
    <w:rsid w:val="11237CDE"/>
    <w:rsid w:val="11627CCB"/>
    <w:rsid w:val="11765524"/>
    <w:rsid w:val="11A942B8"/>
    <w:rsid w:val="11B65C1C"/>
    <w:rsid w:val="11DA1F24"/>
    <w:rsid w:val="11E44815"/>
    <w:rsid w:val="11FC704A"/>
    <w:rsid w:val="12105979"/>
    <w:rsid w:val="12165383"/>
    <w:rsid w:val="1222745A"/>
    <w:rsid w:val="1266241B"/>
    <w:rsid w:val="129760CA"/>
    <w:rsid w:val="12A46107"/>
    <w:rsid w:val="12AB021B"/>
    <w:rsid w:val="12BE53D5"/>
    <w:rsid w:val="12DA6F1D"/>
    <w:rsid w:val="12E85956"/>
    <w:rsid w:val="130E2D43"/>
    <w:rsid w:val="13367661"/>
    <w:rsid w:val="13574F3A"/>
    <w:rsid w:val="135950FD"/>
    <w:rsid w:val="13731254"/>
    <w:rsid w:val="13741F37"/>
    <w:rsid w:val="138E06B8"/>
    <w:rsid w:val="13A24CF6"/>
    <w:rsid w:val="13CD55D7"/>
    <w:rsid w:val="13CE43F7"/>
    <w:rsid w:val="13DB54A7"/>
    <w:rsid w:val="13E175CD"/>
    <w:rsid w:val="140212F1"/>
    <w:rsid w:val="141379A2"/>
    <w:rsid w:val="14235F78"/>
    <w:rsid w:val="143A44EA"/>
    <w:rsid w:val="143F0797"/>
    <w:rsid w:val="14667AD2"/>
    <w:rsid w:val="146C382B"/>
    <w:rsid w:val="14755F67"/>
    <w:rsid w:val="148D505F"/>
    <w:rsid w:val="149E7CD8"/>
    <w:rsid w:val="14B338CD"/>
    <w:rsid w:val="14B80ED7"/>
    <w:rsid w:val="14EA231D"/>
    <w:rsid w:val="151205EE"/>
    <w:rsid w:val="1523268F"/>
    <w:rsid w:val="15407DFB"/>
    <w:rsid w:val="15485429"/>
    <w:rsid w:val="156A2636"/>
    <w:rsid w:val="15866F89"/>
    <w:rsid w:val="15DC72C0"/>
    <w:rsid w:val="15DD2016"/>
    <w:rsid w:val="15FA0478"/>
    <w:rsid w:val="165A52E4"/>
    <w:rsid w:val="1689600C"/>
    <w:rsid w:val="169336AF"/>
    <w:rsid w:val="16941135"/>
    <w:rsid w:val="16C601B0"/>
    <w:rsid w:val="16DE0379"/>
    <w:rsid w:val="16E15B36"/>
    <w:rsid w:val="16E7773C"/>
    <w:rsid w:val="170802F2"/>
    <w:rsid w:val="171952CF"/>
    <w:rsid w:val="178400CF"/>
    <w:rsid w:val="17C76AD9"/>
    <w:rsid w:val="17D25EBC"/>
    <w:rsid w:val="183B2BE1"/>
    <w:rsid w:val="18495410"/>
    <w:rsid w:val="18637686"/>
    <w:rsid w:val="18B4270C"/>
    <w:rsid w:val="18B47BD7"/>
    <w:rsid w:val="18D66130"/>
    <w:rsid w:val="191D5994"/>
    <w:rsid w:val="1945415A"/>
    <w:rsid w:val="199972CD"/>
    <w:rsid w:val="19B317F0"/>
    <w:rsid w:val="19BC67C0"/>
    <w:rsid w:val="19DE4419"/>
    <w:rsid w:val="19EC0189"/>
    <w:rsid w:val="19F84525"/>
    <w:rsid w:val="1A4131B9"/>
    <w:rsid w:val="1A424BA0"/>
    <w:rsid w:val="1A457CBD"/>
    <w:rsid w:val="1A6D2150"/>
    <w:rsid w:val="1A7F114B"/>
    <w:rsid w:val="1A935399"/>
    <w:rsid w:val="1A9B5F15"/>
    <w:rsid w:val="1AAF3709"/>
    <w:rsid w:val="1AD567BD"/>
    <w:rsid w:val="1AFF2A2E"/>
    <w:rsid w:val="1B310052"/>
    <w:rsid w:val="1B617245"/>
    <w:rsid w:val="1B950C9D"/>
    <w:rsid w:val="1B981B60"/>
    <w:rsid w:val="1BB11F7A"/>
    <w:rsid w:val="1BD23F86"/>
    <w:rsid w:val="1BD84A1C"/>
    <w:rsid w:val="1C0320AA"/>
    <w:rsid w:val="1C0F130E"/>
    <w:rsid w:val="1C1B73F4"/>
    <w:rsid w:val="1C2F4C4D"/>
    <w:rsid w:val="1C3B71E9"/>
    <w:rsid w:val="1C406E5A"/>
    <w:rsid w:val="1C4D38FF"/>
    <w:rsid w:val="1C587BEB"/>
    <w:rsid w:val="1C5F3784"/>
    <w:rsid w:val="1C7F6721"/>
    <w:rsid w:val="1C8E5E18"/>
    <w:rsid w:val="1C9B22E3"/>
    <w:rsid w:val="1CE04199"/>
    <w:rsid w:val="1D7C6F7B"/>
    <w:rsid w:val="1D8B4DA1"/>
    <w:rsid w:val="1D8B7E73"/>
    <w:rsid w:val="1D927B8A"/>
    <w:rsid w:val="1DA515CF"/>
    <w:rsid w:val="1DF47EFC"/>
    <w:rsid w:val="1DF833A9"/>
    <w:rsid w:val="1E0041B6"/>
    <w:rsid w:val="1E0C793C"/>
    <w:rsid w:val="1E2C0B70"/>
    <w:rsid w:val="1E504BF2"/>
    <w:rsid w:val="1E625304"/>
    <w:rsid w:val="1E635082"/>
    <w:rsid w:val="1E94380D"/>
    <w:rsid w:val="1E9B47CD"/>
    <w:rsid w:val="1EBA7398"/>
    <w:rsid w:val="1EE336A5"/>
    <w:rsid w:val="1EF94E9C"/>
    <w:rsid w:val="1F0C74C8"/>
    <w:rsid w:val="1F3802BD"/>
    <w:rsid w:val="1F505606"/>
    <w:rsid w:val="1F5E6095"/>
    <w:rsid w:val="1FA3656E"/>
    <w:rsid w:val="1FF8316D"/>
    <w:rsid w:val="204F58BE"/>
    <w:rsid w:val="205253AE"/>
    <w:rsid w:val="20621A95"/>
    <w:rsid w:val="208E288A"/>
    <w:rsid w:val="20B302B7"/>
    <w:rsid w:val="20BB11A5"/>
    <w:rsid w:val="20C04A0E"/>
    <w:rsid w:val="20D519CB"/>
    <w:rsid w:val="20DD2ECA"/>
    <w:rsid w:val="21130D5E"/>
    <w:rsid w:val="21DE6040"/>
    <w:rsid w:val="21DE79D4"/>
    <w:rsid w:val="21E1450B"/>
    <w:rsid w:val="21EB7868"/>
    <w:rsid w:val="21ED1206"/>
    <w:rsid w:val="22095287"/>
    <w:rsid w:val="220D3F37"/>
    <w:rsid w:val="221152CA"/>
    <w:rsid w:val="221C055F"/>
    <w:rsid w:val="22280FC9"/>
    <w:rsid w:val="224979A9"/>
    <w:rsid w:val="225A73C1"/>
    <w:rsid w:val="225C3529"/>
    <w:rsid w:val="22D0336F"/>
    <w:rsid w:val="22E90452"/>
    <w:rsid w:val="22F92EA7"/>
    <w:rsid w:val="235B2DA4"/>
    <w:rsid w:val="239A1BA6"/>
    <w:rsid w:val="23EE3640"/>
    <w:rsid w:val="2421271B"/>
    <w:rsid w:val="245E53C3"/>
    <w:rsid w:val="247F5B01"/>
    <w:rsid w:val="24AF0882"/>
    <w:rsid w:val="24D27A98"/>
    <w:rsid w:val="25551BC9"/>
    <w:rsid w:val="25A0388E"/>
    <w:rsid w:val="25D4717E"/>
    <w:rsid w:val="26202C93"/>
    <w:rsid w:val="264C3CB0"/>
    <w:rsid w:val="265775F2"/>
    <w:rsid w:val="266A026F"/>
    <w:rsid w:val="26AF633F"/>
    <w:rsid w:val="26EF7E56"/>
    <w:rsid w:val="26F50A4F"/>
    <w:rsid w:val="2744257A"/>
    <w:rsid w:val="27484AEA"/>
    <w:rsid w:val="27486A51"/>
    <w:rsid w:val="27584D0F"/>
    <w:rsid w:val="277773B2"/>
    <w:rsid w:val="27D72D69"/>
    <w:rsid w:val="28001741"/>
    <w:rsid w:val="281210C5"/>
    <w:rsid w:val="284127AF"/>
    <w:rsid w:val="28562891"/>
    <w:rsid w:val="286C6E98"/>
    <w:rsid w:val="28BE7072"/>
    <w:rsid w:val="28DE370E"/>
    <w:rsid w:val="28E676DC"/>
    <w:rsid w:val="290D1F44"/>
    <w:rsid w:val="29124D6E"/>
    <w:rsid w:val="29416C3C"/>
    <w:rsid w:val="29420B46"/>
    <w:rsid w:val="29477A7A"/>
    <w:rsid w:val="29581C87"/>
    <w:rsid w:val="296072FA"/>
    <w:rsid w:val="297D16EE"/>
    <w:rsid w:val="29961D73"/>
    <w:rsid w:val="29992827"/>
    <w:rsid w:val="29BD6562"/>
    <w:rsid w:val="29CB58F0"/>
    <w:rsid w:val="29DF0131"/>
    <w:rsid w:val="29F35C36"/>
    <w:rsid w:val="2A1B0CCC"/>
    <w:rsid w:val="2A375D41"/>
    <w:rsid w:val="2A487B51"/>
    <w:rsid w:val="2A562521"/>
    <w:rsid w:val="2AC31A97"/>
    <w:rsid w:val="2AFA4B40"/>
    <w:rsid w:val="2AFA6CE1"/>
    <w:rsid w:val="2B1B11BE"/>
    <w:rsid w:val="2B7B4934"/>
    <w:rsid w:val="2B870602"/>
    <w:rsid w:val="2BAE1354"/>
    <w:rsid w:val="2BFF706A"/>
    <w:rsid w:val="2C2E6CCF"/>
    <w:rsid w:val="2C3369BB"/>
    <w:rsid w:val="2C453755"/>
    <w:rsid w:val="2C536736"/>
    <w:rsid w:val="2C9973F8"/>
    <w:rsid w:val="2CB03B88"/>
    <w:rsid w:val="2D2B215C"/>
    <w:rsid w:val="2D2E0A6A"/>
    <w:rsid w:val="2D5409B8"/>
    <w:rsid w:val="2D940DB4"/>
    <w:rsid w:val="2DF90FEB"/>
    <w:rsid w:val="2E086552"/>
    <w:rsid w:val="2E26466C"/>
    <w:rsid w:val="2E441B11"/>
    <w:rsid w:val="2E44718D"/>
    <w:rsid w:val="2E7110F5"/>
    <w:rsid w:val="2E777D30"/>
    <w:rsid w:val="2ECD03AF"/>
    <w:rsid w:val="2F232D99"/>
    <w:rsid w:val="2F4964B7"/>
    <w:rsid w:val="2F5702EB"/>
    <w:rsid w:val="2F920605"/>
    <w:rsid w:val="2FDD2BAB"/>
    <w:rsid w:val="2FE63BE9"/>
    <w:rsid w:val="30135355"/>
    <w:rsid w:val="301B756B"/>
    <w:rsid w:val="303A3765"/>
    <w:rsid w:val="305736C6"/>
    <w:rsid w:val="30576DE8"/>
    <w:rsid w:val="30707114"/>
    <w:rsid w:val="307E0ABC"/>
    <w:rsid w:val="307F7AFA"/>
    <w:rsid w:val="309B7A48"/>
    <w:rsid w:val="30A74BC1"/>
    <w:rsid w:val="30AB0964"/>
    <w:rsid w:val="30BA3228"/>
    <w:rsid w:val="30DB6CFA"/>
    <w:rsid w:val="30E570E0"/>
    <w:rsid w:val="30F5600E"/>
    <w:rsid w:val="30F6566A"/>
    <w:rsid w:val="31A82723"/>
    <w:rsid w:val="31AF2660"/>
    <w:rsid w:val="31D60AC4"/>
    <w:rsid w:val="320D2FDB"/>
    <w:rsid w:val="322A5242"/>
    <w:rsid w:val="3276317E"/>
    <w:rsid w:val="32B94127"/>
    <w:rsid w:val="32BC47BB"/>
    <w:rsid w:val="32E21E22"/>
    <w:rsid w:val="33092244"/>
    <w:rsid w:val="331A7FAD"/>
    <w:rsid w:val="33484942"/>
    <w:rsid w:val="334B378A"/>
    <w:rsid w:val="33BC3083"/>
    <w:rsid w:val="341056AE"/>
    <w:rsid w:val="348326C4"/>
    <w:rsid w:val="351C25FA"/>
    <w:rsid w:val="3574714E"/>
    <w:rsid w:val="357838DE"/>
    <w:rsid w:val="35872826"/>
    <w:rsid w:val="35A9059B"/>
    <w:rsid w:val="35AC0F1C"/>
    <w:rsid w:val="35E80367"/>
    <w:rsid w:val="35EA0DDB"/>
    <w:rsid w:val="35F60FC8"/>
    <w:rsid w:val="361B0413"/>
    <w:rsid w:val="365B4B65"/>
    <w:rsid w:val="367E2601"/>
    <w:rsid w:val="36D30B9F"/>
    <w:rsid w:val="36D44B1E"/>
    <w:rsid w:val="36D87F64"/>
    <w:rsid w:val="36FA581D"/>
    <w:rsid w:val="372B3785"/>
    <w:rsid w:val="372D5FD0"/>
    <w:rsid w:val="37461371"/>
    <w:rsid w:val="37533157"/>
    <w:rsid w:val="378B4569"/>
    <w:rsid w:val="37983B97"/>
    <w:rsid w:val="37BF1123"/>
    <w:rsid w:val="37BF4B9C"/>
    <w:rsid w:val="380B6635"/>
    <w:rsid w:val="381C6576"/>
    <w:rsid w:val="38244D74"/>
    <w:rsid w:val="383E03FD"/>
    <w:rsid w:val="38402CAF"/>
    <w:rsid w:val="385D21B2"/>
    <w:rsid w:val="385E2E31"/>
    <w:rsid w:val="38856620"/>
    <w:rsid w:val="38E06631"/>
    <w:rsid w:val="397D4DF2"/>
    <w:rsid w:val="39A14A8C"/>
    <w:rsid w:val="39A51FB7"/>
    <w:rsid w:val="39CE38A0"/>
    <w:rsid w:val="3A335C4A"/>
    <w:rsid w:val="3A4E5CD0"/>
    <w:rsid w:val="3A932306"/>
    <w:rsid w:val="3A9B19D4"/>
    <w:rsid w:val="3AA50AA5"/>
    <w:rsid w:val="3AED7D56"/>
    <w:rsid w:val="3AFF323F"/>
    <w:rsid w:val="3B037579"/>
    <w:rsid w:val="3B1B48C3"/>
    <w:rsid w:val="3B3C56A0"/>
    <w:rsid w:val="3B4A51A8"/>
    <w:rsid w:val="3B4F6072"/>
    <w:rsid w:val="3B523475"/>
    <w:rsid w:val="3B627E9D"/>
    <w:rsid w:val="3B676A8B"/>
    <w:rsid w:val="3B8F3CAA"/>
    <w:rsid w:val="3B9D25DA"/>
    <w:rsid w:val="3BC211E2"/>
    <w:rsid w:val="3BC5272B"/>
    <w:rsid w:val="3BF23CE7"/>
    <w:rsid w:val="3BFE2889"/>
    <w:rsid w:val="3C5E4033"/>
    <w:rsid w:val="3C65629E"/>
    <w:rsid w:val="3C756FCB"/>
    <w:rsid w:val="3C7A05B9"/>
    <w:rsid w:val="3C835B1D"/>
    <w:rsid w:val="3C844C04"/>
    <w:rsid w:val="3CAA05F4"/>
    <w:rsid w:val="3CB638C7"/>
    <w:rsid w:val="3CB704EE"/>
    <w:rsid w:val="3CC176EC"/>
    <w:rsid w:val="3CDA6878"/>
    <w:rsid w:val="3CF33D49"/>
    <w:rsid w:val="3CF7166D"/>
    <w:rsid w:val="3CFF6AF3"/>
    <w:rsid w:val="3D4249FF"/>
    <w:rsid w:val="3D527AF5"/>
    <w:rsid w:val="3DD21A5C"/>
    <w:rsid w:val="3DE9514C"/>
    <w:rsid w:val="3DEF6388"/>
    <w:rsid w:val="3E304603"/>
    <w:rsid w:val="3E410EBD"/>
    <w:rsid w:val="3E483849"/>
    <w:rsid w:val="3E571BF5"/>
    <w:rsid w:val="3EAB2402"/>
    <w:rsid w:val="3EB3014F"/>
    <w:rsid w:val="3EB968CD"/>
    <w:rsid w:val="3ED876F1"/>
    <w:rsid w:val="3F9A411B"/>
    <w:rsid w:val="3FCC2FD1"/>
    <w:rsid w:val="3FF102E8"/>
    <w:rsid w:val="403311B0"/>
    <w:rsid w:val="404E1382"/>
    <w:rsid w:val="40842F0A"/>
    <w:rsid w:val="408E3D89"/>
    <w:rsid w:val="4090365D"/>
    <w:rsid w:val="40BA4B7E"/>
    <w:rsid w:val="40D30C94"/>
    <w:rsid w:val="40E63BC5"/>
    <w:rsid w:val="412B29A8"/>
    <w:rsid w:val="413D1A37"/>
    <w:rsid w:val="41442400"/>
    <w:rsid w:val="41461F1A"/>
    <w:rsid w:val="41525EBB"/>
    <w:rsid w:val="41764A2B"/>
    <w:rsid w:val="419E624E"/>
    <w:rsid w:val="41A76EB0"/>
    <w:rsid w:val="41D8350E"/>
    <w:rsid w:val="41EC0D67"/>
    <w:rsid w:val="426426E1"/>
    <w:rsid w:val="426E5FEC"/>
    <w:rsid w:val="429A07C3"/>
    <w:rsid w:val="42BE0955"/>
    <w:rsid w:val="42D921E0"/>
    <w:rsid w:val="43035753"/>
    <w:rsid w:val="431F680D"/>
    <w:rsid w:val="434A3F97"/>
    <w:rsid w:val="441D7456"/>
    <w:rsid w:val="444066D4"/>
    <w:rsid w:val="446B0669"/>
    <w:rsid w:val="447A4D50"/>
    <w:rsid w:val="448E7DF1"/>
    <w:rsid w:val="44B57B36"/>
    <w:rsid w:val="44BF6C07"/>
    <w:rsid w:val="44FE459A"/>
    <w:rsid w:val="450B16DB"/>
    <w:rsid w:val="4516341F"/>
    <w:rsid w:val="454B4DFF"/>
    <w:rsid w:val="454C55F1"/>
    <w:rsid w:val="455F7B5C"/>
    <w:rsid w:val="45667082"/>
    <w:rsid w:val="458138DD"/>
    <w:rsid w:val="45A75961"/>
    <w:rsid w:val="45F26630"/>
    <w:rsid w:val="46004114"/>
    <w:rsid w:val="463131AB"/>
    <w:rsid w:val="46345C9D"/>
    <w:rsid w:val="466960D4"/>
    <w:rsid w:val="466B6545"/>
    <w:rsid w:val="468A3E08"/>
    <w:rsid w:val="469D2CCA"/>
    <w:rsid w:val="46EE732F"/>
    <w:rsid w:val="47022DDB"/>
    <w:rsid w:val="47121270"/>
    <w:rsid w:val="4717222D"/>
    <w:rsid w:val="47234CFB"/>
    <w:rsid w:val="47285F3F"/>
    <w:rsid w:val="47370CD6"/>
    <w:rsid w:val="47746B34"/>
    <w:rsid w:val="47AA6B90"/>
    <w:rsid w:val="47E037C5"/>
    <w:rsid w:val="47F70466"/>
    <w:rsid w:val="48052B82"/>
    <w:rsid w:val="48102E25"/>
    <w:rsid w:val="4812457C"/>
    <w:rsid w:val="48214F16"/>
    <w:rsid w:val="482C23F3"/>
    <w:rsid w:val="482F7BFF"/>
    <w:rsid w:val="483B2A48"/>
    <w:rsid w:val="48DB4BFB"/>
    <w:rsid w:val="494A344A"/>
    <w:rsid w:val="49520049"/>
    <w:rsid w:val="49522B6D"/>
    <w:rsid w:val="49544F98"/>
    <w:rsid w:val="496025F6"/>
    <w:rsid w:val="49A87C69"/>
    <w:rsid w:val="4A1277D9"/>
    <w:rsid w:val="4A2A68D0"/>
    <w:rsid w:val="4A527BD5"/>
    <w:rsid w:val="4A7531D6"/>
    <w:rsid w:val="4A867BE5"/>
    <w:rsid w:val="4A8D15A5"/>
    <w:rsid w:val="4B057D75"/>
    <w:rsid w:val="4B165404"/>
    <w:rsid w:val="4B1D01E3"/>
    <w:rsid w:val="4B341CE6"/>
    <w:rsid w:val="4B38326F"/>
    <w:rsid w:val="4B3F6DC9"/>
    <w:rsid w:val="4BA23901"/>
    <w:rsid w:val="4BB226CF"/>
    <w:rsid w:val="4BC90725"/>
    <w:rsid w:val="4BD765E4"/>
    <w:rsid w:val="4C3C5B7B"/>
    <w:rsid w:val="4CAF749A"/>
    <w:rsid w:val="4CC76658"/>
    <w:rsid w:val="4CDF6259"/>
    <w:rsid w:val="4CE24CB6"/>
    <w:rsid w:val="4D162575"/>
    <w:rsid w:val="4D29462F"/>
    <w:rsid w:val="4D337AB8"/>
    <w:rsid w:val="4D3E17F5"/>
    <w:rsid w:val="4D4E28D6"/>
    <w:rsid w:val="4D6D36A4"/>
    <w:rsid w:val="4D891815"/>
    <w:rsid w:val="4DC83227"/>
    <w:rsid w:val="4DD347B4"/>
    <w:rsid w:val="4DEF40B9"/>
    <w:rsid w:val="4E7168CB"/>
    <w:rsid w:val="4E8A706E"/>
    <w:rsid w:val="4F0B26AA"/>
    <w:rsid w:val="4F3F2E1E"/>
    <w:rsid w:val="4F505DEA"/>
    <w:rsid w:val="4F732300"/>
    <w:rsid w:val="4F932C84"/>
    <w:rsid w:val="4F9C50E5"/>
    <w:rsid w:val="4FAC4FDD"/>
    <w:rsid w:val="4FDA433C"/>
    <w:rsid w:val="4FEB1C3C"/>
    <w:rsid w:val="4FF30377"/>
    <w:rsid w:val="50030775"/>
    <w:rsid w:val="503B403F"/>
    <w:rsid w:val="506F3094"/>
    <w:rsid w:val="50795EBC"/>
    <w:rsid w:val="50B11AF9"/>
    <w:rsid w:val="50D4180D"/>
    <w:rsid w:val="50D91050"/>
    <w:rsid w:val="50E1774A"/>
    <w:rsid w:val="50EB4750"/>
    <w:rsid w:val="50F223AC"/>
    <w:rsid w:val="5124794A"/>
    <w:rsid w:val="512C4CD3"/>
    <w:rsid w:val="51385D77"/>
    <w:rsid w:val="517E3E5E"/>
    <w:rsid w:val="51D83FB9"/>
    <w:rsid w:val="52020133"/>
    <w:rsid w:val="523F4EE3"/>
    <w:rsid w:val="52541382"/>
    <w:rsid w:val="5272689E"/>
    <w:rsid w:val="52BF051D"/>
    <w:rsid w:val="52FC5658"/>
    <w:rsid w:val="531D5A98"/>
    <w:rsid w:val="534327B1"/>
    <w:rsid w:val="535B35DE"/>
    <w:rsid w:val="53D31D87"/>
    <w:rsid w:val="53DA3854"/>
    <w:rsid w:val="541067D7"/>
    <w:rsid w:val="54694499"/>
    <w:rsid w:val="549332C4"/>
    <w:rsid w:val="54B34C03"/>
    <w:rsid w:val="54DD3215"/>
    <w:rsid w:val="550448B0"/>
    <w:rsid w:val="550B5550"/>
    <w:rsid w:val="553828BD"/>
    <w:rsid w:val="55496A0F"/>
    <w:rsid w:val="55BA1450"/>
    <w:rsid w:val="55C027DF"/>
    <w:rsid w:val="55F41EB4"/>
    <w:rsid w:val="561D378D"/>
    <w:rsid w:val="56363C1B"/>
    <w:rsid w:val="564B02FA"/>
    <w:rsid w:val="567D313C"/>
    <w:rsid w:val="570454D5"/>
    <w:rsid w:val="574A2841"/>
    <w:rsid w:val="57631674"/>
    <w:rsid w:val="57896598"/>
    <w:rsid w:val="57AB2DF2"/>
    <w:rsid w:val="57B65C47"/>
    <w:rsid w:val="57C813FC"/>
    <w:rsid w:val="57C816E7"/>
    <w:rsid w:val="57EA58F1"/>
    <w:rsid w:val="57ED1672"/>
    <w:rsid w:val="57EE47D9"/>
    <w:rsid w:val="58070251"/>
    <w:rsid w:val="58730342"/>
    <w:rsid w:val="58747956"/>
    <w:rsid w:val="587D6765"/>
    <w:rsid w:val="587E54A5"/>
    <w:rsid w:val="58FB441B"/>
    <w:rsid w:val="5900038B"/>
    <w:rsid w:val="593B5C71"/>
    <w:rsid w:val="594A3C46"/>
    <w:rsid w:val="5952179F"/>
    <w:rsid w:val="595461AF"/>
    <w:rsid w:val="596010F1"/>
    <w:rsid w:val="59631FEE"/>
    <w:rsid w:val="596439B2"/>
    <w:rsid w:val="597A43B9"/>
    <w:rsid w:val="59A13921"/>
    <w:rsid w:val="59AD1771"/>
    <w:rsid w:val="59F06CC2"/>
    <w:rsid w:val="5A055466"/>
    <w:rsid w:val="5A13192B"/>
    <w:rsid w:val="5A5B0A00"/>
    <w:rsid w:val="5A63421E"/>
    <w:rsid w:val="5A821E11"/>
    <w:rsid w:val="5AC470B7"/>
    <w:rsid w:val="5AC71F19"/>
    <w:rsid w:val="5ACA62B5"/>
    <w:rsid w:val="5AD45511"/>
    <w:rsid w:val="5ADB38CB"/>
    <w:rsid w:val="5AE95636"/>
    <w:rsid w:val="5AF04D43"/>
    <w:rsid w:val="5AF23025"/>
    <w:rsid w:val="5B062A42"/>
    <w:rsid w:val="5B2353A2"/>
    <w:rsid w:val="5B314A5A"/>
    <w:rsid w:val="5B4E48DD"/>
    <w:rsid w:val="5B4F263B"/>
    <w:rsid w:val="5B8F3186"/>
    <w:rsid w:val="5BA31793"/>
    <w:rsid w:val="5BB12BF2"/>
    <w:rsid w:val="5BF9175D"/>
    <w:rsid w:val="5C006A47"/>
    <w:rsid w:val="5C470FA3"/>
    <w:rsid w:val="5C4A4BB0"/>
    <w:rsid w:val="5C4D246E"/>
    <w:rsid w:val="5C8A4190"/>
    <w:rsid w:val="5CB50403"/>
    <w:rsid w:val="5CB87248"/>
    <w:rsid w:val="5D1272B3"/>
    <w:rsid w:val="5D437F7D"/>
    <w:rsid w:val="5D5850AB"/>
    <w:rsid w:val="5D8B6B1F"/>
    <w:rsid w:val="5D963C63"/>
    <w:rsid w:val="5DE11544"/>
    <w:rsid w:val="5E105508"/>
    <w:rsid w:val="5E1F5DFE"/>
    <w:rsid w:val="5ED6097D"/>
    <w:rsid w:val="5EE36949"/>
    <w:rsid w:val="5EF123E7"/>
    <w:rsid w:val="5EF15762"/>
    <w:rsid w:val="5F36042E"/>
    <w:rsid w:val="5F4C6694"/>
    <w:rsid w:val="5F531FCE"/>
    <w:rsid w:val="5F536535"/>
    <w:rsid w:val="5F5E109E"/>
    <w:rsid w:val="5F6540D0"/>
    <w:rsid w:val="5F814D8D"/>
    <w:rsid w:val="5F9349F3"/>
    <w:rsid w:val="5FA65E4B"/>
    <w:rsid w:val="5FB32A6C"/>
    <w:rsid w:val="5FD10A67"/>
    <w:rsid w:val="603911C4"/>
    <w:rsid w:val="604A43A0"/>
    <w:rsid w:val="60681DE6"/>
    <w:rsid w:val="60AE3C5C"/>
    <w:rsid w:val="61265654"/>
    <w:rsid w:val="6147188F"/>
    <w:rsid w:val="61747F7F"/>
    <w:rsid w:val="617F52FC"/>
    <w:rsid w:val="61812E22"/>
    <w:rsid w:val="618E6D3B"/>
    <w:rsid w:val="61CC56D8"/>
    <w:rsid w:val="61F21FBB"/>
    <w:rsid w:val="621C011D"/>
    <w:rsid w:val="622B7232"/>
    <w:rsid w:val="62332AEA"/>
    <w:rsid w:val="62373E29"/>
    <w:rsid w:val="624D4504"/>
    <w:rsid w:val="628E67D5"/>
    <w:rsid w:val="62CF2FBC"/>
    <w:rsid w:val="62DD49EA"/>
    <w:rsid w:val="631E2B3E"/>
    <w:rsid w:val="6331362E"/>
    <w:rsid w:val="633E6E7E"/>
    <w:rsid w:val="63471E49"/>
    <w:rsid w:val="63925DCB"/>
    <w:rsid w:val="63A4104A"/>
    <w:rsid w:val="63DA3640"/>
    <w:rsid w:val="63FA72E8"/>
    <w:rsid w:val="63FC41B5"/>
    <w:rsid w:val="64260D50"/>
    <w:rsid w:val="6478540D"/>
    <w:rsid w:val="64CE166F"/>
    <w:rsid w:val="64E64BB9"/>
    <w:rsid w:val="652E506F"/>
    <w:rsid w:val="65501489"/>
    <w:rsid w:val="65764C68"/>
    <w:rsid w:val="657A02B4"/>
    <w:rsid w:val="659A6BA8"/>
    <w:rsid w:val="65AF1064"/>
    <w:rsid w:val="65CC5CFA"/>
    <w:rsid w:val="65F41B5F"/>
    <w:rsid w:val="660364FC"/>
    <w:rsid w:val="661070A1"/>
    <w:rsid w:val="664D3C1B"/>
    <w:rsid w:val="673426E5"/>
    <w:rsid w:val="673C134E"/>
    <w:rsid w:val="67621CBB"/>
    <w:rsid w:val="676C0174"/>
    <w:rsid w:val="677E1BB2"/>
    <w:rsid w:val="679413D5"/>
    <w:rsid w:val="67A12167"/>
    <w:rsid w:val="67E90BBA"/>
    <w:rsid w:val="68442DFB"/>
    <w:rsid w:val="687A6B13"/>
    <w:rsid w:val="68BC5088"/>
    <w:rsid w:val="68BE2BAE"/>
    <w:rsid w:val="69046B0D"/>
    <w:rsid w:val="69057C39"/>
    <w:rsid w:val="69366FB6"/>
    <w:rsid w:val="69475668"/>
    <w:rsid w:val="695D4175"/>
    <w:rsid w:val="696A4AE4"/>
    <w:rsid w:val="69714D18"/>
    <w:rsid w:val="69845BA5"/>
    <w:rsid w:val="69931D97"/>
    <w:rsid w:val="69BA15C7"/>
    <w:rsid w:val="6A357B03"/>
    <w:rsid w:val="6A3C1223"/>
    <w:rsid w:val="6A622B92"/>
    <w:rsid w:val="6A6634FD"/>
    <w:rsid w:val="6A6D6639"/>
    <w:rsid w:val="6A6E77C4"/>
    <w:rsid w:val="6A86594D"/>
    <w:rsid w:val="6AE02E8A"/>
    <w:rsid w:val="6AEA1A38"/>
    <w:rsid w:val="6B472799"/>
    <w:rsid w:val="6B480229"/>
    <w:rsid w:val="6B484C3E"/>
    <w:rsid w:val="6BA77061"/>
    <w:rsid w:val="6BD12C1C"/>
    <w:rsid w:val="6BDB1979"/>
    <w:rsid w:val="6BE84243"/>
    <w:rsid w:val="6BEC7A32"/>
    <w:rsid w:val="6BF377E9"/>
    <w:rsid w:val="6C1D5E3D"/>
    <w:rsid w:val="6C276E42"/>
    <w:rsid w:val="6C384A25"/>
    <w:rsid w:val="6C3F1435"/>
    <w:rsid w:val="6C4F0AAB"/>
    <w:rsid w:val="6C58731C"/>
    <w:rsid w:val="6CA068D4"/>
    <w:rsid w:val="6CA744DE"/>
    <w:rsid w:val="6CB024E5"/>
    <w:rsid w:val="6CC30197"/>
    <w:rsid w:val="6CDA0891"/>
    <w:rsid w:val="6CE82EAD"/>
    <w:rsid w:val="6CF21078"/>
    <w:rsid w:val="6D070820"/>
    <w:rsid w:val="6D0B0FEC"/>
    <w:rsid w:val="6D140385"/>
    <w:rsid w:val="6D3D10EF"/>
    <w:rsid w:val="6D567859"/>
    <w:rsid w:val="6DA21ABD"/>
    <w:rsid w:val="6DC36570"/>
    <w:rsid w:val="6DC634D1"/>
    <w:rsid w:val="6DDE7F68"/>
    <w:rsid w:val="6DEC3D19"/>
    <w:rsid w:val="6DF85D28"/>
    <w:rsid w:val="6EAE16EA"/>
    <w:rsid w:val="6EBC7B8F"/>
    <w:rsid w:val="6F7C517B"/>
    <w:rsid w:val="6FC52A74"/>
    <w:rsid w:val="6FFC7F82"/>
    <w:rsid w:val="704F058F"/>
    <w:rsid w:val="70755745"/>
    <w:rsid w:val="70CB230C"/>
    <w:rsid w:val="70D94705"/>
    <w:rsid w:val="70FA6B7B"/>
    <w:rsid w:val="70FE448F"/>
    <w:rsid w:val="710A4C45"/>
    <w:rsid w:val="71381023"/>
    <w:rsid w:val="71A32941"/>
    <w:rsid w:val="71B022EE"/>
    <w:rsid w:val="71C5287D"/>
    <w:rsid w:val="72184E0E"/>
    <w:rsid w:val="72184E79"/>
    <w:rsid w:val="7231619E"/>
    <w:rsid w:val="726447C6"/>
    <w:rsid w:val="72C2329A"/>
    <w:rsid w:val="72D509D3"/>
    <w:rsid w:val="72DC5216"/>
    <w:rsid w:val="72DC7494"/>
    <w:rsid w:val="72DF3E4C"/>
    <w:rsid w:val="7357013F"/>
    <w:rsid w:val="73B9644B"/>
    <w:rsid w:val="73D239B1"/>
    <w:rsid w:val="73DE7507"/>
    <w:rsid w:val="7407627D"/>
    <w:rsid w:val="742529DB"/>
    <w:rsid w:val="7476108D"/>
    <w:rsid w:val="7494602B"/>
    <w:rsid w:val="749A6048"/>
    <w:rsid w:val="74B65081"/>
    <w:rsid w:val="75614247"/>
    <w:rsid w:val="75842A89"/>
    <w:rsid w:val="75B4336E"/>
    <w:rsid w:val="75E20A21"/>
    <w:rsid w:val="75EC2C69"/>
    <w:rsid w:val="762A53DF"/>
    <w:rsid w:val="7634625D"/>
    <w:rsid w:val="764D37C3"/>
    <w:rsid w:val="76515A45"/>
    <w:rsid w:val="76530C47"/>
    <w:rsid w:val="76645971"/>
    <w:rsid w:val="768F7938"/>
    <w:rsid w:val="76D07E61"/>
    <w:rsid w:val="76E13C50"/>
    <w:rsid w:val="76E83563"/>
    <w:rsid w:val="76F66F20"/>
    <w:rsid w:val="76F94EB0"/>
    <w:rsid w:val="771266B0"/>
    <w:rsid w:val="77B749F4"/>
    <w:rsid w:val="77B85EE8"/>
    <w:rsid w:val="77C33D3D"/>
    <w:rsid w:val="781C51FB"/>
    <w:rsid w:val="782D565A"/>
    <w:rsid w:val="78796056"/>
    <w:rsid w:val="788A6608"/>
    <w:rsid w:val="78977DD6"/>
    <w:rsid w:val="78D930EC"/>
    <w:rsid w:val="78DD0E2E"/>
    <w:rsid w:val="790C2D62"/>
    <w:rsid w:val="792E168A"/>
    <w:rsid w:val="797F3361"/>
    <w:rsid w:val="79BA6503"/>
    <w:rsid w:val="79CF798A"/>
    <w:rsid w:val="79D7762B"/>
    <w:rsid w:val="7A505630"/>
    <w:rsid w:val="7A665F33"/>
    <w:rsid w:val="7A7441C6"/>
    <w:rsid w:val="7A820FE2"/>
    <w:rsid w:val="7A861051"/>
    <w:rsid w:val="7A9C5C09"/>
    <w:rsid w:val="7AB61937"/>
    <w:rsid w:val="7AC57DCC"/>
    <w:rsid w:val="7AD95625"/>
    <w:rsid w:val="7AF03942"/>
    <w:rsid w:val="7B0C0F79"/>
    <w:rsid w:val="7B130B37"/>
    <w:rsid w:val="7B1936C4"/>
    <w:rsid w:val="7B58707B"/>
    <w:rsid w:val="7B971768"/>
    <w:rsid w:val="7B9A6B62"/>
    <w:rsid w:val="7BCD097D"/>
    <w:rsid w:val="7BD45209"/>
    <w:rsid w:val="7C2E374F"/>
    <w:rsid w:val="7C63164A"/>
    <w:rsid w:val="7C6B49A3"/>
    <w:rsid w:val="7CCD740C"/>
    <w:rsid w:val="7CDB7B03"/>
    <w:rsid w:val="7CF66946"/>
    <w:rsid w:val="7D390712"/>
    <w:rsid w:val="7D3A2102"/>
    <w:rsid w:val="7D456FA2"/>
    <w:rsid w:val="7D4D43F3"/>
    <w:rsid w:val="7D5F4F94"/>
    <w:rsid w:val="7DAE7CF4"/>
    <w:rsid w:val="7DD547CA"/>
    <w:rsid w:val="7DF82266"/>
    <w:rsid w:val="7E1370A0"/>
    <w:rsid w:val="7E16443C"/>
    <w:rsid w:val="7E2E6163"/>
    <w:rsid w:val="7E434750"/>
    <w:rsid w:val="7E701182"/>
    <w:rsid w:val="7E786F03"/>
    <w:rsid w:val="7E825B96"/>
    <w:rsid w:val="7EAF4D12"/>
    <w:rsid w:val="7EBB39C0"/>
    <w:rsid w:val="7EFB200E"/>
    <w:rsid w:val="7F054BD0"/>
    <w:rsid w:val="7F0C6276"/>
    <w:rsid w:val="7F2B127E"/>
    <w:rsid w:val="7F5D6825"/>
    <w:rsid w:val="7F9F0E2D"/>
    <w:rsid w:val="7FBB179D"/>
    <w:rsid w:val="7FCA19E0"/>
    <w:rsid w:val="7FDD5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ind w:left="380"/>
    </w:pPr>
  </w:style>
  <w:style w:type="paragraph" w:styleId="5">
    <w:name w:val="Body Text Indent"/>
    <w:basedOn w:val="1"/>
    <w:qFormat/>
    <w:uiPriority w:val="0"/>
    <w:pPr>
      <w:ind w:firstLine="444"/>
    </w:pPr>
    <w:rPr>
      <w:b/>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qFormat/>
    <w:uiPriority w:val="10"/>
    <w:pPr>
      <w:spacing w:before="240" w:after="60"/>
      <w:jc w:val="center"/>
      <w:outlineLvl w:val="0"/>
    </w:pPr>
    <w:rPr>
      <w:rFonts w:ascii="Arial" w:hAnsi="Arial"/>
      <w:b/>
      <w:sz w:val="32"/>
    </w:rPr>
  </w:style>
  <w:style w:type="paragraph" w:styleId="10">
    <w:name w:val="Body Text First Indent 2"/>
    <w:basedOn w:val="5"/>
    <w:next w:val="1"/>
    <w:unhideWhenUsed/>
    <w:qFormat/>
    <w:uiPriority w:val="99"/>
    <w:pPr>
      <w:spacing w:after="120"/>
      <w:ind w:left="420" w:leftChars="200" w:firstLine="420" w:firstLineChars="200"/>
    </w:pPr>
    <w:rPr>
      <w:b w:val="0"/>
      <w:sz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FollowedHyperlink"/>
    <w:basedOn w:val="13"/>
    <w:qFormat/>
    <w:uiPriority w:val="0"/>
    <w:rPr>
      <w:color w:val="444444"/>
      <w:u w:val="none"/>
    </w:rPr>
  </w:style>
  <w:style w:type="character" w:styleId="16">
    <w:name w:val="Emphasis"/>
    <w:basedOn w:val="13"/>
    <w:qFormat/>
    <w:uiPriority w:val="0"/>
    <w:rPr>
      <w:rFonts w:hint="eastAsia" w:ascii="微软雅黑" w:hAnsi="微软雅黑" w:eastAsia="微软雅黑" w:cs="微软雅黑"/>
    </w:rPr>
  </w:style>
  <w:style w:type="character" w:styleId="17">
    <w:name w:val="Hyperlink"/>
    <w:basedOn w:val="13"/>
    <w:qFormat/>
    <w:uiPriority w:val="0"/>
    <w:rPr>
      <w:color w:val="444444"/>
      <w:u w:val="none"/>
    </w:rPr>
  </w:style>
  <w:style w:type="paragraph" w:customStyle="1" w:styleId="18">
    <w:name w:val="Default"/>
    <w:basedOn w:val="1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纯文本1"/>
    <w:basedOn w:val="1"/>
    <w:qFormat/>
    <w:uiPriority w:val="0"/>
    <w:pPr>
      <w:textAlignment w:val="baseline"/>
    </w:pPr>
    <w:rPr>
      <w:rFonts w:hAnsi="Courier New" w:cs="Times New Roman"/>
    </w:rPr>
  </w:style>
  <w:style w:type="paragraph" w:customStyle="1" w:styleId="20">
    <w:name w:val="正文1"/>
    <w:basedOn w:val="1"/>
    <w:qFormat/>
    <w:uiPriority w:val="0"/>
    <w:pPr>
      <w:adjustRightInd w:val="0"/>
      <w:spacing w:line="360" w:lineRule="atLeast"/>
      <w:jc w:val="left"/>
    </w:pPr>
    <w:rPr>
      <w:rFonts w:ascii="宋体"/>
      <w:kern w:val="0"/>
      <w:sz w:val="24"/>
    </w:rPr>
  </w:style>
  <w:style w:type="paragraph" w:customStyle="1" w:styleId="21">
    <w:name w:val="样式1"/>
    <w:basedOn w:val="1"/>
    <w:qFormat/>
    <w:uiPriority w:val="0"/>
    <w:rPr>
      <w:b/>
      <w:color w:val="538135"/>
      <w:sz w:val="28"/>
    </w:rPr>
  </w:style>
  <w:style w:type="character" w:customStyle="1" w:styleId="22">
    <w:name w:val="enter"/>
    <w:basedOn w:val="13"/>
    <w:qFormat/>
    <w:uiPriority w:val="0"/>
  </w:style>
  <w:style w:type="character" w:customStyle="1" w:styleId="23">
    <w:name w:val="realname"/>
    <w:basedOn w:val="13"/>
    <w:qFormat/>
    <w:uiPriority w:val="0"/>
  </w:style>
  <w:style w:type="character" w:customStyle="1" w:styleId="24">
    <w:name w:val="realname1"/>
    <w:basedOn w:val="13"/>
    <w:qFormat/>
    <w:uiPriority w:val="0"/>
  </w:style>
  <w:style w:type="character" w:customStyle="1" w:styleId="25">
    <w:name w:val="bwvip"/>
    <w:basedOn w:val="13"/>
    <w:qFormat/>
    <w:uiPriority w:val="0"/>
  </w:style>
  <w:style w:type="character" w:customStyle="1" w:styleId="26">
    <w:name w:val="vip"/>
    <w:basedOn w:val="13"/>
    <w:qFormat/>
    <w:uiPriority w:val="0"/>
  </w:style>
  <w:style w:type="character" w:customStyle="1" w:styleId="27">
    <w:name w:val="book"/>
    <w:basedOn w:val="13"/>
    <w:qFormat/>
    <w:uiPriority w:val="0"/>
  </w:style>
  <w:style w:type="character" w:customStyle="1" w:styleId="28">
    <w:name w:val="enter1"/>
    <w:basedOn w:val="13"/>
    <w:qFormat/>
    <w:uiPriority w:val="0"/>
  </w:style>
  <w:style w:type="paragraph" w:customStyle="1" w:styleId="29">
    <w:name w:val="Other|1"/>
    <w:basedOn w:val="1"/>
    <w:qFormat/>
    <w:uiPriority w:val="0"/>
    <w:pPr>
      <w:widowControl w:val="0"/>
      <w:shd w:val="clear" w:color="auto" w:fill="auto"/>
      <w:spacing w:line="434" w:lineRule="auto"/>
      <w:ind w:firstLine="400"/>
    </w:pPr>
    <w:rPr>
      <w:rFonts w:ascii="宋体" w:hAnsi="宋体" w:eastAsia="宋体" w:cs="宋体"/>
      <w:sz w:val="22"/>
      <w:szCs w:val="22"/>
      <w:u w:val="none"/>
      <w:shd w:val="clear" w:color="auto" w:fill="auto"/>
      <w:lang w:val="zh-TW" w:eastAsia="zh-TW" w:bidi="zh-TW"/>
    </w:rPr>
  </w:style>
  <w:style w:type="character" w:customStyle="1" w:styleId="30">
    <w:name w:val="font31"/>
    <w:basedOn w:val="13"/>
    <w:qFormat/>
    <w:uiPriority w:val="0"/>
    <w:rPr>
      <w:rFonts w:hint="default" w:ascii="等线" w:hAnsi="等线" w:eastAsia="等线" w:cs="等线"/>
      <w:color w:val="000000"/>
      <w:sz w:val="24"/>
      <w:szCs w:val="24"/>
      <w:u w:val="none"/>
    </w:rPr>
  </w:style>
  <w:style w:type="character" w:customStyle="1" w:styleId="31">
    <w:name w:val="font61"/>
    <w:basedOn w:val="13"/>
    <w:qFormat/>
    <w:uiPriority w:val="0"/>
    <w:rPr>
      <w:rFonts w:hint="eastAsia" w:ascii="宋体" w:hAnsi="宋体" w:eastAsia="宋体" w:cs="宋体"/>
      <w:color w:val="000000"/>
      <w:sz w:val="21"/>
      <w:szCs w:val="21"/>
      <w:u w:val="none"/>
    </w:rPr>
  </w:style>
  <w:style w:type="character" w:customStyle="1" w:styleId="32">
    <w:name w:val="font51"/>
    <w:basedOn w:val="13"/>
    <w:qFormat/>
    <w:uiPriority w:val="0"/>
    <w:rPr>
      <w:rFonts w:hint="eastAsia" w:ascii="宋体" w:hAnsi="宋体" w:eastAsia="宋体" w:cs="宋体"/>
      <w:color w:val="000000"/>
      <w:sz w:val="20"/>
      <w:szCs w:val="20"/>
      <w:u w:val="none"/>
    </w:rPr>
  </w:style>
  <w:style w:type="character" w:customStyle="1" w:styleId="33">
    <w:name w:val="font81"/>
    <w:basedOn w:val="13"/>
    <w:qFormat/>
    <w:uiPriority w:val="0"/>
    <w:rPr>
      <w:rFonts w:hint="default" w:ascii="Times New Roman" w:hAnsi="Times New Roman" w:cs="Times New Roman"/>
      <w:color w:val="000000"/>
      <w:sz w:val="21"/>
      <w:szCs w:val="21"/>
      <w:u w:val="none"/>
    </w:rPr>
  </w:style>
  <w:style w:type="paragraph" w:customStyle="1" w:styleId="34">
    <w:name w:val="Normal_9"/>
    <w:qFormat/>
    <w:uiPriority w:val="0"/>
    <w:pPr>
      <w:spacing w:before="120" w:after="240"/>
      <w:jc w:val="both"/>
    </w:pPr>
    <w:rPr>
      <w:rFonts w:ascii="Calibri" w:hAnsi="Calibri" w:eastAsia="Calibri" w:cs="Times New Roman"/>
      <w:sz w:val="22"/>
      <w:szCs w:val="22"/>
      <w:lang w:val="en-US" w:eastAsia="en-US" w:bidi="ar-SA"/>
    </w:rPr>
  </w:style>
  <w:style w:type="paragraph" w:styleId="35">
    <w:name w:val="List Paragraph"/>
    <w:basedOn w:val="1"/>
    <w:qFormat/>
    <w:uiPriority w:val="34"/>
    <w:pPr>
      <w:ind w:firstLine="420" w:firstLineChars="200"/>
    </w:pPr>
  </w:style>
  <w:style w:type="paragraph" w:customStyle="1" w:styleId="36">
    <w:name w:val="Table Paragraph"/>
    <w:basedOn w:val="1"/>
    <w:qFormat/>
    <w:uiPriority w:val="1"/>
    <w:rPr>
      <w:rFonts w:ascii="宋体" w:hAnsi="宋体" w:eastAsia="宋体" w:cs="宋体"/>
    </w:rPr>
  </w:style>
  <w:style w:type="paragraph" w:customStyle="1" w:styleId="37">
    <w:name w:val="正文 A"/>
    <w:basedOn w:val="1"/>
    <w:qFormat/>
    <w:uiPriority w:val="0"/>
    <w:rPr>
      <w:rFonts w:eastAsia="Arial Unicode MS" w:cs="Arial Unicode MS"/>
      <w:color w:val="000000"/>
      <w:szCs w:val="21"/>
    </w:rPr>
  </w:style>
  <w:style w:type="table" w:customStyle="1" w:styleId="38">
    <w:name w:val="Table Normal"/>
    <w:semiHidden/>
    <w:unhideWhenUsed/>
    <w:qFormat/>
    <w:uiPriority w:val="0"/>
    <w:tblPr>
      <w:tblCellMar>
        <w:top w:w="0" w:type="dxa"/>
        <w:left w:w="0" w:type="dxa"/>
        <w:bottom w:w="0" w:type="dxa"/>
        <w:right w:w="0" w:type="dxa"/>
      </w:tblCellMar>
    </w:tblPr>
  </w:style>
  <w:style w:type="character" w:customStyle="1" w:styleId="39">
    <w:name w:val="标题 1 Char"/>
    <w:link w:val="2"/>
    <w:qFormat/>
    <w:uiPriority w:val="0"/>
    <w:rPr>
      <w:rFonts w:ascii="微软雅黑" w:hAnsi="微软雅黑" w:eastAsia="微软雅黑" w:cs="微软雅黑"/>
      <w:b/>
      <w:kern w:val="44"/>
      <w:sz w:val="48"/>
      <w:szCs w:val="48"/>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2528</Words>
  <Characters>3037</Characters>
  <Lines>0</Lines>
  <Paragraphs>0</Paragraphs>
  <TotalTime>12</TotalTime>
  <ScaleCrop>false</ScaleCrop>
  <LinksUpToDate>false</LinksUpToDate>
  <CharactersWithSpaces>3115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螺丝粉</cp:lastModifiedBy>
  <cp:lastPrinted>2021-03-30T08:55:00Z</cp:lastPrinted>
  <dcterms:modified xsi:type="dcterms:W3CDTF">2024-05-15T09:07:27Z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C60470C15BF94A51B0478B2A7C6A6C6C_13</vt:lpwstr>
  </property>
</Properties>
</file>