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color w:val="auto"/>
          <w:sz w:val="24"/>
          <w:highlight w:val="none"/>
          <w:lang w:eastAsia="zh-CN"/>
        </w:rPr>
      </w:pPr>
      <w:bookmarkStart w:id="19" w:name="_GoBack"/>
      <w:r>
        <w:rPr>
          <w:rFonts w:hint="eastAsia" w:ascii="宋体" w:hAnsi="宋体" w:eastAsia="宋体" w:cs="宋体"/>
          <w:color w:val="auto"/>
          <w:sz w:val="24"/>
          <w:highlight w:val="none"/>
          <w:lang w:eastAsia="zh-CN"/>
        </w:rPr>
        <w:t>田田碳素石油焦质量标准</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0" w:name="_Toc1663"/>
      <w:bookmarkStart w:id="1" w:name="_Toc20273"/>
      <w:bookmarkStart w:id="2" w:name="_Toc27731"/>
      <w:bookmarkStart w:id="3" w:name="_Toc6066"/>
      <w:r>
        <w:rPr>
          <w:rFonts w:hint="eastAsia" w:ascii="宋体" w:hAnsi="宋体" w:eastAsia="宋体" w:cs="宋体"/>
          <w:b/>
          <w:bCs w:val="0"/>
          <w:kern w:val="10"/>
          <w:sz w:val="24"/>
          <w:lang w:val="en-US" w:eastAsia="zh-CN"/>
        </w:rPr>
        <w:t>1.1 范围</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bookmarkStart w:id="4" w:name="_Toc551"/>
      <w:bookmarkStart w:id="5" w:name="_Toc24537"/>
      <w:bookmarkStart w:id="6" w:name="_Toc13700"/>
      <w:bookmarkStart w:id="7" w:name="_Toc12403"/>
      <w:r>
        <w:rPr>
          <w:rFonts w:hint="eastAsia" w:ascii="宋体" w:hAnsi="宋体" w:eastAsia="宋体" w:cs="Times New Roman"/>
          <w:kern w:val="10"/>
          <w:sz w:val="24"/>
          <w:lang w:val="en-US" w:eastAsia="zh-CN"/>
        </w:rPr>
        <w:t>本标准依据NB/SH/T 0527-2019石油焦（生焦）标准，结合田田碳素实际生产运行情况编制，规定了石油焦理化性能、检验频次及取样方法等要求。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适用于田田碳素石油焦（生焦）的质量检验及质量验证。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8" w:name="_Toc12099"/>
      <w:r>
        <w:rPr>
          <w:rFonts w:hint="eastAsia" w:ascii="宋体" w:hAnsi="宋体" w:eastAsia="宋体" w:cs="宋体"/>
          <w:b/>
          <w:bCs w:val="0"/>
          <w:kern w:val="10"/>
          <w:sz w:val="24"/>
          <w:lang w:val="en-US" w:eastAsia="zh-CN"/>
        </w:rPr>
        <w:t>1.2 规范性引用文件</w:t>
      </w:r>
      <w:bookmarkEnd w:id="4"/>
      <w:bookmarkEnd w:id="5"/>
      <w:bookmarkEnd w:id="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下列文件中，除正在执行的合同中有明确规定外，其最新版本（包括所有的修改单）适用于本标准。该部分标准的引用，包括（但不限于）取样方法、检测方法、重复性、再现性、数值修约等规定要求。</w:t>
      </w:r>
    </w:p>
    <w:p>
      <w:pPr>
        <w:pStyle w:val="11"/>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color w:val="auto"/>
          <w:kern w:val="10"/>
          <w:sz w:val="24"/>
          <w:szCs w:val="24"/>
          <w:highlight w:val="none"/>
          <w:lang w:val="en-US" w:eastAsia="zh-CN"/>
        </w:rPr>
        <w:t>GB/T 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pPr>
        <w:pStyle w:val="11"/>
        <w:keepNext w:val="0"/>
        <w:keepLines w:val="0"/>
        <w:pageBreakBefore w:val="0"/>
        <w:widowControl w:val="0"/>
        <w:kinsoku/>
        <w:wordWrap/>
        <w:overflowPunct/>
        <w:topLinePunct w:val="0"/>
        <w:bidi w:val="0"/>
        <w:snapToGrid/>
        <w:spacing w:line="440" w:lineRule="exact"/>
        <w:ind w:firstLine="480" w:firstLineChars="200"/>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kern w:val="10"/>
          <w:sz w:val="24"/>
          <w:lang w:val="en-US" w:eastAsia="zh-CN"/>
        </w:rPr>
        <w:t>NB/SH/T 0527</w:t>
      </w:r>
      <w:r>
        <w:rPr>
          <w:rFonts w:hint="eastAsia" w:ascii="宋体" w:hAnsi="宋体" w:cs="Times New Roman"/>
          <w:kern w:val="10"/>
          <w:sz w:val="24"/>
          <w:lang w:val="en-US" w:eastAsia="zh-CN"/>
        </w:rPr>
        <w:t>-</w:t>
      </w:r>
      <w:r>
        <w:rPr>
          <w:rFonts w:hint="eastAsia" w:ascii="宋体" w:hAnsi="宋体" w:eastAsia="宋体" w:cs="Times New Roman"/>
          <w:kern w:val="10"/>
          <w:sz w:val="24"/>
          <w:lang w:val="en-US" w:eastAsia="zh-CN"/>
        </w:rPr>
        <w:t>2019石油焦（生焦）</w:t>
      </w:r>
    </w:p>
    <w:p>
      <w:pPr>
        <w:keepNext w:val="0"/>
        <w:keepLines w:val="0"/>
        <w:pageBreakBefore w:val="0"/>
        <w:widowControl w:val="0"/>
        <w:kinsoku/>
        <w:wordWrap/>
        <w:overflowPunct/>
        <w:topLinePunct w:val="0"/>
        <w:autoSpaceDE/>
        <w:autoSpaceDN/>
        <w:bidi w:val="0"/>
        <w:adjustRightInd/>
        <w:snapToGrid/>
        <w:spacing w:line="440" w:lineRule="exact"/>
        <w:ind w:left="479" w:leftChars="228" w:firstLine="0" w:firstLineChars="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YS/T 63.16铝用炭素材料检测方法 第16部份 微量元素的测定X射线荧光光谱分析方法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0026石油焦挥发分测定法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0029石油焦灰分测定法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0032石油焦总水分测定法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SH/T 0313石油焦检验法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w:t>
      </w:r>
      <w:r>
        <w:rPr>
          <w:rFonts w:hint="eastAsia" w:ascii="宋体" w:hAnsi="宋体" w:eastAsia="宋体" w:cs="Times New Roman"/>
          <w:kern w:val="10"/>
          <w:sz w:val="24"/>
          <w:highlight w:val="none"/>
          <w:lang w:val="en-US" w:eastAsia="zh-CN"/>
        </w:rPr>
        <w:t xml:space="preserve"> </w:t>
      </w:r>
      <w:r>
        <w:rPr>
          <w:rFonts w:hint="default" w:ascii="宋体" w:hAnsi="宋体" w:eastAsia="宋体" w:cs="Times New Roman"/>
          <w:kern w:val="10"/>
          <w:sz w:val="24"/>
          <w:highlight w:val="none"/>
          <w:lang w:val="en-US" w:eastAsia="zh-CN"/>
        </w:rPr>
        <w:t>211煤中全水分的测定方法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 214-2007煤中全硫的测定方法</w:t>
      </w:r>
    </w:p>
    <w:bookmarkEnd w:id="6"/>
    <w:bookmarkEnd w:id="7"/>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bookmarkStart w:id="9" w:name="_Toc16748"/>
      <w:r>
        <w:rPr>
          <w:rFonts w:hint="eastAsia" w:ascii="宋体" w:hAnsi="宋体" w:eastAsia="宋体" w:cs="宋体"/>
          <w:b/>
          <w:bCs w:val="0"/>
          <w:kern w:val="10"/>
          <w:sz w:val="24"/>
          <w:lang w:val="en-US" w:eastAsia="zh-CN"/>
        </w:rPr>
        <w:t>1.3 技术要求和试验方法</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b w:val="0"/>
          <w:bCs w:val="0"/>
          <w:color w:val="auto"/>
          <w:kern w:val="10"/>
          <w:sz w:val="24"/>
          <w:szCs w:val="22"/>
          <w:lang w:val="en-US" w:eastAsia="zh-CN" w:bidi="ar-SA"/>
        </w:rPr>
      </w:pPr>
      <w:r>
        <w:rPr>
          <w:rFonts w:hint="eastAsia" w:ascii="宋体" w:hAnsi="宋体" w:eastAsia="宋体" w:cs="Times New Roman"/>
          <w:kern w:val="10"/>
          <w:sz w:val="24"/>
          <w:lang w:val="en-US" w:eastAsia="zh-CN"/>
        </w:rPr>
        <w:t>石油焦（生焦）的技术要求和试验方法应符合表1规定。</w:t>
      </w:r>
    </w:p>
    <w:p>
      <w:pPr>
        <w:pStyle w:val="4"/>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表1：石油焦（生焦）技术要求和试验方法</w:t>
      </w:r>
    </w:p>
    <w:tbl>
      <w:tblPr>
        <w:tblStyle w:val="8"/>
        <w:tblW w:w="93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31"/>
        <w:gridCol w:w="1305"/>
        <w:gridCol w:w="1605"/>
        <w:gridCol w:w="1645"/>
        <w:gridCol w:w="24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blHeader/>
          <w:jc w:val="center"/>
        </w:trPr>
        <w:tc>
          <w:tcPr>
            <w:tcW w:w="2331" w:type="dxa"/>
            <w:vMerge w:val="restart"/>
            <w:tcBorders>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color w:val="auto"/>
                <w:kern w:val="10"/>
                <w:sz w:val="21"/>
                <w:szCs w:val="21"/>
                <w:lang w:val="en-US" w:eastAsia="zh-CN"/>
              </w:rPr>
            </w:pPr>
          </w:p>
          <w:p>
            <w:pPr>
              <w:ind w:firstLine="211" w:firstLineChars="100"/>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项</w:t>
            </w:r>
            <w:r>
              <w:rPr>
                <w:rFonts w:hint="eastAsia" w:ascii="宋体" w:hAnsi="宋体" w:eastAsia="宋体" w:cs="宋体"/>
                <w:b/>
                <w:bCs/>
                <w:color w:val="auto"/>
                <w:kern w:val="10"/>
                <w:sz w:val="21"/>
                <w:szCs w:val="21"/>
                <w:lang w:val="en-US" w:eastAsia="zh-CN"/>
              </w:rPr>
              <w:tab/>
            </w:r>
            <w:r>
              <w:rPr>
                <w:rFonts w:hint="eastAsia" w:ascii="宋体" w:hAnsi="宋体" w:eastAsia="宋体" w:cs="宋体"/>
                <w:b/>
                <w:bCs/>
                <w:color w:val="auto"/>
                <w:kern w:val="10"/>
                <w:sz w:val="21"/>
                <w:szCs w:val="21"/>
                <w:lang w:val="en-US" w:eastAsia="zh-CN"/>
              </w:rPr>
              <w:t>目</w:t>
            </w:r>
          </w:p>
        </w:tc>
        <w:tc>
          <w:tcPr>
            <w:tcW w:w="4555" w:type="dxa"/>
            <w:gridSpan w:val="3"/>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质量指标</w:t>
            </w:r>
          </w:p>
        </w:tc>
        <w:tc>
          <w:tcPr>
            <w:tcW w:w="2467" w:type="dxa"/>
            <w:vMerge w:val="restart"/>
            <w:tcBorders>
              <w:left w:val="single" w:color="000000" w:sz="4" w:space="0"/>
            </w:tcBorders>
            <w:vAlign w:val="top"/>
          </w:tcPr>
          <w:p>
            <w:pPr>
              <w:ind w:firstLine="210" w:firstLineChars="100"/>
              <w:jc w:val="center"/>
              <w:rPr>
                <w:rFonts w:hint="eastAsia" w:ascii="宋体" w:hAnsi="宋体" w:eastAsia="宋体" w:cs="宋体"/>
                <w:b w:val="0"/>
                <w:bCs w:val="0"/>
                <w:color w:val="auto"/>
                <w:kern w:val="10"/>
                <w:sz w:val="21"/>
                <w:szCs w:val="21"/>
                <w:lang w:val="en-US" w:eastAsia="zh-CN"/>
              </w:rPr>
            </w:pPr>
          </w:p>
          <w:p>
            <w:pPr>
              <w:ind w:firstLine="211" w:firstLineChars="100"/>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bCs/>
                <w:color w:val="auto"/>
                <w:kern w:val="10"/>
                <w:sz w:val="21"/>
                <w:szCs w:val="21"/>
                <w:lang w:val="en-US" w:eastAsia="zh-CN"/>
              </w:rPr>
              <w:t>试验方法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2331" w:type="dxa"/>
            <w:vMerge w:val="continue"/>
            <w:tcBorders>
              <w:right w:val="single" w:color="000000" w:sz="4" w:space="0"/>
            </w:tcBorders>
          </w:tcPr>
          <w:p>
            <w:pPr>
              <w:ind w:firstLine="211" w:firstLineChars="100"/>
              <w:jc w:val="center"/>
              <w:rPr>
                <w:rFonts w:hint="eastAsia" w:ascii="宋体" w:hAnsi="宋体" w:eastAsia="宋体" w:cs="宋体"/>
                <w:b/>
                <w:bCs/>
                <w:color w:val="auto"/>
                <w:kern w:val="10"/>
                <w:sz w:val="21"/>
                <w:szCs w:val="21"/>
                <w:lang w:val="en-US" w:eastAsia="zh-CN"/>
              </w:rPr>
            </w:pPr>
          </w:p>
        </w:tc>
        <w:tc>
          <w:tcPr>
            <w:tcW w:w="130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低硫石油焦</w:t>
            </w:r>
          </w:p>
        </w:tc>
        <w:tc>
          <w:tcPr>
            <w:tcW w:w="160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中硫石油焦</w:t>
            </w:r>
          </w:p>
        </w:tc>
        <w:tc>
          <w:tcPr>
            <w:tcW w:w="1645" w:type="dxa"/>
            <w:tcBorders>
              <w:top w:val="single" w:color="000000" w:sz="4" w:space="0"/>
              <w:left w:val="single" w:color="000000" w:sz="4" w:space="0"/>
              <w:right w:val="single" w:color="auto" w:sz="4" w:space="0"/>
            </w:tcBorders>
            <w:vAlign w:val="center"/>
          </w:tcPr>
          <w:p>
            <w:pPr>
              <w:jc w:val="center"/>
              <w:rPr>
                <w:rFonts w:hint="eastAsia" w:ascii="宋体" w:hAnsi="宋体" w:eastAsia="宋体" w:cs="宋体"/>
                <w:b/>
                <w:bCs/>
                <w:color w:val="auto"/>
                <w:kern w:val="10"/>
                <w:sz w:val="21"/>
                <w:szCs w:val="21"/>
                <w:lang w:val="en-US" w:eastAsia="zh-CN"/>
              </w:rPr>
            </w:pPr>
            <w:r>
              <w:rPr>
                <w:rFonts w:hint="eastAsia" w:ascii="宋体" w:hAnsi="宋体" w:eastAsia="宋体" w:cs="宋体"/>
                <w:b/>
                <w:bCs/>
                <w:color w:val="auto"/>
                <w:kern w:val="10"/>
                <w:sz w:val="21"/>
                <w:szCs w:val="21"/>
                <w:lang w:val="en-US" w:eastAsia="zh-CN"/>
              </w:rPr>
              <w:t>高硫石油焦</w:t>
            </w:r>
          </w:p>
        </w:tc>
        <w:tc>
          <w:tcPr>
            <w:tcW w:w="2467" w:type="dxa"/>
            <w:vMerge w:val="continue"/>
            <w:tcBorders>
              <w:left w:val="single" w:color="000000" w:sz="4" w:space="0"/>
            </w:tcBorders>
          </w:tcPr>
          <w:p>
            <w:pPr>
              <w:ind w:firstLine="210" w:firstLineChars="100"/>
              <w:jc w:val="center"/>
              <w:rPr>
                <w:rFonts w:hint="eastAsia" w:ascii="宋体" w:hAnsi="宋体" w:eastAsia="宋体" w:cs="宋体"/>
                <w:b w:val="0"/>
                <w:bCs w:val="0"/>
                <w:color w:val="auto"/>
                <w:kern w:val="10"/>
                <w:sz w:val="21"/>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2331"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硫含量(质量分数）%</w:t>
            </w:r>
          </w:p>
        </w:tc>
        <w:tc>
          <w:tcPr>
            <w:tcW w:w="1305" w:type="dxa"/>
            <w:tcBorders>
              <w:left w:val="single" w:color="000000" w:sz="4" w:space="0"/>
              <w:bottom w:val="single" w:color="000000" w:sz="4" w:space="0"/>
              <w:right w:val="single" w:color="auto" w:sz="4" w:space="0"/>
            </w:tcBorders>
            <w:vAlign w:val="center"/>
          </w:tcPr>
          <w:p>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≤1.0</w:t>
            </w:r>
          </w:p>
        </w:tc>
        <w:tc>
          <w:tcPr>
            <w:tcW w:w="1605" w:type="dxa"/>
            <w:tcBorders>
              <w:left w:val="single" w:color="auto" w:sz="4" w:space="0"/>
              <w:bottom w:val="single" w:color="000000" w:sz="4" w:space="0"/>
              <w:right w:val="single" w:color="auto" w:sz="4" w:space="0"/>
            </w:tcBorders>
            <w:vAlign w:val="center"/>
          </w:tcPr>
          <w:p>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1.0＜X≤4.0</w:t>
            </w:r>
          </w:p>
        </w:tc>
        <w:tc>
          <w:tcPr>
            <w:tcW w:w="1645" w:type="dxa"/>
            <w:tcBorders>
              <w:left w:val="single" w:color="auto" w:sz="4" w:space="0"/>
              <w:bottom w:val="single" w:color="000000" w:sz="4" w:space="0"/>
              <w:right w:val="single" w:color="000000" w:sz="4" w:space="0"/>
            </w:tcBorders>
            <w:vAlign w:val="center"/>
          </w:tcPr>
          <w:p>
            <w:pPr>
              <w:jc w:val="center"/>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4.0＜x≤6.0</w:t>
            </w:r>
          </w:p>
        </w:tc>
        <w:tc>
          <w:tcPr>
            <w:tcW w:w="2467" w:type="dxa"/>
            <w:tcBorders>
              <w:left w:val="single" w:color="000000" w:sz="4" w:space="0"/>
              <w:bottom w:val="single" w:color="000000" w:sz="4" w:space="0"/>
            </w:tcBorders>
            <w:vAlign w:val="center"/>
          </w:tcPr>
          <w:p>
            <w:pPr>
              <w:ind w:firstLine="210" w:firstLineChars="100"/>
              <w:jc w:val="both"/>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GB/T214-2007中第4章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挥发分（质量分数）%</w:t>
            </w:r>
          </w:p>
        </w:tc>
        <w:tc>
          <w:tcPr>
            <w:tcW w:w="1305" w:type="dxa"/>
            <w:tcBorders>
              <w:top w:val="single" w:color="000000" w:sz="4" w:space="0"/>
              <w:left w:val="single" w:color="000000" w:sz="4" w:space="0"/>
              <w:bottom w:val="single" w:color="000000" w:sz="4" w:space="0"/>
              <w:right w:val="single" w:color="auto" w:sz="4" w:space="0"/>
            </w:tcBorders>
            <w:vAlign w:val="top"/>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≤10</w:t>
            </w:r>
          </w:p>
        </w:tc>
        <w:tc>
          <w:tcPr>
            <w:tcW w:w="1605" w:type="dxa"/>
            <w:tcBorders>
              <w:top w:val="single" w:color="000000" w:sz="4" w:space="0"/>
              <w:left w:val="single" w:color="auto" w:sz="4" w:space="0"/>
              <w:bottom w:val="single" w:color="000000" w:sz="4" w:space="0"/>
              <w:right w:val="single" w:color="auto" w:sz="4" w:space="0"/>
            </w:tcBorders>
            <w:vAlign w:val="top"/>
          </w:tcPr>
          <w:p>
            <w:pPr>
              <w:tabs>
                <w:tab w:val="left" w:pos="495"/>
              </w:tabs>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≤10</w:t>
            </w:r>
          </w:p>
        </w:tc>
        <w:tc>
          <w:tcPr>
            <w:tcW w:w="1645" w:type="dxa"/>
            <w:tcBorders>
              <w:top w:val="single" w:color="000000" w:sz="4" w:space="0"/>
              <w:left w:val="single" w:color="auto" w:sz="4" w:space="0"/>
              <w:bottom w:val="single" w:color="000000" w:sz="4" w:space="0"/>
              <w:right w:val="single" w:color="000000" w:sz="4" w:space="0"/>
            </w:tcBorders>
            <w:vAlign w:val="top"/>
          </w:tcPr>
          <w:p>
            <w:pPr>
              <w:tabs>
                <w:tab w:val="left" w:pos="495"/>
              </w:tabs>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≤10</w:t>
            </w:r>
          </w:p>
        </w:tc>
        <w:tc>
          <w:tcPr>
            <w:tcW w:w="2467" w:type="dxa"/>
            <w:tcBorders>
              <w:top w:val="single" w:color="000000" w:sz="4" w:space="0"/>
              <w:left w:val="single" w:color="000000" w:sz="4" w:space="0"/>
              <w:bottom w:val="single" w:color="000000" w:sz="4" w:space="0"/>
            </w:tcBorders>
          </w:tcPr>
          <w:p>
            <w:pPr>
              <w:pStyle w:val="4"/>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灰分（质量分数）%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160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164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≤0.5</w:t>
            </w:r>
          </w:p>
        </w:tc>
        <w:tc>
          <w:tcPr>
            <w:tcW w:w="2467" w:type="dxa"/>
            <w:tcBorders>
              <w:top w:val="single" w:color="000000" w:sz="4" w:space="0"/>
              <w:left w:val="single" w:color="000000" w:sz="4" w:space="0"/>
              <w:bottom w:val="single" w:color="000000" w:sz="4" w:space="0"/>
            </w:tcBorders>
            <w:vAlign w:val="center"/>
          </w:tcPr>
          <w:p>
            <w:pPr>
              <w:pStyle w:val="4"/>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总水分（质量分数）%</w:t>
            </w:r>
          </w:p>
        </w:tc>
        <w:tc>
          <w:tcPr>
            <w:tcW w:w="130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160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164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t>≤8.0</w:t>
            </w:r>
          </w:p>
        </w:tc>
        <w:tc>
          <w:tcPr>
            <w:tcW w:w="2467" w:type="dxa"/>
            <w:tcBorders>
              <w:top w:val="single" w:color="000000" w:sz="4" w:space="0"/>
              <w:left w:val="single" w:color="000000" w:sz="4" w:space="0"/>
              <w:bottom w:val="single" w:color="000000" w:sz="4" w:space="0"/>
            </w:tcBorders>
            <w:vAlign w:val="center"/>
          </w:tcPr>
          <w:p>
            <w:pPr>
              <w:pStyle w:val="4"/>
              <w:keepNext w:val="0"/>
              <w:keepLines w:val="0"/>
              <w:pageBreakBefore w:val="0"/>
              <w:widowControl w:val="0"/>
              <w:tabs>
                <w:tab w:val="left" w:pos="3330"/>
              </w:tabs>
              <w:kinsoku/>
              <w:wordWrap/>
              <w:overflowPunct/>
              <w:topLinePunct w:val="0"/>
              <w:bidi w:val="0"/>
              <w:snapToGrid/>
              <w:spacing w:line="240" w:lineRule="auto"/>
              <w:ind w:firstLine="21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SH/T 0032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331"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粉焦量（</w:t>
            </w:r>
            <w:r>
              <w:rPr>
                <w:rFonts w:hint="default" w:ascii="Times New Roman" w:hAnsi="Times New Roman" w:eastAsia="宋体" w:cs="Times New Roman"/>
                <w:b w:val="0"/>
                <w:bCs w:val="0"/>
                <w:color w:val="auto"/>
                <w:kern w:val="10"/>
                <w:sz w:val="21"/>
                <w:szCs w:val="21"/>
                <w:lang w:val="en-US" w:eastAsia="zh-CN"/>
              </w:rPr>
              <w:t>&lt;</w:t>
            </w:r>
            <w:r>
              <w:rPr>
                <w:rFonts w:hint="eastAsia" w:ascii="宋体" w:hAnsi="宋体" w:eastAsia="宋体" w:cs="宋体"/>
                <w:b w:val="0"/>
                <w:bCs w:val="0"/>
                <w:color w:val="auto"/>
                <w:kern w:val="10"/>
                <w:sz w:val="21"/>
                <w:szCs w:val="21"/>
                <w:lang w:val="en-US" w:eastAsia="zh-CN"/>
              </w:rPr>
              <w:t>8mm）%</w:t>
            </w:r>
          </w:p>
        </w:tc>
        <w:tc>
          <w:tcPr>
            <w:tcW w:w="1305"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160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1645" w:type="dxa"/>
            <w:tcBorders>
              <w:top w:val="single" w:color="000000" w:sz="4" w:space="0"/>
              <w:left w:val="single" w:color="auto" w:sz="4" w:space="0"/>
              <w:bottom w:val="single" w:color="000000" w:sz="4" w:space="0"/>
              <w:right w:val="single" w:color="auto" w:sz="4" w:space="0"/>
            </w:tcBorders>
            <w:vAlign w:val="center"/>
          </w:tcPr>
          <w:p>
            <w:pPr>
              <w:jc w:val="center"/>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≤55</w:t>
            </w:r>
          </w:p>
        </w:tc>
        <w:tc>
          <w:tcPr>
            <w:tcW w:w="2467" w:type="dxa"/>
            <w:tcBorders>
              <w:top w:val="single" w:color="000000" w:sz="4" w:space="0"/>
              <w:left w:val="single" w:color="000000" w:sz="4" w:space="0"/>
              <w:bottom w:val="single" w:color="000000" w:sz="4" w:space="0"/>
            </w:tcBorders>
            <w:vAlign w:val="center"/>
          </w:tcPr>
          <w:p>
            <w:pPr>
              <w:ind w:firstLine="210" w:firstLineChars="100"/>
              <w:jc w:val="both"/>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1"/>
                <w:szCs w:val="21"/>
                <w:lang w:val="en-US" w:eastAsia="zh-CN"/>
              </w:rPr>
              <w:t>NB/SH/T 0527-2019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钒含量ppm</w:t>
            </w:r>
          </w:p>
        </w:tc>
        <w:tc>
          <w:tcPr>
            <w:tcW w:w="1305" w:type="dxa"/>
            <w:tcBorders>
              <w:top w:val="single" w:color="000000" w:sz="4" w:space="0"/>
              <w:left w:val="single" w:color="000000"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≤200</w:t>
            </w:r>
            <w:r>
              <w:rPr>
                <w:rFonts w:hint="eastAsia" w:ascii="微软雅黑" w:hAnsi="微软雅黑" w:eastAsia="微软雅黑" w:cs="微软雅黑"/>
                <w:b/>
                <w:bCs/>
                <w:color w:val="000000" w:themeColor="text1"/>
                <w:kern w:val="10"/>
                <w:sz w:val="21"/>
                <w:szCs w:val="21"/>
                <w:highlight w:val="none"/>
                <w:vertAlign w:val="superscript"/>
                <w:lang w:val="en-US" w:eastAsia="zh-CN"/>
                <w14:textFill>
                  <w14:solidFill>
                    <w14:schemeClr w14:val="tx1"/>
                  </w14:solidFill>
                </w14:textFill>
              </w:rPr>
              <w:t>注1</w:t>
            </w:r>
          </w:p>
        </w:tc>
        <w:tc>
          <w:tcPr>
            <w:tcW w:w="3250" w:type="dxa"/>
            <w:gridSpan w:val="2"/>
            <w:tcBorders>
              <w:top w:val="single" w:color="000000" w:sz="4" w:space="0"/>
              <w:left w:val="single" w:color="auto"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t>≤600</w:t>
            </w:r>
            <w:r>
              <w:rPr>
                <w:rFonts w:hint="eastAsia" w:ascii="微软雅黑" w:hAnsi="微软雅黑" w:eastAsia="微软雅黑" w:cs="微软雅黑"/>
                <w:b/>
                <w:bCs/>
                <w:color w:val="000000" w:themeColor="text1"/>
                <w:kern w:val="10"/>
                <w:sz w:val="21"/>
                <w:szCs w:val="21"/>
                <w:highlight w:val="none"/>
                <w:vertAlign w:val="superscript"/>
                <w:lang w:val="en-US" w:eastAsia="zh-CN"/>
                <w14:textFill>
                  <w14:solidFill>
                    <w14:schemeClr w14:val="tx1"/>
                  </w14:solidFill>
                </w14:textFill>
              </w:rPr>
              <w:t>注1</w:t>
            </w:r>
          </w:p>
        </w:tc>
        <w:tc>
          <w:tcPr>
            <w:tcW w:w="2467" w:type="dxa"/>
            <w:tcBorders>
              <w:top w:val="single" w:color="000000" w:sz="4" w:space="0"/>
              <w:left w:val="single" w:color="000000" w:sz="4" w:space="0"/>
              <w:bottom w:val="single" w:color="auto" w:sz="4" w:space="0"/>
            </w:tcBorders>
          </w:tcPr>
          <w:p>
            <w:pPr>
              <w:pStyle w:val="4"/>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铁含量ppm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auto"/>
                <w:kern w:val="10"/>
                <w:sz w:val="21"/>
                <w:szCs w:val="21"/>
                <w:highlight w:val="none"/>
                <w:lang w:val="en-US" w:eastAsia="zh-CN"/>
              </w:rPr>
              <w:t>≤400</w:t>
            </w:r>
          </w:p>
        </w:tc>
        <w:tc>
          <w:tcPr>
            <w:tcW w:w="2467" w:type="dxa"/>
            <w:tcBorders>
              <w:top w:val="single" w:color="000000" w:sz="4" w:space="0"/>
              <w:left w:val="single" w:color="000000" w:sz="4" w:space="0"/>
              <w:bottom w:val="single" w:color="auto" w:sz="4" w:space="0"/>
            </w:tcBorders>
          </w:tcPr>
          <w:p>
            <w:pPr>
              <w:pStyle w:val="4"/>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硅含量ppm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≤300</w:t>
            </w:r>
          </w:p>
        </w:tc>
        <w:tc>
          <w:tcPr>
            <w:tcW w:w="2467" w:type="dxa"/>
            <w:tcBorders>
              <w:top w:val="single" w:color="000000" w:sz="4" w:space="0"/>
              <w:left w:val="single" w:color="000000"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钠含量ppm</w:t>
            </w:r>
          </w:p>
        </w:tc>
        <w:tc>
          <w:tcPr>
            <w:tcW w:w="4555" w:type="dxa"/>
            <w:gridSpan w:val="3"/>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≤300</w:t>
            </w:r>
          </w:p>
        </w:tc>
        <w:tc>
          <w:tcPr>
            <w:tcW w:w="2467" w:type="dxa"/>
            <w:tcBorders>
              <w:top w:val="single" w:color="000000" w:sz="4" w:space="0"/>
              <w:left w:val="single" w:color="000000"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trPr>
        <w:tc>
          <w:tcPr>
            <w:tcW w:w="2331" w:type="dxa"/>
            <w:tcBorders>
              <w:top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其它微量元素含量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(钙、镍等)</w:t>
            </w:r>
          </w:p>
        </w:tc>
        <w:tc>
          <w:tcPr>
            <w:tcW w:w="4555" w:type="dxa"/>
            <w:gridSpan w:val="3"/>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当生产过程中需要控制钙、镍等微量元素时，由生产技术部门下发指标要求，并在采购合同中注明。</w:t>
            </w:r>
          </w:p>
        </w:tc>
        <w:tc>
          <w:tcPr>
            <w:tcW w:w="2467" w:type="dxa"/>
            <w:tcBorders>
              <w:top w:val="single" w:color="auto" w:sz="4" w:space="0"/>
              <w:left w:val="single" w:color="000000" w:sz="4" w:space="0"/>
              <w:bottom w:val="single" w:color="000000" w:sz="4" w:space="0"/>
            </w:tcBorders>
            <w:vAlign w:val="center"/>
          </w:tcPr>
          <w:p>
            <w:pPr>
              <w:pStyle w:val="4"/>
              <w:keepNext w:val="0"/>
              <w:keepLines w:val="0"/>
              <w:pageBreakBefore w:val="0"/>
              <w:widowControl w:val="0"/>
              <w:tabs>
                <w:tab w:val="left" w:pos="3330"/>
              </w:tabs>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1"/>
                <w:szCs w:val="21"/>
                <w:highlight w:val="none"/>
                <w:lang w:val="en-US" w:eastAsia="zh-CN"/>
              </w:rPr>
              <w:t>YS/T 63.16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9353" w:type="dxa"/>
            <w:gridSpan w:val="5"/>
            <w:tcBorders>
              <w:top w:val="single" w:color="000000" w:sz="4" w:space="0"/>
              <w:bottom w:val="single" w:color="000000" w:sz="4" w:space="0"/>
            </w:tcBorders>
            <w:vAlign w:val="center"/>
          </w:tcPr>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exact"/>
              <w:ind w:left="630" w:hanging="630" w:hangingChars="300"/>
              <w:jc w:val="left"/>
              <w:textAlignment w:val="auto"/>
              <w:rPr>
                <w:rFonts w:hint="eastAsia" w:ascii="宋体" w:hAnsi="宋体" w:eastAsia="宋体" w:cs="宋体"/>
                <w:color w:val="auto"/>
                <w:kern w:val="0"/>
                <w:sz w:val="21"/>
                <w:szCs w:val="21"/>
                <w:highlight w:val="none"/>
                <w:shd w:val="clear" w:fill="FFFFFF" w:themeFill="background1"/>
                <w:lang w:val="en-US" w:eastAsia="zh-CN"/>
              </w:rPr>
            </w:pPr>
            <w:r>
              <w:rPr>
                <w:rFonts w:hint="eastAsia" w:ascii="宋体" w:hAnsi="宋体" w:eastAsia="宋体" w:cs="宋体"/>
                <w:b w:val="0"/>
                <w:bCs w:val="0"/>
                <w:color w:val="auto"/>
                <w:kern w:val="10"/>
                <w:sz w:val="21"/>
                <w:szCs w:val="21"/>
                <w:highlight w:val="none"/>
                <w:shd w:val="clear" w:fill="FFFFFF" w:themeFill="background1"/>
                <w:lang w:val="en-US" w:eastAsia="zh-CN"/>
              </w:rPr>
              <w:t>备注：1.</w:t>
            </w:r>
            <w:r>
              <w:rPr>
                <w:rFonts w:hint="eastAsia" w:ascii="宋体" w:hAnsi="宋体" w:eastAsia="宋体" w:cs="宋体"/>
                <w:color w:val="auto"/>
                <w:kern w:val="0"/>
                <w:sz w:val="21"/>
                <w:szCs w:val="21"/>
                <w:highlight w:val="none"/>
                <w:shd w:val="clear" w:fill="FFFFFF" w:themeFill="background1"/>
                <w:lang w:val="en-US" w:eastAsia="zh-CN"/>
              </w:rPr>
              <w:t>根据实际生产运行情况，以上石油焦指标，不同时段、不同焦种可作适当调整</w:t>
            </w:r>
            <w:r>
              <w:rPr>
                <w:rFonts w:hint="eastAsia" w:ascii="宋体" w:hAnsi="宋体" w:eastAsia="宋体" w:cs="宋体"/>
                <w:b w:val="0"/>
                <w:bCs w:val="0"/>
                <w:color w:val="auto"/>
                <w:kern w:val="10"/>
                <w:sz w:val="21"/>
                <w:szCs w:val="21"/>
                <w:highlight w:val="none"/>
                <w:shd w:val="clear" w:fill="FFFFFF" w:themeFill="background1"/>
                <w:lang w:val="en-US" w:eastAsia="zh-CN"/>
              </w:rPr>
              <w:t>，需由我公司先对其取样检测，质量指标符合我公司使用石油焦指标要求后，</w:t>
            </w:r>
            <w:r>
              <w:rPr>
                <w:rFonts w:hint="eastAsia" w:ascii="宋体" w:hAnsi="宋体" w:eastAsia="宋体" w:cs="宋体"/>
                <w:color w:val="auto"/>
                <w:kern w:val="0"/>
                <w:sz w:val="21"/>
                <w:szCs w:val="21"/>
                <w:highlight w:val="none"/>
                <w:shd w:val="clear" w:fill="FFFFFF" w:themeFill="background1"/>
                <w:lang w:val="en-US" w:eastAsia="zh-CN"/>
              </w:rPr>
              <w:t>在合同中明确约定。</w:t>
            </w:r>
          </w:p>
          <w:p>
            <w:pPr>
              <w:keepNext w:val="0"/>
              <w:keepLines w:val="0"/>
              <w:pageBreakBefore w:val="0"/>
              <w:widowControl w:val="0"/>
              <w:shd w:val="clear" w:fill="FFFFFF" w:themeFill="background1"/>
              <w:kinsoku/>
              <w:wordWrap/>
              <w:overflowPunct/>
              <w:topLinePunct w:val="0"/>
              <w:autoSpaceDE/>
              <w:autoSpaceDN/>
              <w:bidi w:val="0"/>
              <w:adjustRightInd/>
              <w:snapToGrid/>
              <w:spacing w:line="360" w:lineRule="exact"/>
              <w:ind w:left="630" w:leftChars="300" w:firstLine="0" w:firstLineChars="0"/>
              <w:jc w:val="left"/>
              <w:textAlignment w:val="auto"/>
              <w:rPr>
                <w:rFonts w:hint="default" w:ascii="宋体" w:hAnsi="宋体" w:eastAsia="宋体" w:cs="宋体"/>
                <w:kern w:val="0"/>
                <w:sz w:val="21"/>
                <w:szCs w:val="21"/>
                <w:highlight w:val="none"/>
                <w:shd w:val="clear" w:fill="FFFF00"/>
                <w:lang w:val="en-US" w:eastAsia="zh-CN"/>
              </w:rPr>
            </w:pPr>
            <w:r>
              <w:rPr>
                <w:rFonts w:hint="eastAsia" w:ascii="宋体" w:hAnsi="宋体" w:eastAsia="宋体" w:cs="宋体"/>
                <w:color w:val="auto"/>
                <w:kern w:val="0"/>
                <w:sz w:val="21"/>
                <w:szCs w:val="21"/>
                <w:highlight w:val="none"/>
                <w:shd w:val="clear" w:fill="FFFFFF" w:themeFill="background1"/>
                <w:lang w:val="en-US" w:eastAsia="zh-CN"/>
              </w:rPr>
              <w:t>2</w:t>
            </w:r>
            <w:r>
              <w:rPr>
                <w:rFonts w:hint="eastAsia" w:ascii="宋体" w:hAnsi="宋体" w:eastAsia="宋体" w:cs="宋体"/>
                <w:kern w:val="0"/>
                <w:sz w:val="21"/>
                <w:szCs w:val="21"/>
                <w:highlight w:val="none"/>
                <w:shd w:val="clear" w:fill="FFFFFF" w:themeFill="background1"/>
                <w:lang w:val="en-US" w:eastAsia="zh-CN"/>
              </w:rPr>
              <w:t>.</w:t>
            </w:r>
            <w:r>
              <w:rPr>
                <w:rFonts w:hint="eastAsia" w:ascii="宋体" w:hAnsi="宋体" w:eastAsia="宋体" w:cs="宋体"/>
                <w:color w:val="auto"/>
                <w:sz w:val="21"/>
                <w:szCs w:val="21"/>
                <w:highlight w:val="none"/>
              </w:rPr>
              <w:t>数值修约比较按GB/T</w:t>
            </w:r>
            <w:r>
              <w:rPr>
                <w:rFonts w:hint="eastAsia" w:ascii="宋体" w:hAnsi="宋体" w:eastAsia="宋体" w:cs="宋体"/>
                <w:color w:val="auto"/>
                <w:sz w:val="21"/>
                <w:szCs w:val="21"/>
                <w:highlight w:val="none"/>
                <w:lang w:val="en-US" w:eastAsia="zh-CN"/>
              </w:rPr>
              <w:t xml:space="preserve"> 8170有关</w:t>
            </w:r>
            <w:r>
              <w:rPr>
                <w:rFonts w:hint="eastAsia" w:ascii="宋体" w:hAnsi="宋体" w:eastAsia="宋体" w:cs="宋体"/>
                <w:color w:val="auto"/>
                <w:sz w:val="21"/>
                <w:szCs w:val="21"/>
                <w:highlight w:val="none"/>
              </w:rPr>
              <w:t>规定进行，修约数位与表中所列极限数位一致</w:t>
            </w:r>
            <w:r>
              <w:rPr>
                <w:rFonts w:hint="eastAsia" w:ascii="宋体" w:hAnsi="宋体" w:eastAsia="宋体" w:cs="宋体"/>
                <w:color w:val="auto"/>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bookmarkStart w:id="10" w:name="_Toc841"/>
      <w:r>
        <w:rPr>
          <w:rFonts w:hint="eastAsia" w:ascii="宋体" w:hAnsi="宋体" w:eastAsia="宋体" w:cs="宋体"/>
          <w:b/>
          <w:bCs w:val="0"/>
          <w:kern w:val="10"/>
          <w:sz w:val="24"/>
          <w:lang w:val="en-US" w:eastAsia="zh-CN"/>
        </w:rPr>
        <w:t>1.4 检验规则</w:t>
      </w:r>
      <w:bookmarkEnd w:id="10"/>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1.4.1 检测和验收</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Times New Roman"/>
          <w:b w:val="0"/>
          <w:bCs w:val="0"/>
          <w:kern w:val="10"/>
          <w:sz w:val="24"/>
          <w:lang w:val="en-US" w:eastAsia="zh-CN"/>
        </w:rPr>
        <w:t>1.4.1.1 石油焦由需方在需方仓库内进行抽样检验。如检验结果与本合同的规定不符时，应及时向供方提出，供方收到需方质量异常反馈后，应在3个工作日内处理，否则视为默认需方提出的异议和处理意见。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1.4.1.2 必要时，需方可依据订货单(或合同)约定，进入供方现场对拟交货的产品进行供货前的检查。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bookmarkStart w:id="11" w:name="_Toc3691"/>
      <w:r>
        <w:rPr>
          <w:rFonts w:hint="eastAsia" w:ascii="宋体" w:hAnsi="宋体" w:eastAsia="宋体" w:cs="Times New Roman"/>
          <w:b/>
          <w:bCs w:val="0"/>
          <w:kern w:val="10"/>
          <w:sz w:val="24"/>
          <w:lang w:val="en-US" w:eastAsia="zh-CN"/>
        </w:rPr>
        <w:t>1.4.2 组批</w:t>
      </w:r>
      <w:bookmarkEnd w:id="11"/>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color w:val="000000" w:themeColor="text1"/>
          <w:kern w:val="10"/>
          <w:sz w:val="24"/>
          <w:highlight w:val="yellow"/>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lang w:val="en-US" w:eastAsia="zh-CN"/>
          <w14:textFill>
            <w14:solidFill>
              <w14:schemeClr w14:val="tx1"/>
            </w14:solidFill>
          </w14:textFill>
        </w:rPr>
        <w:t>1.4.2.1 同一供应商，每车到货石油焦均需采样，每5车组批检测水分、挥发分、灰分、硫含量，粉焦量（连续两日内到货量不足5车的同样组批检测），每15车组批检测铁、硅、钠、钒含量</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1.4.2.2 石油焦在使用过程中出现质量问题时，可不定时进行取样检验，若为石油焦质量存在问题的，由供方承担对需方造成的损失。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kern w:val="10"/>
          <w:sz w:val="24"/>
          <w:highlight w:val="none"/>
          <w:lang w:val="en-US" w:eastAsia="zh-CN"/>
        </w:rPr>
        <w:t>石油焦需检测挥发分、灰分、水分、粉焦量、硫、铁、钒、硅、钠含量等。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1.4.4 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bookmarkStart w:id="12" w:name="_Toc26421"/>
      <w:r>
        <w:rPr>
          <w:rFonts w:hint="eastAsia" w:ascii="宋体" w:hAnsi="宋体" w:eastAsia="宋体" w:cs="Times New Roman"/>
          <w:b w:val="0"/>
          <w:bCs w:val="0"/>
          <w:kern w:val="10"/>
          <w:sz w:val="24"/>
          <w:lang w:val="en-US" w:eastAsia="zh-CN"/>
        </w:rPr>
        <w:t>1.4.4.1 到货取样和制样</w:t>
      </w:r>
      <w:bookmarkEnd w:id="12"/>
      <w:r>
        <w:rPr>
          <w:rFonts w:hint="eastAsia" w:ascii="宋体" w:hAnsi="宋体" w:eastAsia="宋体" w:cs="Times New Roman"/>
          <w:b w:val="0"/>
          <w:bCs w:val="0"/>
          <w:kern w:val="10"/>
          <w:sz w:val="24"/>
          <w:lang w:val="en-US" w:eastAsia="zh-CN"/>
        </w:rPr>
        <w:t>,按照 SH/T 0313《石油焦检验法》的规定进行。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 xml:space="preserve">1.4.4.2 石油焦封存试样保存期限不少于3个月。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1.4.5 复检</w:t>
      </w:r>
    </w:p>
    <w:p>
      <w:pPr>
        <w:pStyle w:val="15"/>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before="1" w:after="0" w:line="440" w:lineRule="exact"/>
        <w:ind w:right="0" w:rightChars="0"/>
        <w:jc w:val="left"/>
        <w:textAlignment w:val="auto"/>
        <w:rPr>
          <w:rFonts w:hint="default"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.4.5.1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室进行复检（由需方在供需双方认可的具有资质的第三方实验室中随机选择一家进行复检）。以上复检方式只可选择其中一种，不可两种同时进行。</w:t>
      </w:r>
      <w:r>
        <w:rPr>
          <w:rFonts w:hint="eastAsia" w:cs="Times New Roman"/>
          <w:b w:val="0"/>
          <w:bCs w:val="0"/>
          <w:kern w:val="10"/>
          <w:sz w:val="24"/>
          <w:highlight w:val="none"/>
          <w:lang w:val="en-US" w:eastAsia="zh-CN"/>
        </w:rPr>
        <w:t>因水分会随外界环境变化，水分不接受复检。</w:t>
      </w:r>
    </w:p>
    <w:p>
      <w:pPr>
        <w:pStyle w:val="15"/>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before="1" w:after="0" w:line="440" w:lineRule="exact"/>
        <w:ind w:right="0" w:rightChars="0"/>
        <w:jc w:val="left"/>
        <w:textAlignment w:val="auto"/>
        <w:rPr>
          <w:rFonts w:hint="eastAsia"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.4.5.2 复检样品：采用需方到货验收时的封存样品进行复检。</w:t>
      </w:r>
    </w:p>
    <w:p>
      <w:pPr>
        <w:pStyle w:val="15"/>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before="1" w:after="0" w:line="440" w:lineRule="exact"/>
        <w:ind w:right="0" w:rightChars="0"/>
        <w:jc w:val="left"/>
        <w:textAlignment w:val="auto"/>
        <w:rPr>
          <w:rFonts w:hint="eastAsia" w:ascii="宋体" w:hAnsi="宋体" w:eastAsia="宋体" w:cs="Times New Roman"/>
          <w:b w:val="0"/>
          <w:bCs w:val="0"/>
          <w:color w:val="auto"/>
          <w:kern w:val="10"/>
          <w:sz w:val="24"/>
          <w:highlight w:val="none"/>
          <w:lang w:val="en-US" w:eastAsia="zh-CN"/>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.4.5.3 复检结果的应用：当复检结果在该项指标检测标准规定再现性范围内的，以需方到货验收时检测结果为结算依据，当复检结果超出该项指标检测标准规定再现性范围的，以复检结果为结算依据。</w:t>
      </w:r>
    </w:p>
    <w:p>
      <w:pPr>
        <w:pStyle w:val="15"/>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before="1" w:after="0" w:line="440" w:lineRule="exact"/>
        <w:ind w:right="0" w:rightChars="0"/>
        <w:jc w:val="left"/>
        <w:textAlignment w:val="auto"/>
        <w:rPr>
          <w:rFonts w:hint="eastAsia" w:ascii="宋体" w:hAnsi="宋体" w:eastAsia="宋体" w:cs="Times New Roman"/>
          <w:b w:val="0"/>
          <w:bCs w:val="0"/>
          <w:color w:val="auto"/>
          <w:kern w:val="10"/>
          <w:sz w:val="24"/>
          <w:highlight w:val="none"/>
          <w:lang w:val="en-US" w:eastAsia="zh-CN"/>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.4.5.4 复检费用：在需方实验室进行复检的，复检费用由需方承担；由具有资质的第三方实验室复检的，复检费用由提出异议方承担。</w:t>
      </w:r>
    </w:p>
    <w:p>
      <w:pPr>
        <w:pStyle w:val="15"/>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before="1"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 xml:space="preserve">6 </w:t>
      </w:r>
      <w:r>
        <w:rPr>
          <w:rFonts w:hint="eastAsia" w:ascii="宋体" w:hAnsi="宋体" w:eastAsia="宋体" w:cs="Times New Roman"/>
          <w:b/>
          <w:kern w:val="10"/>
          <w:sz w:val="24"/>
          <w:szCs w:val="24"/>
          <w:lang w:val="en-US" w:eastAsia="zh-CN" w:bidi="ar-SA"/>
        </w:rPr>
        <w:t>检验结果的判定</w:t>
      </w:r>
    </w:p>
    <w:p>
      <w:pPr>
        <w:pStyle w:val="15"/>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before="1"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ascii="宋体" w:hAnsi="宋体" w:eastAsia="宋体" w:cs="Times New Roman"/>
          <w:b w:val="0"/>
          <w:bCs w:val="0"/>
          <w:kern w:val="10"/>
          <w:sz w:val="24"/>
          <w:szCs w:val="24"/>
          <w:lang w:val="en-US" w:eastAsia="zh-CN" w:bidi="ar-SA"/>
        </w:rPr>
        <w:t>验收过程中，出现</w:t>
      </w:r>
      <w:r>
        <w:rPr>
          <w:rFonts w:hint="default" w:ascii="宋体" w:hAnsi="宋体" w:eastAsia="宋体" w:cs="Times New Roman"/>
          <w:b w:val="0"/>
          <w:bCs w:val="0"/>
          <w:kern w:val="10"/>
          <w:sz w:val="24"/>
          <w:szCs w:val="24"/>
          <w:lang w:val="en-US" w:eastAsia="zh-CN" w:bidi="ar-SA"/>
        </w:rPr>
        <w:t>任何</w:t>
      </w:r>
      <w:r>
        <w:rPr>
          <w:rFonts w:hint="eastAsia" w:ascii="宋体" w:hAnsi="宋体" w:eastAsia="宋体" w:cs="Times New Roman"/>
          <w:b w:val="0"/>
          <w:bCs w:val="0"/>
          <w:kern w:val="10"/>
          <w:sz w:val="24"/>
          <w:szCs w:val="24"/>
          <w:lang w:val="en-US" w:eastAsia="zh-CN" w:bidi="ar-SA"/>
        </w:rPr>
        <w:t>一</w:t>
      </w:r>
      <w:r>
        <w:rPr>
          <w:rFonts w:hint="default" w:ascii="宋体" w:hAnsi="宋体" w:eastAsia="宋体" w:cs="Times New Roman"/>
          <w:b w:val="0"/>
          <w:bCs w:val="0"/>
          <w:kern w:val="10"/>
          <w:sz w:val="24"/>
          <w:szCs w:val="24"/>
          <w:lang w:val="en-US" w:eastAsia="zh-CN" w:bidi="ar-SA"/>
        </w:rPr>
        <w:t>项</w:t>
      </w:r>
      <w:r>
        <w:rPr>
          <w:rFonts w:hint="eastAsia" w:ascii="宋体" w:hAnsi="宋体" w:eastAsia="宋体" w:cs="Times New Roman"/>
          <w:b w:val="0"/>
          <w:bCs w:val="0"/>
          <w:kern w:val="10"/>
          <w:sz w:val="24"/>
          <w:szCs w:val="24"/>
          <w:lang w:val="en-US" w:eastAsia="zh-CN" w:bidi="ar-SA"/>
        </w:rPr>
        <w:t>质量指标</w:t>
      </w:r>
      <w:r>
        <w:rPr>
          <w:rFonts w:hint="default" w:ascii="宋体" w:hAnsi="宋体" w:eastAsia="宋体" w:cs="Times New Roman"/>
          <w:b w:val="0"/>
          <w:bCs w:val="0"/>
          <w:kern w:val="10"/>
          <w:sz w:val="24"/>
          <w:szCs w:val="24"/>
          <w:lang w:val="en-US" w:eastAsia="zh-CN" w:bidi="ar-SA"/>
        </w:rPr>
        <w:t>不合格，</w:t>
      </w:r>
      <w:r>
        <w:rPr>
          <w:rFonts w:hint="eastAsia" w:ascii="宋体" w:hAnsi="宋体" w:eastAsia="宋体" w:cs="Times New Roman"/>
          <w:b w:val="0"/>
          <w:bCs w:val="0"/>
          <w:kern w:val="10"/>
          <w:sz w:val="24"/>
          <w:szCs w:val="24"/>
          <w:lang w:val="en-US" w:eastAsia="zh-CN" w:bidi="ar-SA"/>
        </w:rPr>
        <w:t>判定该批次石油焦不合格。</w:t>
      </w:r>
    </w:p>
    <w:p>
      <w:pPr>
        <w:pStyle w:val="15"/>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before="1"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 xml:space="preserve">7 </w:t>
      </w:r>
      <w:r>
        <w:rPr>
          <w:rFonts w:hint="eastAsia" w:ascii="宋体" w:hAnsi="宋体" w:eastAsia="宋体" w:cs="Times New Roman"/>
          <w:b/>
          <w:kern w:val="10"/>
          <w:sz w:val="24"/>
          <w:szCs w:val="24"/>
          <w:lang w:val="en-US" w:eastAsia="zh-CN" w:bidi="ar-SA"/>
        </w:rPr>
        <w:t>外观质量</w:t>
      </w:r>
    </w:p>
    <w:p>
      <w:pPr>
        <w:pStyle w:val="15"/>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before="1"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石油焦中出现焦泥、沥青、弹丸焦</w:t>
      </w:r>
      <w:r>
        <w:rPr>
          <w:rFonts w:hint="eastAsia" w:cs="Times New Roman"/>
          <w:b w:val="0"/>
          <w:bCs w:val="0"/>
          <w:color w:val="000000" w:themeColor="text1"/>
          <w:kern w:val="10"/>
          <w:sz w:val="24"/>
          <w:szCs w:val="24"/>
          <w:lang w:val="en-US" w:eastAsia="zh-CN" w:bidi="ar-SA"/>
          <w14:textFill>
            <w14:solidFill>
              <w14:schemeClr w14:val="tx1"/>
            </w14:solidFill>
          </w14:textFill>
        </w:rPr>
        <w:t>(形状呈圆球形、表面光亮、结构致密)</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及非石油焦物质，</w:t>
      </w:r>
      <w:r>
        <w:rPr>
          <w:rFonts w:hint="eastAsia" w:cs="Times New Roman"/>
          <w:b w:val="0"/>
          <w:bCs w:val="0"/>
          <w:color w:val="000000" w:themeColor="text1"/>
          <w:kern w:val="10"/>
          <w:sz w:val="24"/>
          <w:szCs w:val="24"/>
          <w:lang w:val="en-US" w:eastAsia="zh-CN" w:bidi="ar-SA"/>
          <w14:textFill>
            <w14:solidFill>
              <w14:schemeClr w14:val="tx1"/>
            </w14:solidFill>
          </w14:textFill>
        </w:rPr>
        <w:t>作退货处理，因退货对需方造成影响的，由供方承担相关责任及赔偿相应损失。</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bookmarkStart w:id="13" w:name="_Toc28819"/>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14" w:name="_Toc26198"/>
      <w:r>
        <w:rPr>
          <w:rFonts w:hint="eastAsia" w:ascii="宋体" w:hAnsi="宋体" w:eastAsia="宋体" w:cs="宋体"/>
          <w:b/>
          <w:bCs w:val="0"/>
          <w:kern w:val="10"/>
          <w:sz w:val="24"/>
          <w:lang w:val="en-US" w:eastAsia="zh-CN"/>
        </w:rPr>
        <w:t>1.5 随行文件</w:t>
      </w:r>
      <w:bookmarkEnd w:id="13"/>
      <w:bookmarkEnd w:id="14"/>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每批到货石油焦应附有质量证明书等，应注明：</w:t>
      </w:r>
      <w:r>
        <w:rPr>
          <w:rFonts w:hint="eastAsia" w:asciiTheme="majorEastAsia" w:hAnsiTheme="majorEastAsia" w:eastAsiaTheme="majorEastAsia" w:cstheme="majorEastAsia"/>
          <w:b w:val="0"/>
          <w:bCs w:val="0"/>
          <w:kern w:val="10"/>
          <w:sz w:val="24"/>
          <w:lang w:val="en-US" w:eastAsia="zh-CN"/>
        </w:rPr>
        <w:t>①</w:t>
      </w:r>
      <w:r>
        <w:rPr>
          <w:rFonts w:hint="eastAsia" w:ascii="宋体" w:hAnsi="宋体" w:eastAsia="宋体" w:cs="Times New Roman"/>
          <w:b w:val="0"/>
          <w:bCs w:val="0"/>
          <w:kern w:val="10"/>
          <w:sz w:val="24"/>
          <w:lang w:val="en-US" w:eastAsia="zh-CN"/>
        </w:rPr>
        <w:t>供方信息；</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lang w:val="en-US" w:eastAsia="zh-CN"/>
        </w:rPr>
        <w:t>产品名称和牌号；</w:t>
      </w:r>
      <w:r>
        <w:rPr>
          <w:rFonts w:hint="eastAsia" w:asciiTheme="majorEastAsia" w:hAnsiTheme="majorEastAsia" w:eastAsiaTheme="majorEastAsia" w:cstheme="majorEastAsia"/>
          <w:b w:val="0"/>
          <w:bCs w:val="0"/>
          <w:kern w:val="10"/>
          <w:sz w:val="24"/>
          <w:lang w:val="en-US" w:eastAsia="zh-CN"/>
        </w:rPr>
        <w:t>③</w:t>
      </w:r>
      <w:r>
        <w:rPr>
          <w:rFonts w:hint="eastAsia" w:ascii="宋体" w:hAnsi="宋体" w:eastAsia="宋体" w:cs="Times New Roman"/>
          <w:b w:val="0"/>
          <w:bCs w:val="0"/>
          <w:kern w:val="10"/>
          <w:sz w:val="24"/>
          <w:lang w:val="en-US" w:eastAsia="zh-CN"/>
        </w:rPr>
        <w:t>批号、净含量；</w:t>
      </w:r>
      <w:r>
        <w:rPr>
          <w:rFonts w:hint="eastAsia" w:ascii="宋体" w:hAnsi="宋体" w:eastAsia="宋体" w:cs="宋体"/>
          <w:b w:val="0"/>
          <w:bCs w:val="0"/>
          <w:kern w:val="10"/>
          <w:sz w:val="24"/>
          <w:lang w:val="en-US" w:eastAsia="zh-CN"/>
        </w:rPr>
        <w:t>④</w:t>
      </w:r>
      <w:r>
        <w:rPr>
          <w:rFonts w:hint="eastAsia" w:ascii="宋体" w:hAnsi="宋体" w:eastAsia="宋体" w:cs="Times New Roman"/>
          <w:b w:val="0"/>
          <w:bCs w:val="0"/>
          <w:kern w:val="10"/>
          <w:sz w:val="24"/>
          <w:lang w:val="en-US" w:eastAsia="zh-CN"/>
        </w:rPr>
        <w:t>分析检验结果及供方技术(质量)监督部门印记；</w:t>
      </w:r>
      <w:r>
        <w:rPr>
          <w:rFonts w:hint="eastAsia" w:ascii="宋体" w:hAnsi="宋体" w:eastAsia="宋体" w:cs="宋体"/>
          <w:b w:val="0"/>
          <w:bCs w:val="0"/>
          <w:kern w:val="10"/>
          <w:sz w:val="24"/>
          <w:lang w:val="en-US" w:eastAsia="zh-CN"/>
        </w:rPr>
        <w:t>⑤</w:t>
      </w:r>
      <w:r>
        <w:rPr>
          <w:rFonts w:hint="eastAsia" w:ascii="宋体" w:hAnsi="宋体" w:eastAsia="宋体" w:cs="Times New Roman"/>
          <w:b w:val="0"/>
          <w:bCs w:val="0"/>
          <w:kern w:val="10"/>
          <w:sz w:val="24"/>
          <w:lang w:val="en-US" w:eastAsia="zh-CN"/>
        </w:rPr>
        <w:t>执行标准号；</w:t>
      </w:r>
      <w:r>
        <w:rPr>
          <w:rFonts w:hint="eastAsia" w:ascii="宋体" w:hAnsi="宋体" w:eastAsia="宋体" w:cs="宋体"/>
          <w:b w:val="0"/>
          <w:bCs w:val="0"/>
          <w:kern w:val="10"/>
          <w:sz w:val="24"/>
          <w:lang w:val="en-US" w:eastAsia="zh-CN"/>
        </w:rPr>
        <w:t>⑥</w:t>
      </w:r>
      <w:r>
        <w:rPr>
          <w:rFonts w:hint="eastAsia" w:ascii="宋体" w:hAnsi="宋体" w:eastAsia="宋体" w:cs="Times New Roman"/>
          <w:b w:val="0"/>
          <w:bCs w:val="0"/>
          <w:kern w:val="10"/>
          <w:sz w:val="24"/>
          <w:lang w:val="en-US" w:eastAsia="zh-CN"/>
        </w:rPr>
        <w:t>生产日期。</w:t>
      </w:r>
      <w:bookmarkStart w:id="15" w:name="_Toc15574"/>
      <w:bookmarkStart w:id="16" w:name="_Toc22569"/>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17" w:name="_Toc20013"/>
      <w:r>
        <w:rPr>
          <w:rFonts w:hint="eastAsia" w:ascii="宋体" w:hAnsi="宋体" w:eastAsia="宋体" w:cs="宋体"/>
          <w:b/>
          <w:bCs w:val="0"/>
          <w:kern w:val="10"/>
          <w:sz w:val="24"/>
          <w:lang w:val="en-US" w:eastAsia="zh-CN"/>
        </w:rPr>
        <w:t>1.6 包装、运输和贮存</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1.6.1 石油焦发运时,车厢内应清扫干净。不同焦种的石油焦不应混装。</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1.6.2 石油焦应分批堆放在清洁、干燥的仓库内，不应污染。</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宋体"/>
          <w:b/>
          <w:bCs w:val="0"/>
          <w:color w:val="auto"/>
          <w:kern w:val="10"/>
          <w:sz w:val="24"/>
          <w:lang w:val="en-US" w:eastAsia="zh-CN"/>
        </w:rPr>
      </w:pPr>
      <w:r>
        <w:rPr>
          <w:rFonts w:hint="eastAsia" w:ascii="宋体" w:hAnsi="宋体" w:eastAsia="宋体" w:cs="Times New Roman"/>
          <w:b w:val="0"/>
          <w:bCs w:val="0"/>
          <w:kern w:val="10"/>
          <w:sz w:val="24"/>
          <w:lang w:val="en-US" w:eastAsia="zh-CN"/>
        </w:rPr>
        <w:t>1.6.3 石油焦运输过程应做好防雨、防尘防护。</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color w:val="auto"/>
          <w:kern w:val="10"/>
          <w:sz w:val="24"/>
          <w:lang w:val="en-US" w:eastAsia="zh-CN"/>
        </w:rPr>
      </w:pPr>
      <w:bookmarkStart w:id="18" w:name="_Toc735"/>
      <w:r>
        <w:rPr>
          <w:rFonts w:hint="eastAsia" w:ascii="宋体" w:hAnsi="宋体" w:eastAsia="宋体" w:cs="宋体"/>
          <w:b/>
          <w:bCs w:val="0"/>
          <w:color w:val="auto"/>
          <w:kern w:val="10"/>
          <w:sz w:val="24"/>
          <w:lang w:val="en-US" w:eastAsia="zh-CN"/>
        </w:rPr>
        <w:t>1.7 扣款细则</w:t>
      </w:r>
      <w:bookmarkEnd w:id="1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当供方供应的石油焦不合格时，如需方同意接收使用的，按以下扣款细则进行扣款，否则进行退货处理。</w:t>
      </w:r>
    </w:p>
    <w:p>
      <w:pPr>
        <w:keepNext w:val="0"/>
        <w:keepLines w:val="0"/>
        <w:pageBreakBefore w:val="0"/>
        <w:widowControl w:val="0"/>
        <w:kinsoku/>
        <w:wordWrap/>
        <w:overflowPunct/>
        <w:topLinePunct w:val="0"/>
        <w:autoSpaceDE/>
        <w:autoSpaceDN/>
        <w:bidi w:val="0"/>
        <w:adjustRightInd/>
        <w:snapToGrid/>
        <w:spacing w:line="500" w:lineRule="exact"/>
        <w:ind w:firstLine="3360" w:firstLineChars="1400"/>
        <w:textAlignment w:val="auto"/>
        <w:outlineLvl w:val="3"/>
        <w:rPr>
          <w:rFonts w:hint="eastAsia" w:ascii="宋体" w:hAnsi="宋体" w:eastAsia="黑体" w:cs="Times New Roman"/>
          <w:b w:val="0"/>
          <w:bCs w:val="0"/>
          <w:kern w:val="10"/>
          <w:sz w:val="24"/>
          <w:lang w:val="en-US" w:eastAsia="zh-CN"/>
        </w:rPr>
      </w:pPr>
      <w:r>
        <w:rPr>
          <w:rFonts w:hint="eastAsia" w:ascii="宋体" w:hAnsi="宋体" w:eastAsia="宋体" w:cs="宋体"/>
          <w:b w:val="0"/>
          <w:bCs w:val="0"/>
          <w:color w:val="auto"/>
          <w:kern w:val="10"/>
          <w:sz w:val="24"/>
          <w:szCs w:val="22"/>
          <w:lang w:val="en-US" w:eastAsia="zh-CN" w:bidi="ar-SA"/>
        </w:rPr>
        <w:t>表2：石油焦质量扣款细则</w:t>
      </w:r>
    </w:p>
    <w:tbl>
      <w:tblPr>
        <w:tblStyle w:val="8"/>
        <w:tblW w:w="9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245"/>
        <w:gridCol w:w="1080"/>
        <w:gridCol w:w="1545"/>
        <w:gridCol w:w="1969"/>
        <w:gridCol w:w="108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blHeader/>
          <w:jc w:val="center"/>
        </w:trPr>
        <w:tc>
          <w:tcPr>
            <w:tcW w:w="97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石油焦质量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blHeader/>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11" w:firstLineChars="10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子项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合格标准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让步接收标准</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让步接收</w:t>
            </w:r>
            <w:r>
              <w:rPr>
                <w:rFonts w:hint="eastAsia" w:ascii="宋体" w:hAnsi="宋体" w:eastAsia="宋体" w:cs="宋体"/>
                <w:b/>
                <w:bCs/>
                <w:i w:val="0"/>
                <w:iCs w:val="0"/>
                <w:color w:val="000000"/>
                <w:kern w:val="0"/>
                <w:sz w:val="21"/>
                <w:szCs w:val="21"/>
                <w:highlight w:val="none"/>
                <w:u w:val="none"/>
                <w:lang w:val="en-US" w:eastAsia="zh-CN" w:bidi="ar"/>
              </w:rPr>
              <w:t>扣款标准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退货标准</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达退货标准，但</w:t>
            </w:r>
            <w:r>
              <w:rPr>
                <w:rFonts w:hint="eastAsia" w:ascii="宋体" w:hAnsi="宋体" w:cs="宋体"/>
                <w:b/>
                <w:bCs/>
                <w:i w:val="0"/>
                <w:iCs w:val="0"/>
                <w:color w:val="000000"/>
                <w:kern w:val="0"/>
                <w:sz w:val="21"/>
                <w:szCs w:val="21"/>
                <w:highlight w:val="none"/>
                <w:u w:val="none"/>
                <w:lang w:val="en-US" w:eastAsia="zh-CN" w:bidi="ar"/>
              </w:rPr>
              <w:t>已卸货无法退货</w:t>
            </w:r>
            <w:r>
              <w:rPr>
                <w:rFonts w:hint="eastAsia" w:ascii="宋体" w:hAnsi="宋体" w:eastAsia="宋体" w:cs="宋体"/>
                <w:b/>
                <w:bCs/>
                <w:i w:val="0"/>
                <w:iCs w:val="0"/>
                <w:color w:val="000000"/>
                <w:kern w:val="0"/>
                <w:sz w:val="21"/>
                <w:szCs w:val="21"/>
                <w:highlight w:val="none"/>
                <w:u w:val="none"/>
                <w:lang w:val="en-US" w:eastAsia="zh-CN" w:bidi="ar"/>
              </w:rPr>
              <w:t>扣款标准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w:t>
            </w:r>
          </w:p>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hd w:val="clear" w:fill="FFFFFF" w:themeFill="background1"/>
              <w:tabs>
                <w:tab w:val="left" w:pos="455"/>
              </w:tabs>
              <w:ind w:firstLine="210" w:firstLineChars="100"/>
              <w:jc w:val="left"/>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硫含量</w:t>
            </w:r>
            <w:r>
              <w:rPr>
                <w:rFonts w:hint="eastAsia" w:ascii="宋体" w:hAnsi="宋体" w:eastAsia="宋体" w:cs="宋体"/>
                <w:b w:val="0"/>
                <w:bCs w:val="0"/>
                <w:i w:val="0"/>
                <w:iCs w:val="0"/>
                <w:color w:val="auto"/>
                <w:kern w:val="0"/>
                <w:sz w:val="21"/>
                <w:szCs w:val="21"/>
                <w:highlight w:val="none"/>
                <w:u w:val="none"/>
                <w:lang w:val="en-US" w:eastAsia="zh-CN" w:bidi="ar"/>
              </w:rPr>
              <w:t>（根据实际焦种硫含量确定指标范围，并在合同中约定）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6.0＜x≤6.5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5.0＜x≤5.5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x＞5.5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4.0＜x≤4.5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x＞4.5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3.0＜x≤3.5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x＞3.5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2.0＜x≤2.5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x＞2.5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5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245"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yellow"/>
                <w:u w:val="none"/>
                <w:lang w:val="en-US" w:eastAsia="zh-CN"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yellow"/>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yellow"/>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1.0＜x≤1.5</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x＞1.5</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灰分%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0.5＜x≤0.7</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x＞0.7</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每超0.1，每吨扣单价的5%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挥发分%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10＜x≤12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default"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x＞12</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default"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sz w:val="21"/>
                <w:szCs w:val="21"/>
                <w:highlight w:val="none"/>
                <w:u w:val="none"/>
                <w:lang w:val="en-US" w:eastAsia="zh-CN"/>
              </w:rPr>
              <w:t>每超1，每吨扣单价的3%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粉焦量（&lt;8mm）%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55＜x≤60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default"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水分%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sz w:val="21"/>
                <w:szCs w:val="21"/>
                <w:highlight w:val="none"/>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8.0＜x≤10.0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sz w:val="21"/>
                <w:szCs w:val="21"/>
                <w:highlight w:val="cyan"/>
                <w:u w:val="none"/>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每超1，每吨扣单价的3%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t>6</w:t>
            </w:r>
          </w:p>
        </w:tc>
        <w:tc>
          <w:tcPr>
            <w:tcW w:w="12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钒含量%（根据实际焦种钒含量确定指标范围，并在合同中约定）</w:t>
            </w:r>
          </w:p>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≤600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600＜x≤700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x＞700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p>
        </w:tc>
        <w:tc>
          <w:tcPr>
            <w:tcW w:w="124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≤500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500＜x≤600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x＞600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5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p>
        </w:tc>
        <w:tc>
          <w:tcPr>
            <w:tcW w:w="124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≤400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400＜x≤450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x＞450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300＜x≤350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x＞350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magenta"/>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200＜x≤250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magenta"/>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magenta"/>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x＞250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magenta"/>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sz w:val="21"/>
                <w:szCs w:val="21"/>
                <w:highlight w:val="none"/>
                <w:u w:val="none"/>
                <w:lang w:val="en-US" w:eastAsia="zh-CN"/>
                <w14:textFill>
                  <w14:solidFill>
                    <w14:schemeClr w14:val="tx1"/>
                  </w14:solidFill>
                </w14:textFill>
              </w:rPr>
            </w:pPr>
          </w:p>
        </w:tc>
        <w:tc>
          <w:tcPr>
            <w:tcW w:w="124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magenta"/>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100＜x≤150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magenta"/>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magenta"/>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x＞150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magenta"/>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7</w:t>
            </w:r>
          </w:p>
        </w:tc>
        <w:tc>
          <w:tcPr>
            <w:tcW w:w="12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铁含量（ppm）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400＜x≤450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x＞450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1ppm，每吨扣单价的0.4%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硅含量（ppm）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300＜x≤350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x＞350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1ppm，每吨扣单价的0.4%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钠含量（ppm）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300＜x≤350</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每超1ppm，每吨扣单价的0.25%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x＞350</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每超 1ppm，每吨扣单价的0.4%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center"/>
              <w:textAlignment w:val="center"/>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10</w:t>
            </w:r>
          </w:p>
        </w:tc>
        <w:tc>
          <w:tcPr>
            <w:tcW w:w="90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jc w:val="left"/>
              <w:textAlignment w:val="cente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石油焦含有杂质、弹丸焦的，作退货处理，因退货对需方造成影响的，由供方承担相关责任，赔偿所造成的损失。</w:t>
            </w:r>
            <w:r>
              <w:rPr>
                <w:rFonts w:hint="eastAsia"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tab/>
            </w:r>
            <w:r>
              <w:rPr>
                <w:rFonts w:hint="eastAsia" w:ascii="宋体" w:hAnsi="宋体" w:eastAsia="宋体" w:cs="宋体"/>
                <w:b w:val="0"/>
                <w:bCs w:val="0"/>
                <w:color w:val="000000" w:themeColor="text1"/>
                <w:kern w:val="10"/>
                <w:sz w:val="21"/>
                <w:szCs w:val="21"/>
                <w:highlight w:val="none"/>
                <w:lang w:val="en-US" w:eastAsia="zh-CN" w:bidi="ar-SA"/>
                <w14:textFill>
                  <w14:solidFill>
                    <w14:schemeClr w14:val="tx1"/>
                  </w14:solidFill>
                </w14:textFill>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7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fill="FFFFFF" w:themeFill="background1"/>
              <w:ind w:left="630" w:hanging="630" w:hangingChars="300"/>
              <w:jc w:val="left"/>
              <w:textAlignment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注：1.</w:t>
            </w:r>
            <w:r>
              <w:rPr>
                <w:rFonts w:ascii="宋体" w:hAnsi="宋体" w:eastAsia="宋体" w:cs="宋体"/>
                <w:sz w:val="21"/>
                <w:szCs w:val="21"/>
                <w:highlight w:val="none"/>
              </w:rPr>
              <w:t>扣</w:t>
            </w:r>
            <w:r>
              <w:rPr>
                <w:rFonts w:hint="eastAsia" w:ascii="宋体" w:hAnsi="宋体" w:eastAsia="宋体" w:cs="宋体"/>
                <w:sz w:val="21"/>
                <w:szCs w:val="21"/>
                <w:highlight w:val="none"/>
                <w:lang w:val="en-US" w:eastAsia="zh-CN"/>
              </w:rPr>
              <w:t>款</w:t>
            </w:r>
            <w:r>
              <w:rPr>
                <w:rFonts w:ascii="宋体" w:hAnsi="宋体" w:eastAsia="宋体" w:cs="宋体"/>
                <w:sz w:val="21"/>
                <w:szCs w:val="21"/>
                <w:highlight w:val="none"/>
              </w:rPr>
              <w:t>只扣完该组批总</w:t>
            </w:r>
            <w:r>
              <w:rPr>
                <w:rFonts w:hint="eastAsia" w:ascii="宋体" w:hAnsi="宋体" w:eastAsia="宋体" w:cs="宋体"/>
                <w:sz w:val="21"/>
                <w:szCs w:val="21"/>
                <w:highlight w:val="none"/>
                <w:lang w:eastAsia="zh-CN"/>
              </w:rPr>
              <w:t>金额</w:t>
            </w:r>
            <w:r>
              <w:rPr>
                <w:rFonts w:ascii="宋体" w:hAnsi="宋体" w:eastAsia="宋体" w:cs="宋体"/>
                <w:sz w:val="21"/>
                <w:szCs w:val="21"/>
                <w:highlight w:val="none"/>
              </w:rPr>
              <w:t>为止，不延伸到扣减其它组批</w:t>
            </w:r>
            <w:r>
              <w:rPr>
                <w:rFonts w:hint="eastAsia" w:ascii="宋体" w:hAnsi="宋体" w:eastAsia="宋体" w:cs="宋体"/>
                <w:sz w:val="21"/>
                <w:szCs w:val="21"/>
                <w:highlight w:val="none"/>
                <w:lang w:eastAsia="zh-CN"/>
              </w:rPr>
              <w:t>金额</w:t>
            </w:r>
            <w:r>
              <w:rPr>
                <w:rFonts w:ascii="宋体" w:hAnsi="宋体" w:eastAsia="宋体" w:cs="宋体"/>
                <w:sz w:val="21"/>
                <w:szCs w:val="21"/>
                <w:highlight w:val="none"/>
              </w:rPr>
              <w:t>（即扣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不扣减到负数），但若为供方恶意掺杂使假的，通过专题会议评审后，按合同约定进行违约处</w:t>
            </w:r>
            <w:r>
              <w:rPr>
                <w:rFonts w:hint="eastAsia" w:ascii="宋体" w:hAnsi="宋体" w:eastAsia="宋体" w:cs="宋体"/>
                <w:sz w:val="21"/>
                <w:szCs w:val="21"/>
                <w:highlight w:val="none"/>
                <w:lang w:val="en-US" w:eastAsia="zh-CN"/>
              </w:rPr>
              <w:t>罚</w:t>
            </w:r>
            <w:r>
              <w:rPr>
                <w:rFonts w:ascii="宋体" w:hAnsi="宋体" w:eastAsia="宋体" w:cs="宋体"/>
                <w:sz w:val="21"/>
                <w:szCs w:val="21"/>
                <w:highlight w:val="none"/>
              </w:rPr>
              <w:t>。</w:t>
            </w:r>
          </w:p>
          <w:p>
            <w:pPr>
              <w:keepNext w:val="0"/>
              <w:keepLines w:val="0"/>
              <w:widowControl/>
              <w:suppressLineNumbers w:val="0"/>
              <w:shd w:val="clear" w:fill="FFFFFF" w:themeFill="background1"/>
              <w:ind w:left="630" w:hanging="630" w:hangingChars="300"/>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2.采购原焦及三桶油石油焦，扣款细则由专题会议讨论决定，并在合同中明确注明。</w:t>
            </w:r>
          </w:p>
          <w:p>
            <w:pPr>
              <w:keepNext w:val="0"/>
              <w:keepLines w:val="0"/>
              <w:widowControl/>
              <w:suppressLineNumbers w:val="0"/>
              <w:shd w:val="clear" w:fill="FFFFFF" w:themeFill="background1"/>
              <w:ind w:left="630" w:hanging="630" w:hangingChars="3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3.扣款不分段计算。</w:t>
            </w:r>
          </w:p>
        </w:tc>
      </w:tr>
    </w:tbl>
    <w:p>
      <w:pPr>
        <w:spacing w:line="440" w:lineRule="exact"/>
        <w:rPr>
          <w:rFonts w:hint="eastAsia" w:ascii="宋体" w:hAnsi="宋体" w:eastAsia="宋体" w:cs="宋体"/>
          <w:color w:val="auto"/>
          <w:sz w:val="24"/>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YzNlZTIwYjA3Yzk2Y2UxMzIwMmZjMDc4ODA3M2UifQ=="/>
  </w:docVars>
  <w:rsids>
    <w:rsidRoot w:val="00000000"/>
    <w:rsid w:val="004D497E"/>
    <w:rsid w:val="005E0AA6"/>
    <w:rsid w:val="00963E2E"/>
    <w:rsid w:val="01B502E3"/>
    <w:rsid w:val="04D31337"/>
    <w:rsid w:val="050E03B0"/>
    <w:rsid w:val="053A3164"/>
    <w:rsid w:val="058D14E6"/>
    <w:rsid w:val="05CA5990"/>
    <w:rsid w:val="06113075"/>
    <w:rsid w:val="0636392C"/>
    <w:rsid w:val="06397407"/>
    <w:rsid w:val="06463FE3"/>
    <w:rsid w:val="06470FFE"/>
    <w:rsid w:val="066906E0"/>
    <w:rsid w:val="069733C6"/>
    <w:rsid w:val="07C21D4B"/>
    <w:rsid w:val="07E13D6B"/>
    <w:rsid w:val="08B72D3C"/>
    <w:rsid w:val="08D91F10"/>
    <w:rsid w:val="08E76C6E"/>
    <w:rsid w:val="094372C5"/>
    <w:rsid w:val="0992356F"/>
    <w:rsid w:val="09A544B3"/>
    <w:rsid w:val="0A1F7327"/>
    <w:rsid w:val="0A3D07AB"/>
    <w:rsid w:val="0A9651AE"/>
    <w:rsid w:val="0B2C19BD"/>
    <w:rsid w:val="0B443CAE"/>
    <w:rsid w:val="0C5A1D0D"/>
    <w:rsid w:val="0D2A5EE6"/>
    <w:rsid w:val="0DCA53CF"/>
    <w:rsid w:val="0EF95E3E"/>
    <w:rsid w:val="104A6951"/>
    <w:rsid w:val="10576D4C"/>
    <w:rsid w:val="11366ED6"/>
    <w:rsid w:val="116508C6"/>
    <w:rsid w:val="137612B1"/>
    <w:rsid w:val="14A80949"/>
    <w:rsid w:val="15393602"/>
    <w:rsid w:val="1747601B"/>
    <w:rsid w:val="17E045D4"/>
    <w:rsid w:val="17EC7A44"/>
    <w:rsid w:val="193B4AC7"/>
    <w:rsid w:val="19EC297C"/>
    <w:rsid w:val="1A0C37EE"/>
    <w:rsid w:val="1DAE0412"/>
    <w:rsid w:val="1EEE3451"/>
    <w:rsid w:val="1F1D18F8"/>
    <w:rsid w:val="1F621366"/>
    <w:rsid w:val="1FCF0C21"/>
    <w:rsid w:val="1FE2318E"/>
    <w:rsid w:val="226D01D4"/>
    <w:rsid w:val="226F16EE"/>
    <w:rsid w:val="236E0751"/>
    <w:rsid w:val="24474BEB"/>
    <w:rsid w:val="24E8008F"/>
    <w:rsid w:val="25C22339"/>
    <w:rsid w:val="2624159B"/>
    <w:rsid w:val="265728E7"/>
    <w:rsid w:val="2705317A"/>
    <w:rsid w:val="270A253F"/>
    <w:rsid w:val="27DD27D7"/>
    <w:rsid w:val="28133675"/>
    <w:rsid w:val="28140F26"/>
    <w:rsid w:val="28387360"/>
    <w:rsid w:val="289D6024"/>
    <w:rsid w:val="28C8445F"/>
    <w:rsid w:val="2932694C"/>
    <w:rsid w:val="29422464"/>
    <w:rsid w:val="29B61DA0"/>
    <w:rsid w:val="2A6357CE"/>
    <w:rsid w:val="2B7B5151"/>
    <w:rsid w:val="2B820E83"/>
    <w:rsid w:val="2B9C414B"/>
    <w:rsid w:val="2D19172E"/>
    <w:rsid w:val="2D6038E3"/>
    <w:rsid w:val="2D874B0C"/>
    <w:rsid w:val="2E094915"/>
    <w:rsid w:val="2E6B5FB9"/>
    <w:rsid w:val="2E6F2ADF"/>
    <w:rsid w:val="2E9A30C2"/>
    <w:rsid w:val="2EBF047C"/>
    <w:rsid w:val="2F286686"/>
    <w:rsid w:val="304A60A2"/>
    <w:rsid w:val="30580A8B"/>
    <w:rsid w:val="31337BBB"/>
    <w:rsid w:val="313C6677"/>
    <w:rsid w:val="32537FC7"/>
    <w:rsid w:val="32D358E1"/>
    <w:rsid w:val="333651AE"/>
    <w:rsid w:val="33684523"/>
    <w:rsid w:val="346B286A"/>
    <w:rsid w:val="34881C55"/>
    <w:rsid w:val="34CE44CF"/>
    <w:rsid w:val="34DD1522"/>
    <w:rsid w:val="34E22D4D"/>
    <w:rsid w:val="35642093"/>
    <w:rsid w:val="359F6534"/>
    <w:rsid w:val="35C802B9"/>
    <w:rsid w:val="37611BC4"/>
    <w:rsid w:val="380059F5"/>
    <w:rsid w:val="38FE5C7B"/>
    <w:rsid w:val="391B2228"/>
    <w:rsid w:val="397C78BE"/>
    <w:rsid w:val="3A80103E"/>
    <w:rsid w:val="3AD470DA"/>
    <w:rsid w:val="3CCE67A9"/>
    <w:rsid w:val="3F874807"/>
    <w:rsid w:val="3FC2057E"/>
    <w:rsid w:val="4041301D"/>
    <w:rsid w:val="405745EF"/>
    <w:rsid w:val="412F10C8"/>
    <w:rsid w:val="413A0F29"/>
    <w:rsid w:val="41942A6F"/>
    <w:rsid w:val="420C2E76"/>
    <w:rsid w:val="42531300"/>
    <w:rsid w:val="42E77528"/>
    <w:rsid w:val="43773578"/>
    <w:rsid w:val="440F0CC0"/>
    <w:rsid w:val="44D22496"/>
    <w:rsid w:val="45F14B9E"/>
    <w:rsid w:val="48E111EB"/>
    <w:rsid w:val="494F1357"/>
    <w:rsid w:val="495A6EFE"/>
    <w:rsid w:val="49A85EBB"/>
    <w:rsid w:val="49DE5CE3"/>
    <w:rsid w:val="4A683404"/>
    <w:rsid w:val="4A7B0214"/>
    <w:rsid w:val="4AB32908"/>
    <w:rsid w:val="4AE50A49"/>
    <w:rsid w:val="4AF1328D"/>
    <w:rsid w:val="4B0B04B0"/>
    <w:rsid w:val="4B5C09E5"/>
    <w:rsid w:val="4BE76B9B"/>
    <w:rsid w:val="4C39086D"/>
    <w:rsid w:val="4CD60F91"/>
    <w:rsid w:val="4E351260"/>
    <w:rsid w:val="4EB64BD7"/>
    <w:rsid w:val="4F746B4B"/>
    <w:rsid w:val="4F811237"/>
    <w:rsid w:val="501F41DC"/>
    <w:rsid w:val="511248E2"/>
    <w:rsid w:val="521E43A8"/>
    <w:rsid w:val="53C4226C"/>
    <w:rsid w:val="54F93FC5"/>
    <w:rsid w:val="555A5F3E"/>
    <w:rsid w:val="556D1BA9"/>
    <w:rsid w:val="55853555"/>
    <w:rsid w:val="559635F6"/>
    <w:rsid w:val="55D96900"/>
    <w:rsid w:val="566E4165"/>
    <w:rsid w:val="569E03B1"/>
    <w:rsid w:val="5717555E"/>
    <w:rsid w:val="571921A6"/>
    <w:rsid w:val="57222B83"/>
    <w:rsid w:val="5748072D"/>
    <w:rsid w:val="577B5E98"/>
    <w:rsid w:val="579D07F2"/>
    <w:rsid w:val="58360B36"/>
    <w:rsid w:val="583E71D6"/>
    <w:rsid w:val="586170E7"/>
    <w:rsid w:val="58D462D8"/>
    <w:rsid w:val="592D126E"/>
    <w:rsid w:val="59EA57DC"/>
    <w:rsid w:val="59F40CA9"/>
    <w:rsid w:val="5AD20FEA"/>
    <w:rsid w:val="5AFD2B27"/>
    <w:rsid w:val="5BB144CF"/>
    <w:rsid w:val="5C703D57"/>
    <w:rsid w:val="5C844566"/>
    <w:rsid w:val="5D144BE5"/>
    <w:rsid w:val="5D5715A2"/>
    <w:rsid w:val="5DB46785"/>
    <w:rsid w:val="5EE65AF4"/>
    <w:rsid w:val="5F29558B"/>
    <w:rsid w:val="5F3C2ED6"/>
    <w:rsid w:val="5F791F35"/>
    <w:rsid w:val="607C7708"/>
    <w:rsid w:val="60991F8F"/>
    <w:rsid w:val="60F61AB0"/>
    <w:rsid w:val="60F97ED1"/>
    <w:rsid w:val="6118527D"/>
    <w:rsid w:val="638906B4"/>
    <w:rsid w:val="641D3B93"/>
    <w:rsid w:val="659F0703"/>
    <w:rsid w:val="665723A3"/>
    <w:rsid w:val="67173028"/>
    <w:rsid w:val="69B05A6A"/>
    <w:rsid w:val="6A167922"/>
    <w:rsid w:val="6A856377"/>
    <w:rsid w:val="6AC111FF"/>
    <w:rsid w:val="6BC524A5"/>
    <w:rsid w:val="6BF6265F"/>
    <w:rsid w:val="6C0D3BF3"/>
    <w:rsid w:val="6C150A7F"/>
    <w:rsid w:val="6C16337E"/>
    <w:rsid w:val="6C18267B"/>
    <w:rsid w:val="6C68148F"/>
    <w:rsid w:val="6C8E41B5"/>
    <w:rsid w:val="6CE01094"/>
    <w:rsid w:val="6CFE1D23"/>
    <w:rsid w:val="6E9C331F"/>
    <w:rsid w:val="6F9314B3"/>
    <w:rsid w:val="703444AC"/>
    <w:rsid w:val="70B24803"/>
    <w:rsid w:val="71072C18"/>
    <w:rsid w:val="71BC3694"/>
    <w:rsid w:val="72203F91"/>
    <w:rsid w:val="72DC4E57"/>
    <w:rsid w:val="74042951"/>
    <w:rsid w:val="7414709D"/>
    <w:rsid w:val="751B1D49"/>
    <w:rsid w:val="75C54384"/>
    <w:rsid w:val="761121DA"/>
    <w:rsid w:val="761D0123"/>
    <w:rsid w:val="764C1CC7"/>
    <w:rsid w:val="76EB3295"/>
    <w:rsid w:val="77FB68A4"/>
    <w:rsid w:val="781B0E8D"/>
    <w:rsid w:val="787564C6"/>
    <w:rsid w:val="78B96EEE"/>
    <w:rsid w:val="7903214D"/>
    <w:rsid w:val="79E47F9A"/>
    <w:rsid w:val="7A006172"/>
    <w:rsid w:val="7B4D3F43"/>
    <w:rsid w:val="7B5D50AA"/>
    <w:rsid w:val="7BB31019"/>
    <w:rsid w:val="7C1A0FF3"/>
    <w:rsid w:val="7D596400"/>
    <w:rsid w:val="7D975A1A"/>
    <w:rsid w:val="7DD00D6C"/>
    <w:rsid w:val="7DDA520A"/>
    <w:rsid w:val="7E3F0E51"/>
    <w:rsid w:val="7E4D4054"/>
    <w:rsid w:val="7E7062A0"/>
    <w:rsid w:val="7EA128FE"/>
    <w:rsid w:val="7EC464B5"/>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8"/>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宋体" w:hAnsi="宋体" w:eastAsia="宋体" w:cs="宋体"/>
      <w:sz w:val="24"/>
      <w:szCs w:val="24"/>
    </w:rPr>
  </w:style>
  <w:style w:type="paragraph" w:styleId="5">
    <w:name w:val="footer"/>
    <w:basedOn w:val="1"/>
    <w:qFormat/>
    <w:uiPriority w:val="0"/>
    <w:pPr>
      <w:tabs>
        <w:tab w:val="center" w:pos="4153"/>
        <w:tab w:val="right" w:pos="8306"/>
      </w:tabs>
      <w:snapToGrid w:val="0"/>
      <w:jc w:val="left"/>
    </w:pPr>
    <w:rPr>
      <w:sz w:val="20"/>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1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纯文本1"/>
    <w:basedOn w:val="1"/>
    <w:qFormat/>
    <w:uiPriority w:val="0"/>
    <w:pPr>
      <w:textAlignment w:val="baseline"/>
    </w:pPr>
    <w:rPr>
      <w:rFonts w:hAnsi="Courier New" w:cs="Times New Roman"/>
    </w:rPr>
  </w:style>
  <w:style w:type="paragraph" w:customStyle="1" w:styleId="13">
    <w:name w:val="正文1"/>
    <w:basedOn w:val="1"/>
    <w:qFormat/>
    <w:uiPriority w:val="0"/>
    <w:pPr>
      <w:adjustRightInd w:val="0"/>
      <w:spacing w:line="360" w:lineRule="atLeast"/>
      <w:jc w:val="left"/>
    </w:pPr>
    <w:rPr>
      <w:rFonts w:ascii="宋体"/>
      <w:kern w:val="0"/>
      <w:sz w:val="24"/>
    </w:rPr>
  </w:style>
  <w:style w:type="paragraph" w:customStyle="1" w:styleId="14">
    <w:name w:val="Table Paragraph"/>
    <w:basedOn w:val="1"/>
    <w:qFormat/>
    <w:uiPriority w:val="1"/>
    <w:rPr>
      <w:rFonts w:ascii="宋体" w:hAnsi="宋体" w:eastAsia="宋体" w:cs="宋体"/>
    </w:rPr>
  </w:style>
  <w:style w:type="paragraph" w:styleId="15">
    <w:name w:val="List Paragraph"/>
    <w:basedOn w:val="1"/>
    <w:qFormat/>
    <w:uiPriority w:val="1"/>
    <w:pPr>
      <w:ind w:left="620"/>
    </w:pPr>
    <w:rPr>
      <w:rFonts w:ascii="宋体" w:hAnsi="宋体" w:eastAsia="宋体" w:cs="宋体"/>
    </w:rPr>
  </w:style>
  <w:style w:type="character" w:customStyle="1" w:styleId="16">
    <w:name w:val="font21"/>
    <w:basedOn w:val="10"/>
    <w:qFormat/>
    <w:uiPriority w:val="0"/>
    <w:rPr>
      <w:rFonts w:hint="eastAsia" w:ascii="微软雅黑" w:hAnsi="微软雅黑" w:eastAsia="微软雅黑" w:cs="微软雅黑"/>
      <w:b/>
      <w:bCs/>
      <w:color w:val="000000"/>
      <w:sz w:val="24"/>
      <w:szCs w:val="24"/>
      <w:u w:val="none"/>
    </w:rPr>
  </w:style>
  <w:style w:type="character" w:customStyle="1" w:styleId="17">
    <w:name w:val="font11"/>
    <w:basedOn w:val="10"/>
    <w:qFormat/>
    <w:uiPriority w:val="0"/>
    <w:rPr>
      <w:rFonts w:hint="eastAsia" w:ascii="微软雅黑" w:hAnsi="微软雅黑" w:eastAsia="微软雅黑" w:cs="微软雅黑"/>
      <w:b/>
      <w:bCs/>
      <w:color w:val="000000"/>
      <w:sz w:val="24"/>
      <w:szCs w:val="24"/>
      <w:u w:val="none"/>
    </w:rPr>
  </w:style>
  <w:style w:type="character" w:customStyle="1" w:styleId="18">
    <w:name w:val="标题 1 Char"/>
    <w:link w:val="2"/>
    <w:qFormat/>
    <w:uiPriority w:val="0"/>
    <w:rPr>
      <w:rFonts w:ascii="Times New Roman" w:hAnsi="Times New Roman"/>
      <w:b/>
      <w:kern w:val="44"/>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2783</Words>
  <Characters>2989</Characters>
  <Paragraphs>245</Paragraphs>
  <TotalTime>5</TotalTime>
  <ScaleCrop>false</ScaleCrop>
  <LinksUpToDate>false</LinksUpToDate>
  <CharactersWithSpaces>3148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螺丝粉</cp:lastModifiedBy>
  <dcterms:modified xsi:type="dcterms:W3CDTF">2024-05-15T00:23:18Z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AACE5109534243E3A599A194405C2063_13</vt:lpwstr>
  </property>
</Properties>
</file>