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left="0" w:leftChars="0" w:firstLine="0" w:firstLineChars="0"/>
        <w:jc w:val="center"/>
        <w:outlineLvl w:val="0"/>
        <w:rPr>
          <w:rFonts w:hint="eastAsia" w:ascii="宋体" w:hAnsi="宋体" w:eastAsia="宋体" w:cs="Times New Roman"/>
          <w:b/>
          <w:kern w:val="10"/>
          <w:sz w:val="32"/>
          <w:szCs w:val="32"/>
          <w:lang w:eastAsia="zh-CN"/>
        </w:rPr>
      </w:pPr>
      <w:bookmarkStart w:id="0" w:name="_Toc4862"/>
      <w:bookmarkStart w:id="1" w:name="_Toc1447"/>
      <w:bookmarkStart w:id="2" w:name="_Toc2799"/>
      <w:bookmarkStart w:id="3" w:name="_Toc14186"/>
      <w:r>
        <w:rPr>
          <w:rFonts w:hint="eastAsia" w:ascii="宋体" w:hAnsi="宋体" w:eastAsia="宋体" w:cs="Times New Roman"/>
          <w:b/>
          <w:kern w:val="10"/>
          <w:sz w:val="32"/>
          <w:szCs w:val="32"/>
          <w:lang w:val="en-US" w:eastAsia="zh-CN"/>
        </w:rPr>
        <w:t xml:space="preserve"> </w:t>
      </w:r>
      <w:bookmarkEnd w:id="0"/>
      <w:bookmarkEnd w:id="1"/>
      <w:bookmarkEnd w:id="2"/>
      <w:bookmarkEnd w:id="3"/>
      <w:r>
        <w:rPr>
          <w:rFonts w:hint="eastAsia" w:ascii="宋体" w:hAnsi="宋体" w:eastAsia="宋体" w:cs="Times New Roman"/>
          <w:b/>
          <w:kern w:val="10"/>
          <w:sz w:val="32"/>
          <w:szCs w:val="32"/>
          <w:lang w:eastAsia="zh-CN"/>
        </w:rPr>
        <w:t>吸铝管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4" w:name="_Toc30"/>
      <w:bookmarkStart w:id="5" w:name="_Toc12050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1.1 范围</w:t>
      </w:r>
      <w:bookmarkEnd w:id="4"/>
      <w:bookmarkEnd w:id="5"/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本细则根据电解铝业务部实际生产使用情况编制，规定了吸铝管的外观质量、性能指标、检验频次及检验方法、质量细则等要求。适用于电解铝业务部下属各铝厂采购吸铝管的质量检验及质量验证</w:t>
      </w:r>
      <w:r>
        <w:rPr>
          <w:rFonts w:hint="eastAsia" w:eastAsia="宋体" w:cs="Times New Roman"/>
          <w:kern w:val="10"/>
          <w:sz w:val="24"/>
          <w:lang w:val="en-US" w:eastAsia="zh-CN"/>
        </w:rPr>
        <w:t>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</w:rPr>
      </w:pPr>
      <w:bookmarkStart w:id="6" w:name="_Toc17759"/>
      <w:bookmarkStart w:id="7" w:name="_Toc16438"/>
      <w:bookmarkStart w:id="8" w:name="_Toc9197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kern w:val="10"/>
          <w:sz w:val="24"/>
        </w:rPr>
        <w:t>.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 xml:space="preserve">2 </w:t>
      </w:r>
      <w:r>
        <w:rPr>
          <w:rFonts w:hint="eastAsia" w:ascii="宋体" w:hAnsi="宋体" w:eastAsia="宋体" w:cs="Times New Roman"/>
          <w:b/>
          <w:kern w:val="10"/>
          <w:sz w:val="24"/>
        </w:rPr>
        <w:t>外观质量</w:t>
      </w:r>
      <w:bookmarkEnd w:id="6"/>
      <w:bookmarkEnd w:id="7"/>
      <w:bookmarkEnd w:id="8"/>
    </w:p>
    <w:p>
      <w:pPr>
        <w:spacing w:line="360" w:lineRule="auto"/>
        <w:rPr>
          <w:rFonts w:hint="eastAsia" w:ascii="宋体" w:hAnsi="宋体" w:eastAsia="宋体" w:cs="Times New Roman"/>
          <w:kern w:val="10"/>
          <w:sz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</w:rPr>
        <w:t>.1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吸铝管材质为球墨铸铁，鉴于本产品质量主要依赖于加工工艺，其物理成分可不作为质量检验标准。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吸铝管</w:t>
      </w:r>
      <w:r>
        <w:rPr>
          <w:rFonts w:hint="eastAsia" w:ascii="宋体" w:hAnsi="宋体" w:eastAsia="宋体" w:cs="Times New Roman"/>
          <w:kern w:val="10"/>
          <w:sz w:val="24"/>
        </w:rPr>
        <w:t>的外观质量采用目视检查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,表现为：外观无砂眼、气孔、裂纹等缺陷，产品尺寸采用精度相应的工具对照图纸测量。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sz w:val="24"/>
          <w:lang w:eastAsia="zh-CN"/>
        </w:rPr>
      </w:pPr>
      <w:bookmarkStart w:id="9" w:name="_Toc3978"/>
      <w:bookmarkStart w:id="10" w:name="_Toc21579"/>
      <w:bookmarkStart w:id="11" w:name="_Toc28076"/>
      <w:r>
        <w:rPr>
          <w:rFonts w:hint="eastAsia" w:ascii="宋体" w:hAnsi="宋体" w:eastAsia="宋体" w:cs="Times New Roman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</w:rPr>
        <w:t>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 xml:space="preserve">3 </w:t>
      </w:r>
      <w:r>
        <w:rPr>
          <w:rFonts w:hint="eastAsia" w:ascii="宋体" w:hAnsi="宋体" w:eastAsia="宋体" w:cs="Times New Roman"/>
          <w:b/>
          <w:sz w:val="24"/>
        </w:rPr>
        <w:t>检验频次</w:t>
      </w:r>
      <w:r>
        <w:rPr>
          <w:rFonts w:hint="eastAsia" w:ascii="宋体" w:hAnsi="宋体" w:eastAsia="宋体" w:cs="Times New Roman"/>
          <w:b/>
          <w:sz w:val="24"/>
          <w:lang w:eastAsia="zh-CN"/>
        </w:rPr>
        <w:t>及取样方法</w:t>
      </w:r>
      <w:bookmarkEnd w:id="9"/>
      <w:bookmarkEnd w:id="10"/>
      <w:bookmarkEnd w:id="11"/>
    </w:p>
    <w:p>
      <w:p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t>1.3.1检验频次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en-US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 xml:space="preserve">    吸铝管产品应按到货批次提交检验，外观质量每根必检，性能指标随机抽检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10根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en-US"/>
        </w:rPr>
        <w:t>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1.3</w:t>
      </w:r>
      <w:r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  <w:t>.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2</w:t>
      </w:r>
      <w:r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检验方法</w:t>
      </w:r>
    </w:p>
    <w:p>
      <w:pPr>
        <w:spacing w:before="156" w:beforeLines="50" w:after="156" w:afterLines="50" w:line="360" w:lineRule="auto"/>
        <w:ind w:firstLine="480" w:firstLineChars="200"/>
        <w:outlineLvl w:val="1"/>
        <w:rPr>
          <w:rFonts w:hint="default" w:ascii="宋体" w:hAnsi="宋体" w:eastAsia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吸铝管使用性能每批次抽检10根，分别装在不同的真空抬包上试验使用，期间由属地车间跟踪记录每个真空抬包的抽铝量，根据吸铝管达到使用寿命时通过的铝液数量（过铝量）进行检验。</w:t>
      </w:r>
    </w:p>
    <w:p>
      <w:pP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2" w:name="_Toc10981"/>
      <w: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t>1.4 质量细则</w:t>
      </w:r>
      <w:bookmarkEnd w:id="12"/>
    </w:p>
    <w:p>
      <w:pPr>
        <w:pStyle w:val="2"/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52"/>
        <w:gridCol w:w="1857"/>
        <w:gridCol w:w="2991"/>
        <w:gridCol w:w="1511"/>
        <w:gridCol w:w="2475"/>
        <w:gridCol w:w="2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10"/>
                <w:sz w:val="24"/>
                <w:highlight w:val="none"/>
                <w:lang w:val="en-US" w:eastAsia="zh-CN"/>
              </w:rPr>
              <w:t>吸铝管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10"/>
                <w:sz w:val="24"/>
                <w:highlight w:val="none"/>
                <w:lang w:val="en-US" w:eastAsia="zh-CN"/>
              </w:rPr>
              <w:t>质量细则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子项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处理类别</w:t>
            </w:r>
          </w:p>
        </w:tc>
        <w:tc>
          <w:tcPr>
            <w:tcW w:w="19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处理措施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（x为对应的控制子项）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外观质量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无沙眼、气孔、裂纹等明显缺陷、尺寸不合格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存在明显缺陷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过铝量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420KA电解槽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A管</w:t>
            </w:r>
          </w:p>
        </w:tc>
        <w:tc>
          <w:tcPr>
            <w:tcW w:w="10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≥800t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合格率≥90%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不进行扣款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3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80%≤合格率＜90%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扣批次合同总金额20%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B管</w:t>
            </w:r>
          </w:p>
        </w:tc>
        <w:tc>
          <w:tcPr>
            <w:tcW w:w="10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≥1000t</w:t>
            </w:r>
          </w:p>
        </w:tc>
        <w:tc>
          <w:tcPr>
            <w:tcW w:w="53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70%≤合格率＜80%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扣批次合同总金额35%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合格率＜70%</w:t>
            </w:r>
          </w:p>
        </w:tc>
        <w:tc>
          <w:tcPr>
            <w:tcW w:w="104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整批退货处理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C管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1000t</w:t>
            </w:r>
          </w:p>
        </w:tc>
        <w:tc>
          <w:tcPr>
            <w:tcW w:w="5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过铝量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600KA电解槽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A管</w:t>
            </w: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50t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合格率≥90%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不进行扣款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80%≤合格率＜90%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扣批次合同总金额20%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B管</w:t>
            </w: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500t</w:t>
            </w:r>
            <w:bookmarkStart w:id="13" w:name="_GoBack"/>
            <w:bookmarkEnd w:id="13"/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70%≤合格率＜80%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扣批次合同总金额35%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合格率＜70%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整批退货处理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C管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t</w:t>
            </w:r>
          </w:p>
        </w:tc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1、交货的质量不符合合同规定的按细则处理。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2、过铝量指标不合格需整批退换货的吸铝管须在15日内重新提供到甲方仓库，期间甲方原则上不得使用，如甲方因生产原因急需使用，则按合同清单单价*使用数量*65%结算。</w:t>
            </w:r>
          </w:p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NzY1NzUyY2UzYjdmNDE4ODllOGZhOThlZjI3YjcifQ=="/>
  </w:docVars>
  <w:rsids>
    <w:rsidRoot w:val="4BE54230"/>
    <w:rsid w:val="4B4D1C34"/>
    <w:rsid w:val="4B5701C5"/>
    <w:rsid w:val="4BE54230"/>
    <w:rsid w:val="5FF27811"/>
    <w:rsid w:val="744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765</Characters>
  <Lines>0</Lines>
  <Paragraphs>0</Paragraphs>
  <TotalTime>1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2022-03-28T00:35:00Z</dcterms:created>
  <dc:creator>凯</dc:creator>
  <cp:lastModifiedBy>heart枫林火山</cp:lastModifiedBy>
  <dcterms:modified xsi:type="dcterms:W3CDTF">2023-05-23T07:43:52Z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0B193BD284084BADB7B9394F4F11FDB3</vt:lpwstr>
  </property>
</Properties>
</file>