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pPr>
        <w:ind w:firstLine="2209" w:firstLineChars="500"/>
        <w:jc w:val="both"/>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改质</w:t>
      </w:r>
      <w:r>
        <w:rPr>
          <w:rFonts w:hint="eastAsia" w:ascii="宋体" w:hAnsi="宋体" w:eastAsia="宋体" w:cs="宋体"/>
          <w:b/>
          <w:bCs/>
          <w:sz w:val="44"/>
          <w:szCs w:val="44"/>
          <w:lang w:val="en-US" w:eastAsia="zh-CN"/>
        </w:rPr>
        <w:t>沥青</w:t>
      </w:r>
      <w:r>
        <w:rPr>
          <w:rFonts w:hint="eastAsia" w:ascii="宋体" w:hAnsi="宋体" w:eastAsia="宋体" w:cs="宋体"/>
          <w:b/>
          <w:bCs/>
          <w:sz w:val="44"/>
          <w:szCs w:val="44"/>
          <w:lang w:eastAsia="zh-CN"/>
        </w:rPr>
        <w:t>采购项目</w:t>
      </w:r>
    </w:p>
    <w:p>
      <w:pPr>
        <w:ind w:left="880" w:leftChars="419" w:firstLine="2209" w:firstLineChars="500"/>
        <w:jc w:val="center"/>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pPr>
        <w:ind w:firstLine="562" w:firstLineChars="200"/>
        <w:jc w:val="left"/>
        <w:rPr>
          <w:rFonts w:hint="eastAsia" w:ascii="宋体" w:hAnsi="宋体" w:eastAsia="宋体" w:cs="宋体"/>
          <w:b/>
          <w:bCs/>
          <w:sz w:val="28"/>
          <w:szCs w:val="28"/>
        </w:rPr>
      </w:pPr>
    </w:p>
    <w:p>
      <w:pPr>
        <w:pStyle w:val="11"/>
        <w:rPr>
          <w:rFonts w:hint="eastAsia"/>
          <w:b/>
          <w:bCs/>
          <w:sz w:val="28"/>
          <w:szCs w:val="28"/>
        </w:rPr>
      </w:pPr>
    </w:p>
    <w:p>
      <w:pPr>
        <w:pStyle w:val="11"/>
        <w:rPr>
          <w:rFonts w:hint="eastAsia"/>
          <w:b/>
          <w:bCs/>
          <w:sz w:val="28"/>
          <w:szCs w:val="28"/>
        </w:rPr>
      </w:pPr>
    </w:p>
    <w:p>
      <w:pPr>
        <w:pStyle w:val="11"/>
        <w:rPr>
          <w:rFonts w:hint="eastAsia"/>
          <w:b/>
          <w:bCs/>
          <w:sz w:val="28"/>
          <w:szCs w:val="28"/>
        </w:rPr>
      </w:pPr>
    </w:p>
    <w:p>
      <w:pPr>
        <w:pStyle w:val="11"/>
        <w:rPr>
          <w:rFonts w:hint="eastAsia"/>
          <w:b/>
          <w:bCs/>
          <w:sz w:val="28"/>
          <w:szCs w:val="28"/>
        </w:rPr>
      </w:pPr>
    </w:p>
    <w:p>
      <w:pPr>
        <w:ind w:firstLine="562" w:firstLineChars="200"/>
        <w:rPr>
          <w:rFonts w:hint="eastAsia"/>
          <w:b/>
          <w:bCs/>
          <w:sz w:val="28"/>
          <w:szCs w:val="28"/>
        </w:rPr>
      </w:pPr>
    </w:p>
    <w:p>
      <w:pPr>
        <w:ind w:firstLine="562" w:firstLineChars="200"/>
        <w:rPr>
          <w:rFonts w:hint="eastAsia"/>
          <w:b/>
          <w:bCs/>
          <w:sz w:val="28"/>
          <w:szCs w:val="28"/>
        </w:rPr>
      </w:pPr>
    </w:p>
    <w:p>
      <w:pPr>
        <w:pStyle w:val="11"/>
        <w:rPr>
          <w:rFonts w:hint="eastAsia"/>
        </w:rPr>
      </w:pPr>
    </w:p>
    <w:p>
      <w:pPr>
        <w:pStyle w:val="11"/>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pPr>
        <w:pStyle w:val="11"/>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pPr>
        <w:pStyle w:val="11"/>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pPr>
        <w:ind w:firstLine="562" w:firstLineChars="200"/>
        <w:rPr>
          <w:rFonts w:hint="eastAsia" w:ascii="宋体" w:hAnsi="宋体" w:eastAsia="宋体" w:cs="宋体"/>
          <w:b/>
          <w:bCs/>
          <w:sz w:val="28"/>
          <w:szCs w:val="28"/>
        </w:rPr>
      </w:pPr>
    </w:p>
    <w:p>
      <w:pPr>
        <w:rPr>
          <w:rFonts w:hint="eastAsia"/>
          <w:b/>
          <w:bCs/>
          <w:sz w:val="28"/>
          <w:szCs w:val="28"/>
        </w:rPr>
      </w:pPr>
    </w:p>
    <w:p>
      <w:pPr>
        <w:pStyle w:val="11"/>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田林百矿田田碳素有限公司</w:t>
      </w:r>
    </w:p>
    <w:p>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w:t>
      </w:r>
      <w:r>
        <w:rPr>
          <w:rFonts w:hint="eastAsia" w:ascii="宋体" w:hAnsi="宋体" w:cs="宋体"/>
          <w:b/>
          <w:bCs/>
          <w:sz w:val="30"/>
          <w:szCs w:val="30"/>
          <w:lang w:val="en-US" w:eastAsia="zh-CN"/>
        </w:rPr>
        <w:t>4</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5</w:t>
      </w:r>
      <w:r>
        <w:rPr>
          <w:rFonts w:hint="eastAsia" w:ascii="宋体" w:hAnsi="宋体" w:eastAsia="宋体" w:cs="宋体"/>
          <w:b/>
          <w:bCs/>
          <w:sz w:val="30"/>
          <w:szCs w:val="30"/>
          <w:lang w:val="en-US" w:eastAsia="zh-CN"/>
        </w:rPr>
        <w:t>月</w:t>
      </w:r>
    </w:p>
    <w:p>
      <w:pPr>
        <w:ind w:firstLine="562" w:firstLineChars="200"/>
        <w:rPr>
          <w:rFonts w:hint="eastAsia"/>
          <w:b/>
          <w:bCs/>
          <w:sz w:val="28"/>
          <w:szCs w:val="28"/>
        </w:rPr>
      </w:pPr>
    </w:p>
    <w:p>
      <w:pPr>
        <w:pageBreakBefore w:val="0"/>
        <w:kinsoku/>
        <w:wordWrap/>
        <w:overflowPunct/>
        <w:topLinePunct w:val="0"/>
        <w:bidi w:val="0"/>
        <w:spacing w:line="460" w:lineRule="exact"/>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pPr>
        <w:pageBreakBefore w:val="0"/>
        <w:kinsoku/>
        <w:wordWrap/>
        <w:overflowPunct/>
        <w:topLinePunct w:val="0"/>
        <w:bidi w:val="0"/>
        <w:spacing w:line="460" w:lineRule="exact"/>
        <w:ind w:firstLine="281" w:firstLineChars="100"/>
        <w:jc w:val="left"/>
        <w:rPr>
          <w:rFonts w:hint="eastAsia" w:ascii="宋体" w:hAnsi="宋体" w:eastAsia="宋体" w:cs="宋体"/>
          <w:sz w:val="28"/>
          <w:szCs w:val="28"/>
        </w:rPr>
      </w:pPr>
      <w:r>
        <w:rPr>
          <w:rFonts w:hint="eastAsia"/>
          <w:b/>
          <w:bCs/>
          <w:sz w:val="28"/>
          <w:szCs w:val="28"/>
          <w:lang w:val="en-US" w:eastAsia="zh-CN"/>
        </w:rPr>
        <w:t>一、总则</w:t>
      </w:r>
    </w:p>
    <w:p>
      <w:pPr>
        <w:pageBreakBefore w:val="0"/>
        <w:kinsoku/>
        <w:wordWrap/>
        <w:overflowPunct/>
        <w:topLinePunct w:val="0"/>
        <w:bidi w:val="0"/>
        <w:spacing w:line="4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w:t>
      </w:r>
      <w:r>
        <w:rPr>
          <w:rFonts w:hint="eastAsia" w:ascii="宋体" w:hAnsi="宋体" w:cs="宋体"/>
          <w:sz w:val="28"/>
          <w:szCs w:val="28"/>
          <w:lang w:val="en-US" w:eastAsia="zh-CN"/>
        </w:rPr>
        <w:t>液体改质沥青</w:t>
      </w:r>
      <w:r>
        <w:rPr>
          <w:rFonts w:hint="eastAsia" w:ascii="宋体" w:hAnsi="宋体" w:eastAsia="宋体" w:cs="宋体"/>
          <w:color w:val="000000"/>
          <w:sz w:val="28"/>
          <w:szCs w:val="28"/>
          <w:u w:val="none"/>
          <w:lang w:eastAsia="zh-CN"/>
        </w:rPr>
        <w:t>（以下简称</w:t>
      </w:r>
      <w:r>
        <w:rPr>
          <w:rFonts w:hint="eastAsia" w:ascii="宋体" w:hAnsi="宋体" w:cs="宋体"/>
          <w:color w:val="000000"/>
          <w:sz w:val="28"/>
          <w:szCs w:val="28"/>
          <w:u w:val="none"/>
          <w:lang w:val="en-US" w:eastAsia="zh-CN"/>
        </w:rPr>
        <w:t>沥青</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rPr>
        <w:t>的采购</w:t>
      </w:r>
      <w:r>
        <w:rPr>
          <w:rFonts w:hint="eastAsia" w:ascii="宋体" w:hAnsi="宋体" w:eastAsia="宋体" w:cs="宋体"/>
          <w:sz w:val="28"/>
          <w:szCs w:val="28"/>
        </w:rPr>
        <w:t>，它包括了</w:t>
      </w:r>
      <w:r>
        <w:rPr>
          <w:rFonts w:hint="eastAsia" w:ascii="宋体" w:hAnsi="宋体" w:cs="宋体"/>
          <w:sz w:val="28"/>
          <w:szCs w:val="28"/>
          <w:lang w:val="en-US" w:eastAsia="zh-CN"/>
        </w:rPr>
        <w:t>沥青</w:t>
      </w:r>
      <w:r>
        <w:rPr>
          <w:rFonts w:hint="eastAsia" w:ascii="宋体" w:hAnsi="宋体" w:eastAsia="宋体" w:cs="宋体"/>
          <w:sz w:val="28"/>
          <w:szCs w:val="28"/>
        </w:rPr>
        <w:t>的性能</w:t>
      </w:r>
      <w:r>
        <w:rPr>
          <w:rFonts w:hint="eastAsia" w:ascii="宋体" w:hAnsi="宋体" w:cs="宋体"/>
          <w:sz w:val="28"/>
          <w:szCs w:val="28"/>
          <w:lang w:eastAsia="zh-CN"/>
        </w:rPr>
        <w:t>、</w:t>
      </w:r>
      <w:r>
        <w:rPr>
          <w:rFonts w:hint="eastAsia" w:ascii="宋体" w:hAnsi="宋体" w:cs="宋体"/>
          <w:sz w:val="28"/>
          <w:szCs w:val="28"/>
          <w:lang w:val="en-US" w:eastAsia="zh-CN"/>
        </w:rPr>
        <w:t>生产</w:t>
      </w:r>
      <w:r>
        <w:rPr>
          <w:rFonts w:hint="eastAsia" w:ascii="宋体" w:hAnsi="宋体" w:eastAsia="宋体" w:cs="宋体"/>
          <w:sz w:val="28"/>
          <w:szCs w:val="28"/>
        </w:rPr>
        <w:t>、检验、运输、验收直至最终交付使用等方面服务的技术条件。</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eastAsia="宋体" w:cs="宋体"/>
          <w:sz w:val="28"/>
          <w:szCs w:val="28"/>
          <w:lang w:val="en-US" w:eastAsia="zh-CN"/>
        </w:rPr>
        <w:t>供货方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投标方</w:t>
      </w:r>
      <w:r>
        <w:rPr>
          <w:rFonts w:hint="eastAsia" w:ascii="宋体" w:hAnsi="宋体" w:eastAsia="宋体" w:cs="宋体"/>
          <w:sz w:val="28"/>
          <w:szCs w:val="28"/>
        </w:rPr>
        <w:t>须详细列出包括</w:t>
      </w:r>
      <w:r>
        <w:rPr>
          <w:rFonts w:hint="eastAsia" w:ascii="宋体" w:hAnsi="宋体" w:cs="宋体"/>
          <w:sz w:val="28"/>
          <w:szCs w:val="28"/>
          <w:lang w:val="en-US" w:eastAsia="zh-CN"/>
        </w:rPr>
        <w:t>生产</w:t>
      </w:r>
      <w:r>
        <w:rPr>
          <w:rFonts w:hint="eastAsia" w:ascii="宋体" w:hAnsi="宋体" w:eastAsia="宋体" w:cs="宋体"/>
          <w:sz w:val="28"/>
          <w:szCs w:val="28"/>
        </w:rPr>
        <w:t>、检验、供货、验收等所采用的标准、规程和规范名称</w:t>
      </w:r>
      <w:r>
        <w:rPr>
          <w:rFonts w:hint="eastAsia" w:ascii="宋体" w:hAnsi="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审查确认。</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cs="宋体"/>
          <w:sz w:val="28"/>
          <w:szCs w:val="28"/>
          <w:lang w:val="en-US" w:eastAsia="zh-CN"/>
        </w:rPr>
        <w:t>沥青</w:t>
      </w:r>
      <w:r>
        <w:rPr>
          <w:rFonts w:hint="eastAsia" w:ascii="宋体" w:hAnsi="宋体" w:eastAsia="宋体" w:cs="宋体"/>
          <w:sz w:val="28"/>
          <w:szCs w:val="28"/>
        </w:rPr>
        <w:t>涉及到的专利费用均被认为已包含在</w:t>
      </w:r>
      <w:r>
        <w:rPr>
          <w:rFonts w:hint="eastAsia" w:ascii="宋体" w:hAnsi="宋体" w:cs="宋体"/>
          <w:sz w:val="28"/>
          <w:szCs w:val="28"/>
          <w:u w:val="none"/>
          <w:lang w:val="en-US" w:eastAsia="zh-CN"/>
        </w:rPr>
        <w:t>煤沥青</w:t>
      </w:r>
      <w:r>
        <w:rPr>
          <w:rFonts w:hint="eastAsia" w:ascii="宋体" w:hAnsi="宋体" w:eastAsia="宋体" w:cs="宋体"/>
          <w:sz w:val="28"/>
          <w:szCs w:val="28"/>
          <w:lang w:eastAsia="zh-CN"/>
        </w:rPr>
        <w:t>总</w:t>
      </w:r>
      <w:r>
        <w:rPr>
          <w:rFonts w:hint="eastAsia" w:ascii="宋体" w:hAnsi="宋体" w:eastAsia="宋体" w:cs="宋体"/>
          <w:sz w:val="28"/>
          <w:szCs w:val="28"/>
        </w:rPr>
        <w:t>价中，</w:t>
      </w:r>
      <w:r>
        <w:rPr>
          <w:rFonts w:hint="eastAsia" w:ascii="宋体" w:hAnsi="宋体" w:eastAsia="宋体" w:cs="宋体"/>
          <w:sz w:val="28"/>
          <w:szCs w:val="28"/>
          <w:lang w:eastAsia="zh-CN"/>
        </w:rPr>
        <w:t>投标方</w:t>
      </w:r>
      <w:r>
        <w:rPr>
          <w:rFonts w:hint="eastAsia" w:ascii="宋体" w:hAnsi="宋体" w:eastAsia="宋体" w:cs="宋体"/>
          <w:sz w:val="28"/>
          <w:szCs w:val="28"/>
        </w:rPr>
        <w:t>应保证</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不承担有关</w:t>
      </w:r>
      <w:r>
        <w:rPr>
          <w:rFonts w:hint="eastAsia" w:ascii="宋体" w:hAnsi="宋体" w:cs="宋体"/>
          <w:sz w:val="28"/>
          <w:szCs w:val="28"/>
          <w:u w:val="none"/>
          <w:lang w:val="en-US" w:eastAsia="zh-CN"/>
        </w:rPr>
        <w:t>煤沥青</w:t>
      </w:r>
      <w:r>
        <w:rPr>
          <w:rFonts w:hint="eastAsia" w:ascii="宋体" w:hAnsi="宋体" w:eastAsia="宋体" w:cs="宋体"/>
          <w:sz w:val="28"/>
          <w:szCs w:val="28"/>
        </w:rPr>
        <w:t>专利的一切责任。</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投标方</w:t>
      </w:r>
      <w:r>
        <w:rPr>
          <w:rFonts w:hint="eastAsia" w:ascii="宋体" w:hAnsi="宋体" w:eastAsia="宋体" w:cs="宋体"/>
          <w:sz w:val="28"/>
          <w:szCs w:val="28"/>
        </w:rPr>
        <w:t>提供的</w:t>
      </w:r>
      <w:r>
        <w:rPr>
          <w:rFonts w:hint="eastAsia" w:ascii="宋体" w:hAnsi="宋体" w:cs="宋体"/>
          <w:sz w:val="28"/>
          <w:szCs w:val="28"/>
          <w:u w:val="none"/>
          <w:lang w:val="en-US" w:eastAsia="zh-CN"/>
        </w:rPr>
        <w:t>沥青</w:t>
      </w:r>
      <w:r>
        <w:rPr>
          <w:rFonts w:hint="eastAsia" w:ascii="宋体" w:hAnsi="宋体" w:eastAsia="宋体" w:cs="宋体"/>
          <w:sz w:val="28"/>
          <w:szCs w:val="28"/>
        </w:rPr>
        <w:t>必须是完全符合本</w:t>
      </w:r>
      <w:r>
        <w:rPr>
          <w:rFonts w:hint="eastAsia" w:ascii="宋体" w:hAnsi="宋体" w:eastAsia="宋体" w:cs="宋体"/>
          <w:sz w:val="28"/>
          <w:szCs w:val="28"/>
          <w:lang w:eastAsia="zh-CN"/>
        </w:rPr>
        <w:t>技术任务书要求</w:t>
      </w:r>
      <w:r>
        <w:rPr>
          <w:rFonts w:hint="eastAsia" w:ascii="宋体" w:hAnsi="宋体" w:cs="宋体"/>
          <w:sz w:val="28"/>
          <w:szCs w:val="28"/>
          <w:lang w:eastAsia="zh-CN"/>
        </w:rPr>
        <w:t>，</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需对所提供产品的质量完全负责。</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cs="宋体"/>
          <w:sz w:val="28"/>
          <w:szCs w:val="28"/>
          <w:lang w:val="en-US" w:eastAsia="zh-CN"/>
        </w:rPr>
        <w:t>9</w:t>
      </w:r>
      <w:r>
        <w:rPr>
          <w:rFonts w:hint="eastAsia" w:ascii="宋体" w:hAnsi="宋体" w:eastAsia="宋体" w:cs="宋体"/>
          <w:sz w:val="28"/>
          <w:szCs w:val="28"/>
          <w:lang w:eastAsia="zh-CN"/>
        </w:rPr>
        <w:t xml:space="preserve"> 本技术任务书要求由投标方负责</w:t>
      </w:r>
      <w:r>
        <w:rPr>
          <w:rFonts w:hint="eastAsia" w:ascii="宋体" w:hAnsi="宋体" w:cs="宋体"/>
          <w:sz w:val="28"/>
          <w:szCs w:val="28"/>
          <w:lang w:val="en-US" w:eastAsia="zh-CN"/>
        </w:rPr>
        <w:t>生产</w:t>
      </w:r>
      <w:r>
        <w:rPr>
          <w:rFonts w:hint="eastAsia" w:ascii="宋体" w:hAnsi="宋体" w:eastAsia="宋体" w:cs="宋体"/>
          <w:sz w:val="28"/>
          <w:szCs w:val="28"/>
          <w:lang w:eastAsia="zh-CN"/>
        </w:rPr>
        <w:t>、运输、验收直至最终交付使用。</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本细则规定了</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w:t>
      </w:r>
      <w:r>
        <w:rPr>
          <w:rFonts w:hint="eastAsia" w:ascii="宋体" w:hAnsi="宋体" w:eastAsia="宋体" w:cs="宋体"/>
          <w:sz w:val="28"/>
          <w:szCs w:val="28"/>
          <w:lang w:val="en-US" w:eastAsia="zh-CN"/>
        </w:rPr>
        <w:t>技术指标</w:t>
      </w:r>
      <w:r>
        <w:rPr>
          <w:rFonts w:hint="eastAsia" w:ascii="宋体" w:hAnsi="宋体" w:eastAsia="宋体" w:cs="宋体"/>
          <w:sz w:val="28"/>
          <w:szCs w:val="28"/>
          <w:lang w:eastAsia="zh-CN"/>
        </w:rPr>
        <w:t>、检验方法等要求。适用于田林百矿田田碳素有限公司采购</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的质量检验及质量验证。</w:t>
      </w:r>
    </w:p>
    <w:p>
      <w:pPr>
        <w:ind w:firstLine="562" w:firstLineChars="200"/>
        <w:rPr>
          <w:rFonts w:hint="eastAsia" w:ascii="宋体" w:hAnsi="宋体" w:cs="宋体"/>
          <w:sz w:val="28"/>
          <w:szCs w:val="28"/>
          <w:u w:val="none"/>
          <w:lang w:val="en-US" w:eastAsia="zh-CN"/>
        </w:rPr>
      </w:pPr>
      <w:r>
        <w:rPr>
          <w:rFonts w:hint="eastAsia" w:ascii="宋体" w:hAnsi="宋体" w:cs="宋体"/>
          <w:b/>
          <w:bCs/>
          <w:sz w:val="28"/>
          <w:szCs w:val="28"/>
          <w:u w:val="none"/>
          <w:lang w:val="en-US" w:eastAsia="zh-CN"/>
        </w:rPr>
        <w:t>二、沥青用途与采购</w:t>
      </w:r>
      <w:r>
        <w:rPr>
          <w:rFonts w:hint="eastAsia"/>
          <w:b/>
          <w:bCs/>
          <w:sz w:val="28"/>
          <w:szCs w:val="28"/>
          <w:lang w:val="en-US" w:eastAsia="zh-CN"/>
        </w:rPr>
        <w:t>技术指标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u w:val="none"/>
          <w:lang w:val="en-US" w:eastAsia="zh-CN"/>
        </w:rPr>
      </w:pPr>
      <w:r>
        <w:rPr>
          <w:rFonts w:hint="eastAsia" w:ascii="宋体" w:hAnsi="宋体" w:cs="宋体"/>
          <w:sz w:val="28"/>
          <w:szCs w:val="28"/>
          <w:u w:val="none"/>
          <w:lang w:val="en-US" w:eastAsia="zh-CN"/>
        </w:rPr>
        <w:t>2.1 沥青用途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u w:val="none"/>
          <w:lang w:val="en-US" w:eastAsia="zh-CN"/>
        </w:rPr>
      </w:pPr>
      <w:r>
        <w:rPr>
          <w:rFonts w:hint="eastAsia" w:ascii="宋体" w:hAnsi="宋体" w:cs="宋体"/>
          <w:sz w:val="28"/>
          <w:szCs w:val="28"/>
          <w:u w:val="none"/>
          <w:lang w:val="en-US" w:eastAsia="zh-CN"/>
        </w:rPr>
        <w:t>用于</w:t>
      </w:r>
      <w:r>
        <w:rPr>
          <w:rFonts w:hint="eastAsia" w:ascii="宋体" w:hAnsi="宋体" w:cs="宋体"/>
          <w:color w:val="auto"/>
          <w:sz w:val="28"/>
          <w:szCs w:val="28"/>
          <w:u w:val="none"/>
          <w:lang w:val="en-US" w:eastAsia="zh-CN"/>
        </w:rPr>
        <w:t>阳极生块生产的煅</w:t>
      </w:r>
      <w:r>
        <w:rPr>
          <w:rFonts w:hint="eastAsia" w:ascii="宋体" w:hAnsi="宋体" w:cs="宋体"/>
          <w:sz w:val="28"/>
          <w:szCs w:val="28"/>
          <w:u w:val="none"/>
          <w:lang w:val="en-US" w:eastAsia="zh-CN"/>
        </w:rPr>
        <w:t>后焦料成型过程的粘合剂。</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2</w:t>
      </w:r>
      <w:r>
        <w:rPr>
          <w:rFonts w:hint="eastAsia" w:ascii="宋体" w:hAnsi="宋体" w:cs="宋体"/>
          <w:b w:val="0"/>
          <w:bCs w:val="0"/>
          <w:sz w:val="28"/>
          <w:szCs w:val="28"/>
          <w:lang w:val="en-US" w:eastAsia="zh-CN"/>
        </w:rPr>
        <w:t>.2 液体沥青采购</w:t>
      </w:r>
      <w:r>
        <w:rPr>
          <w:rFonts w:hint="eastAsia"/>
          <w:b w:val="0"/>
          <w:bCs w:val="0"/>
          <w:sz w:val="28"/>
          <w:szCs w:val="28"/>
          <w:lang w:val="en-US" w:eastAsia="zh-CN"/>
        </w:rPr>
        <w:t>技术指标</w:t>
      </w:r>
    </w:p>
    <w:tbl>
      <w:tblPr>
        <w:tblStyle w:val="8"/>
        <w:tblpPr w:leftFromText="180" w:rightFromText="180" w:vertAnchor="text" w:horzAnchor="page" w:tblpXSpec="center" w:tblpY="178"/>
        <w:tblOverlap w:val="never"/>
        <w:tblW w:w="9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1980"/>
        <w:gridCol w:w="5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项目</w:t>
            </w:r>
          </w:p>
        </w:tc>
        <w:tc>
          <w:tcPr>
            <w:tcW w:w="1980" w:type="dxa"/>
            <w:vAlign w:val="center"/>
          </w:tcPr>
          <w:p>
            <w:pPr>
              <w:pStyle w:val="14"/>
              <w:spacing w:before="118"/>
              <w:jc w:val="both"/>
              <w:rPr>
                <w:rFonts w:hint="default" w:cs="宋体"/>
                <w:b/>
                <w:bCs/>
                <w:sz w:val="24"/>
                <w:szCs w:val="24"/>
                <w:lang w:val="en-US" w:eastAsia="zh-CN" w:bidi="ar-SA"/>
              </w:rPr>
            </w:pPr>
            <w:r>
              <w:rPr>
                <w:rFonts w:hint="eastAsia" w:cs="宋体"/>
                <w:b/>
                <w:bCs/>
                <w:sz w:val="24"/>
                <w:szCs w:val="24"/>
                <w:lang w:val="en-US" w:eastAsia="zh-CN" w:bidi="ar-SA"/>
              </w:rPr>
              <w:t>技术指标（一级）</w:t>
            </w:r>
          </w:p>
        </w:tc>
        <w:tc>
          <w:tcPr>
            <w:tcW w:w="5136" w:type="dxa"/>
            <w:vAlign w:val="center"/>
          </w:tcPr>
          <w:p>
            <w:pPr>
              <w:pStyle w:val="14"/>
              <w:spacing w:before="118"/>
              <w:jc w:val="center"/>
              <w:rPr>
                <w:rFonts w:hint="eastAsia" w:cs="宋体"/>
                <w:b/>
                <w:bCs/>
                <w:sz w:val="24"/>
                <w:szCs w:val="24"/>
                <w:lang w:val="en-US" w:eastAsia="zh-CN" w:bidi="ar-SA"/>
              </w:rPr>
            </w:pPr>
            <w:r>
              <w:rPr>
                <w:rFonts w:hint="eastAsia" w:cs="宋体"/>
                <w:kern w:val="2"/>
                <w:sz w:val="28"/>
                <w:szCs w:val="28"/>
                <w:lang w:val="en-US" w:eastAsia="zh-CN" w:bidi="ar-SA"/>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软化点</w:t>
            </w:r>
            <w:r>
              <w:rPr>
                <w:rFonts w:hint="eastAsia" w:cs="宋体"/>
                <w:b/>
                <w:bCs/>
                <w:sz w:val="24"/>
                <w:szCs w:val="24"/>
                <w:lang w:val="en-US" w:eastAsia="zh-CN"/>
              </w:rPr>
              <w:t>（环球法）</w:t>
            </w:r>
            <w:r>
              <w:rPr>
                <w:rFonts w:hint="eastAsia" w:ascii="宋体" w:hAnsi="宋体" w:eastAsia="宋体" w:cs="宋体"/>
                <w:b/>
                <w:bCs/>
                <w:sz w:val="24"/>
                <w:szCs w:val="24"/>
                <w:lang w:val="en-US"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105～112</w:t>
            </w:r>
          </w:p>
        </w:tc>
        <w:tc>
          <w:tcPr>
            <w:tcW w:w="5136" w:type="dxa"/>
            <w:vAlign w:val="center"/>
          </w:tcPr>
          <w:p>
            <w:pPr>
              <w:pStyle w:val="14"/>
              <w:spacing w:before="118"/>
              <w:jc w:val="both"/>
              <w:rPr>
                <w:rFonts w:hint="default" w:cs="宋体"/>
                <w:b/>
                <w:bCs/>
                <w:sz w:val="24"/>
                <w:szCs w:val="24"/>
                <w:lang w:val="en-US" w:eastAsia="zh-CN" w:bidi="ar-SA"/>
              </w:rPr>
            </w:pPr>
            <w:r>
              <w:rPr>
                <w:rFonts w:hint="eastAsia" w:ascii="宋体" w:hAnsi="宋体" w:eastAsia="宋体" w:cs="Times New Roman"/>
                <w:b w:val="0"/>
                <w:bCs w:val="0"/>
                <w:kern w:val="10"/>
                <w:sz w:val="24"/>
                <w:highlight w:val="none"/>
                <w:lang w:val="en-US" w:eastAsia="zh-CN"/>
              </w:rPr>
              <w:t>软化点的测定按GB/T 2294规定进行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甲苯不溶物含量</w:t>
            </w:r>
            <w:r>
              <w:rPr>
                <w:rFonts w:hint="eastAsia" w:cs="宋体"/>
                <w:b/>
                <w:bCs/>
                <w:sz w:val="24"/>
                <w:szCs w:val="24"/>
                <w:lang w:val="en-US" w:eastAsia="zh-CN"/>
              </w:rPr>
              <w:t>（抽提法）/%（质量分数）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26～32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甲苯不溶物含量的测定按GB/T 2292规定进行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喹啉不溶物</w:t>
            </w:r>
            <w:r>
              <w:rPr>
                <w:rFonts w:hint="eastAsia" w:cs="宋体"/>
                <w:b/>
                <w:bCs/>
                <w:sz w:val="24"/>
                <w:szCs w:val="24"/>
                <w:lang w:val="en-US" w:eastAsia="zh-CN"/>
              </w:rPr>
              <w:t>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6～12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喹啉不溶物含量的测定按GB/T 2293规定进行。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β</w:t>
            </w:r>
            <w:r>
              <w:rPr>
                <w:rFonts w:hint="eastAsia" w:cs="宋体"/>
                <w:b/>
                <w:bCs/>
                <w:sz w:val="24"/>
                <w:szCs w:val="24"/>
                <w:lang w:val="en-US" w:eastAsia="zh-CN"/>
              </w:rPr>
              <w:t>-树脂含量/%（质量分数）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8"/>
                <w:sz w:val="21"/>
                <w:szCs w:val="21"/>
              </w:rPr>
              <w:t>18</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β树脂含量由甲苯不溶物含量和喹啉不溶物含量差值计算而得。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结焦值/%（质量分数）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4"/>
                <w:sz w:val="21"/>
                <w:szCs w:val="21"/>
              </w:rPr>
              <w:t>56</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结焦值的测定按GB/T 8727规定进行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灰分/%（质量分数）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0.30</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灰分的测定按GB/T 2295规定进行。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cs="宋体"/>
                <w:b/>
                <w:bCs/>
                <w:sz w:val="24"/>
                <w:szCs w:val="24"/>
                <w:lang w:val="en-US" w:eastAsia="zh-CN"/>
              </w:rPr>
            </w:pPr>
            <w:r>
              <w:rPr>
                <w:rFonts w:hint="eastAsia" w:cs="宋体"/>
                <w:b/>
                <w:bCs/>
                <w:sz w:val="24"/>
                <w:szCs w:val="24"/>
                <w:lang w:val="en-US" w:eastAsia="zh-CN"/>
              </w:rPr>
              <w:t>水分/%（质量分数）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hint="eastAsia" w:ascii="宋体" w:hAnsi="宋体" w:eastAsia="宋体" w:cs="宋体"/>
                <w:spacing w:val="-2"/>
                <w:sz w:val="21"/>
                <w:szCs w:val="21"/>
                <w:lang w:val="en-US" w:eastAsia="zh-CN"/>
              </w:rPr>
              <w:t>0.2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水分的测定按GB/T 2288规定进行。</w:t>
            </w:r>
          </w:p>
        </w:tc>
      </w:tr>
    </w:tbl>
    <w:p>
      <w:pPr>
        <w:pStyle w:val="13"/>
        <w:rPr>
          <w:rFonts w:hint="eastAsia"/>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560" w:firstLineChars="200"/>
        <w:jc w:val="left"/>
        <w:rPr>
          <w:rFonts w:hint="eastAsia" w:ascii="宋体" w:hAnsi="宋体" w:eastAsia="宋体" w:cs="宋体"/>
          <w:kern w:val="2"/>
          <w:sz w:val="28"/>
          <w:szCs w:val="28"/>
          <w:lang w:val="en-US" w:eastAsia="zh-CN" w:bidi="ar-SA"/>
        </w:rPr>
      </w:pPr>
      <w:r>
        <w:rPr>
          <w:rFonts w:hint="eastAsia" w:cs="宋体"/>
          <w:kern w:val="2"/>
          <w:sz w:val="28"/>
          <w:szCs w:val="28"/>
          <w:lang w:val="en-US" w:eastAsia="zh-CN" w:bidi="ar-SA"/>
        </w:rPr>
        <w:t>执行标准：液体</w:t>
      </w:r>
      <w:r>
        <w:rPr>
          <w:rFonts w:hint="eastAsia" w:ascii="宋体" w:hAnsi="宋体" w:eastAsia="宋体" w:cs="宋体"/>
          <w:kern w:val="2"/>
          <w:sz w:val="28"/>
          <w:szCs w:val="28"/>
          <w:lang w:val="en-US" w:eastAsia="zh-CN" w:bidi="ar-SA"/>
        </w:rPr>
        <w:t>改质沥青标准（YB/T51</w:t>
      </w:r>
      <w:r>
        <w:rPr>
          <w:rFonts w:hint="eastAsia" w:cs="宋体"/>
          <w:kern w:val="2"/>
          <w:sz w:val="28"/>
          <w:szCs w:val="28"/>
          <w:lang w:val="en-US" w:eastAsia="zh-CN" w:bidi="ar-SA"/>
        </w:rPr>
        <w:t>94</w:t>
      </w:r>
      <w:r>
        <w:rPr>
          <w:rFonts w:hint="eastAsia" w:ascii="宋体" w:hAnsi="宋体" w:eastAsia="宋体" w:cs="宋体"/>
          <w:kern w:val="2"/>
          <w:sz w:val="28"/>
          <w:szCs w:val="28"/>
          <w:lang w:val="en-US" w:eastAsia="zh-CN" w:bidi="ar-SA"/>
        </w:rPr>
        <w:t>—20</w:t>
      </w:r>
      <w:r>
        <w:rPr>
          <w:rFonts w:hint="eastAsia" w:cs="宋体"/>
          <w:kern w:val="2"/>
          <w:sz w:val="28"/>
          <w:szCs w:val="28"/>
          <w:lang w:val="en-US" w:eastAsia="zh-CN" w:bidi="ar-SA"/>
        </w:rPr>
        <w:t>15</w:t>
      </w:r>
      <w:r>
        <w:rPr>
          <w:rFonts w:hint="eastAsia" w:ascii="宋体" w:hAnsi="宋体" w:eastAsia="宋体" w:cs="宋体"/>
          <w:kern w:val="2"/>
          <w:sz w:val="28"/>
          <w:szCs w:val="28"/>
          <w:lang w:val="en-US" w:eastAsia="zh-CN" w:bidi="ar-SA"/>
        </w:rPr>
        <w:t>)</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w:t>
      </w:r>
      <w:r>
        <w:rPr>
          <w:rFonts w:hint="eastAsia" w:ascii="宋体" w:hAnsi="宋体" w:cs="宋体"/>
          <w:b/>
          <w:bCs/>
          <w:sz w:val="28"/>
          <w:szCs w:val="28"/>
          <w:lang w:val="en-US" w:eastAsia="zh-CN"/>
        </w:rPr>
        <w:t>沥青</w:t>
      </w:r>
      <w:r>
        <w:rPr>
          <w:rFonts w:hint="eastAsia" w:ascii="宋体" w:hAnsi="宋体" w:eastAsia="宋体" w:cs="宋体"/>
          <w:b/>
          <w:bCs/>
          <w:sz w:val="28"/>
          <w:szCs w:val="28"/>
          <w:lang w:eastAsia="zh-CN"/>
        </w:rPr>
        <w:t>采购量</w:t>
      </w:r>
      <w:r>
        <w:rPr>
          <w:rFonts w:hint="eastAsia" w:ascii="宋体" w:hAnsi="宋体" w:eastAsia="宋体" w:cs="宋体"/>
          <w:b/>
          <w:bCs/>
          <w:sz w:val="28"/>
          <w:szCs w:val="28"/>
        </w:rPr>
        <w:t>及理化性能质量细则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.1 </w:t>
      </w:r>
      <w:r>
        <w:rPr>
          <w:rFonts w:hint="eastAsia" w:ascii="宋体" w:hAnsi="宋体" w:cs="宋体"/>
          <w:sz w:val="28"/>
          <w:szCs w:val="28"/>
          <w:lang w:val="en-US" w:eastAsia="zh-CN"/>
        </w:rPr>
        <w:t>沥青</w:t>
      </w:r>
      <w:r>
        <w:rPr>
          <w:rFonts w:hint="eastAsia" w:ascii="宋体" w:hAnsi="宋体" w:eastAsia="宋体" w:cs="宋体"/>
          <w:sz w:val="28"/>
          <w:szCs w:val="28"/>
          <w:lang w:eastAsia="zh-CN"/>
        </w:rPr>
        <w:t>采购</w:t>
      </w:r>
      <w:r>
        <w:rPr>
          <w:rFonts w:hint="eastAsia" w:ascii="宋体" w:hAnsi="宋体" w:eastAsia="宋体" w:cs="宋体"/>
          <w:sz w:val="28"/>
          <w:szCs w:val="28"/>
        </w:rPr>
        <w:t>量</w:t>
      </w:r>
      <w:r>
        <w:rPr>
          <w:rFonts w:hint="eastAsia" w:ascii="宋体" w:hAnsi="宋体" w:eastAsia="宋体" w:cs="宋体"/>
          <w:sz w:val="28"/>
          <w:szCs w:val="28"/>
          <w:lang w:eastAsia="zh-CN"/>
        </w:rPr>
        <w:t>：</w:t>
      </w:r>
      <w:r>
        <w:rPr>
          <w:rFonts w:hint="eastAsia" w:ascii="宋体" w:hAnsi="宋体" w:cs="宋体"/>
          <w:sz w:val="28"/>
          <w:szCs w:val="28"/>
          <w:lang w:val="en-US" w:eastAsia="zh-CN"/>
        </w:rPr>
        <w:t>5000</w:t>
      </w:r>
      <w:r>
        <w:rPr>
          <w:rFonts w:hint="eastAsia" w:ascii="宋体" w:hAnsi="宋体" w:eastAsia="宋体" w:cs="宋体"/>
          <w:sz w:val="28"/>
          <w:szCs w:val="28"/>
        </w:rPr>
        <w:t>吨</w:t>
      </w:r>
      <w:r>
        <w:rPr>
          <w:rFonts w:hint="eastAsia" w:ascii="宋体" w:hAnsi="宋体" w:cs="宋体"/>
          <w:sz w:val="28"/>
          <w:szCs w:val="28"/>
          <w:lang w:eastAsia="zh-CN"/>
        </w:rPr>
        <w:t>，</w:t>
      </w:r>
      <w:r>
        <w:rPr>
          <w:rFonts w:hint="eastAsia" w:ascii="宋体" w:hAnsi="宋体" w:cs="宋体"/>
          <w:sz w:val="28"/>
          <w:szCs w:val="28"/>
          <w:lang w:val="en-US" w:eastAsia="zh-CN"/>
        </w:rPr>
        <w:t>详见附表《改质沥青供货计划表》。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 xml:space="preserve">.2 </w:t>
      </w:r>
      <w:r>
        <w:rPr>
          <w:rFonts w:hint="eastAsia" w:ascii="宋体" w:hAnsi="宋体" w:cs="宋体"/>
          <w:sz w:val="28"/>
          <w:szCs w:val="28"/>
          <w:lang w:val="en-US" w:eastAsia="zh-CN"/>
        </w:rPr>
        <w:t>沥青</w:t>
      </w:r>
      <w:r>
        <w:rPr>
          <w:rFonts w:hint="eastAsia" w:ascii="宋体" w:hAnsi="宋体" w:eastAsia="宋体" w:cs="宋体"/>
          <w:sz w:val="28"/>
          <w:szCs w:val="28"/>
        </w:rPr>
        <w:t>理化</w:t>
      </w:r>
      <w:r>
        <w:rPr>
          <w:rFonts w:hint="eastAsia" w:ascii="宋体" w:hAnsi="宋体" w:cs="宋体"/>
          <w:sz w:val="28"/>
          <w:szCs w:val="28"/>
          <w:lang w:val="en-US" w:eastAsia="zh-CN"/>
        </w:rPr>
        <w:t>指标</w:t>
      </w:r>
      <w:r>
        <w:rPr>
          <w:rFonts w:hint="eastAsia" w:ascii="宋体" w:hAnsi="宋体" w:eastAsia="宋体" w:cs="宋体"/>
          <w:sz w:val="28"/>
          <w:szCs w:val="28"/>
        </w:rPr>
        <w:t>质量细则</w:t>
      </w:r>
    </w:p>
    <w:tbl>
      <w:tblPr>
        <w:tblStyle w:val="9"/>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581" w:type="dxa"/>
            <w:gridSpan w:val="7"/>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pPr>
              <w:keepNext w:val="0"/>
              <w:keepLines w:val="0"/>
              <w:widowControl/>
              <w:suppressLineNumbers w:val="0"/>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85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pPr>
              <w:keepNext w:val="0"/>
              <w:keepLines w:val="0"/>
              <w:widowControl/>
              <w:suppressLineNumbers w:val="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top"/>
          </w:tcPr>
          <w:p>
            <w:pPr>
              <w:spacing w:before="206" w:line="222" w:lineRule="auto"/>
              <w:jc w:val="both"/>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pPr>
              <w:keepNext w:val="0"/>
              <w:keepLines w:val="0"/>
              <w:widowControl/>
              <w:suppressLineNumbers w:val="0"/>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pPr>
              <w:keepNext w:val="0"/>
              <w:keepLines w:val="0"/>
              <w:widowControl/>
              <w:suppressLineNumbers w:val="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pPr>
              <w:spacing w:before="206" w:line="220" w:lineRule="auto"/>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pPr>
              <w:keepNext w:val="0"/>
              <w:keepLines w:val="0"/>
              <w:widowControl/>
              <w:suppressLineNumbers w:val="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pPr>
              <w:keepNext w:val="0"/>
              <w:keepLines w:val="0"/>
              <w:widowControl/>
              <w:suppressLineNumbers w:val="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pPr>
              <w:spacing w:before="206" w:line="221" w:lineRule="auto"/>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pPr>
              <w:keepNext w:val="0"/>
              <w:keepLines w:val="0"/>
              <w:widowControl/>
              <w:suppressLineNumbers w:val="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pPr>
              <w:keepNext w:val="0"/>
              <w:keepLines w:val="0"/>
              <w:widowControl/>
              <w:suppressLineNumbers w:val="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pPr>
              <w:spacing w:before="207" w:line="223" w:lineRule="auto"/>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pPr>
              <w:keepNext w:val="0"/>
              <w:keepLines w:val="0"/>
              <w:widowControl/>
              <w:suppressLineNumbers w:val="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pPr>
              <w:keepNext w:val="0"/>
              <w:keepLines w:val="0"/>
              <w:widowControl/>
              <w:suppressLineNumbers w:val="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top"/>
          </w:tcPr>
          <w:p>
            <w:pPr>
              <w:spacing w:before="198" w:line="223" w:lineRule="auto"/>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pPr>
              <w:keepNext w:val="0"/>
              <w:keepLines w:val="0"/>
              <w:widowControl/>
              <w:suppressLineNumbers w:val="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pPr>
              <w:keepNext w:val="0"/>
              <w:keepLines w:val="0"/>
              <w:widowControl/>
              <w:suppressLineNumbers w:val="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top"/>
          </w:tcPr>
          <w:p>
            <w:pPr>
              <w:spacing w:before="206" w:line="222" w:lineRule="auto"/>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每增加0.01，每吨扣单价的0.3%</w:t>
            </w:r>
          </w:p>
        </w:tc>
        <w:tc>
          <w:tcPr>
            <w:tcW w:w="85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top"/>
          </w:tcPr>
          <w:p>
            <w:pPr>
              <w:spacing w:before="198" w:line="228" w:lineRule="auto"/>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pPr>
              <w:keepNext w:val="0"/>
              <w:keepLines w:val="0"/>
              <w:widowControl/>
              <w:suppressLineNumbers w:val="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pPr>
              <w:keepNext w:val="0"/>
              <w:keepLines w:val="0"/>
              <w:widowControl/>
              <w:suppressLineNumbers w:val="0"/>
              <w:tabs>
                <w:tab w:val="center" w:pos="2264"/>
              </w:tabs>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每超0.1，扣单价的0.1%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pPr>
              <w:spacing w:before="198" w:line="228" w:lineRule="auto"/>
              <w:ind w:left="210" w:leftChars="100"/>
              <w:rPr>
                <w:rFonts w:ascii="宋体" w:hAnsi="宋体" w:eastAsia="宋体" w:cs="宋体"/>
                <w:color w:val="auto"/>
                <w:spacing w:val="8"/>
                <w:sz w:val="21"/>
                <w:szCs w:val="21"/>
                <w:highlight w:val="none"/>
              </w:rPr>
            </w:pPr>
          </w:p>
        </w:tc>
        <w:tc>
          <w:tcPr>
            <w:tcW w:w="1215" w:type="dxa"/>
            <w:vAlign w:val="center"/>
          </w:tcPr>
          <w:p>
            <w:pPr>
              <w:pStyle w:val="11"/>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pPr>
              <w:keepNext w:val="0"/>
              <w:keepLines w:val="0"/>
              <w:widowControl/>
              <w:suppressLineNumbers w:val="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4.0＞X≤5.0</w:t>
            </w:r>
          </w:p>
        </w:tc>
        <w:tc>
          <w:tcPr>
            <w:tcW w:w="1610"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每超1，扣单价的1%</w:t>
            </w:r>
          </w:p>
        </w:tc>
        <w:tc>
          <w:tcPr>
            <w:tcW w:w="855" w:type="dxa"/>
            <w:vAlign w:val="center"/>
          </w:tcPr>
          <w:p>
            <w:pPr>
              <w:keepNext w:val="0"/>
              <w:keepLines w:val="0"/>
              <w:widowControl/>
              <w:suppressLineNumbers w:val="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每超1，扣单价的3%</w:t>
            </w:r>
          </w:p>
        </w:tc>
      </w:tr>
    </w:tbl>
    <w:p>
      <w:pPr>
        <w:pStyle w:val="15"/>
        <w:pageBreakBefore w:val="0"/>
        <w:widowControl w:val="0"/>
        <w:tabs>
          <w:tab w:val="left" w:pos="900"/>
        </w:tabs>
        <w:kinsoku/>
        <w:wordWrap/>
        <w:overflowPunct/>
        <w:topLinePunct w:val="0"/>
        <w:bidi w:val="0"/>
        <w:snapToGrid w:val="0"/>
        <w:spacing w:line="460" w:lineRule="exact"/>
        <w:ind w:left="0" w:leftChars="0" w:firstLine="562" w:firstLineChars="200"/>
        <w:textAlignment w:val="auto"/>
        <w:rPr>
          <w:rFonts w:hint="eastAsia" w:ascii="宋体" w:hAnsi="宋体" w:eastAsia="宋体" w:cs="宋体"/>
          <w:sz w:val="28"/>
          <w:szCs w:val="28"/>
          <w:lang w:val="en-US" w:eastAsia="zh-CN"/>
        </w:rPr>
      </w:pPr>
      <w:r>
        <w:rPr>
          <w:rFonts w:hint="eastAsia"/>
          <w:b/>
          <w:bCs/>
          <w:sz w:val="28"/>
          <w:szCs w:val="28"/>
          <w:lang w:val="en-US" w:eastAsia="zh-CN"/>
        </w:rPr>
        <w:t>四、</w:t>
      </w:r>
      <w:r>
        <w:rPr>
          <w:rFonts w:hint="eastAsia"/>
          <w:b/>
          <w:bCs/>
          <w:sz w:val="28"/>
          <w:szCs w:val="28"/>
        </w:rPr>
        <w:t>供货</w:t>
      </w:r>
      <w:r>
        <w:rPr>
          <w:rFonts w:hint="eastAsia"/>
          <w:b/>
          <w:bCs/>
          <w:sz w:val="28"/>
          <w:szCs w:val="28"/>
          <w:lang w:eastAsia="zh-CN"/>
        </w:rPr>
        <w:t>技术</w:t>
      </w:r>
      <w:r>
        <w:rPr>
          <w:rFonts w:hint="eastAsia"/>
          <w:b/>
          <w:bCs/>
          <w:sz w:val="28"/>
          <w:szCs w:val="28"/>
        </w:rPr>
        <w:t>条件要求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 本技术任务书是必须保证田林百矿田田碳素有限公司</w:t>
      </w:r>
      <w:r>
        <w:rPr>
          <w:rFonts w:hint="eastAsia" w:cs="宋体"/>
          <w:sz w:val="28"/>
          <w:szCs w:val="28"/>
          <w:lang w:val="en-US" w:eastAsia="zh-CN"/>
        </w:rPr>
        <w:t>沥青</w:t>
      </w:r>
      <w:r>
        <w:rPr>
          <w:rFonts w:hint="eastAsia" w:ascii="宋体" w:hAnsi="宋体" w:eastAsia="宋体" w:cs="宋体"/>
          <w:sz w:val="28"/>
          <w:szCs w:val="28"/>
          <w:lang w:val="en-US" w:eastAsia="zh-CN"/>
        </w:rPr>
        <w:t xml:space="preserve">能正常投入运行的最低技术要求。 </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4.2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提供的</w:t>
      </w:r>
      <w:r>
        <w:rPr>
          <w:rFonts w:hint="eastAsia" w:cs="宋体"/>
          <w:sz w:val="28"/>
          <w:szCs w:val="28"/>
          <w:lang w:val="en-US" w:eastAsia="zh-CN"/>
        </w:rPr>
        <w:t>沥青</w:t>
      </w:r>
      <w:r>
        <w:rPr>
          <w:rFonts w:hint="eastAsia" w:ascii="宋体" w:hAnsi="宋体" w:eastAsia="宋体" w:cs="宋体"/>
          <w:sz w:val="28"/>
          <w:szCs w:val="28"/>
          <w:lang w:val="en-US" w:eastAsia="zh-CN"/>
        </w:rPr>
        <w:t>必须符合本技术任务书要求，所有材料必须在室内保存，要求有</w:t>
      </w:r>
      <w:r>
        <w:rPr>
          <w:rFonts w:hint="eastAsia" w:ascii="宋体" w:hAnsi="宋体" w:eastAsia="宋体" w:cs="宋体"/>
          <w:sz w:val="28"/>
          <w:szCs w:val="28"/>
        </w:rPr>
        <w:t>防潮、防</w:t>
      </w:r>
      <w:r>
        <w:rPr>
          <w:rFonts w:hint="eastAsia" w:ascii="宋体" w:hAnsi="宋体" w:cs="宋体"/>
          <w:sz w:val="28"/>
          <w:szCs w:val="28"/>
          <w:lang w:val="en-US" w:eastAsia="zh-CN"/>
        </w:rPr>
        <w:t>散落</w:t>
      </w:r>
      <w:r>
        <w:rPr>
          <w:rFonts w:hint="eastAsia" w:ascii="宋体" w:hAnsi="宋体" w:eastAsia="宋体" w:cs="宋体"/>
          <w:sz w:val="28"/>
          <w:szCs w:val="28"/>
          <w:lang w:val="en-US" w:eastAsia="zh-CN"/>
        </w:rPr>
        <w:t>等保护措施。</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 xml:space="preserve">4.3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所提供的</w:t>
      </w:r>
      <w:r>
        <w:rPr>
          <w:rFonts w:hint="eastAsia" w:cs="宋体"/>
          <w:sz w:val="28"/>
          <w:szCs w:val="28"/>
          <w:lang w:val="en-US" w:eastAsia="zh-CN"/>
        </w:rPr>
        <w:t>沥青</w:t>
      </w:r>
      <w:r>
        <w:rPr>
          <w:rFonts w:hint="eastAsia" w:ascii="宋体" w:hAnsi="宋体" w:eastAsia="宋体" w:cs="宋体"/>
          <w:sz w:val="28"/>
          <w:szCs w:val="28"/>
          <w:lang w:val="en-US" w:eastAsia="zh-CN"/>
        </w:rPr>
        <w:t>的质量必须满足或优于本技术任务书规定理化指标的要求。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trike/>
          <w:dstrike w:val="0"/>
          <w:color w:val="auto"/>
          <w:sz w:val="28"/>
          <w:szCs w:val="28"/>
          <w:lang w:val="en-US" w:eastAsia="zh-CN"/>
        </w:rPr>
      </w:pPr>
      <w:r>
        <w:rPr>
          <w:rFonts w:hint="eastAsia" w:ascii="宋体" w:hAnsi="宋体" w:eastAsia="宋体" w:cs="宋体"/>
          <w:color w:val="auto"/>
          <w:sz w:val="28"/>
          <w:szCs w:val="28"/>
          <w:lang w:val="en-US" w:eastAsia="zh-CN"/>
        </w:rPr>
        <w:t>4.</w:t>
      </w:r>
      <w:r>
        <w:rPr>
          <w:rFonts w:hint="eastAsia" w:cs="宋体"/>
          <w:color w:val="auto"/>
          <w:sz w:val="28"/>
          <w:szCs w:val="28"/>
          <w:lang w:val="en-US" w:eastAsia="zh-CN"/>
        </w:rPr>
        <w:t>4</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lang w:val="en-US" w:eastAsia="zh-CN"/>
        </w:rPr>
        <w:t>应取得ISO9001质量管理体系认证产品生产许可证</w:t>
      </w:r>
      <w:r>
        <w:rPr>
          <w:rFonts w:hint="eastAsia" w:cs="宋体"/>
          <w:color w:val="auto"/>
          <w:sz w:val="28"/>
          <w:szCs w:val="28"/>
          <w:lang w:val="en-US" w:eastAsia="zh-CN"/>
        </w:rPr>
        <w:t>或沥青销售资质的营业执照</w:t>
      </w:r>
      <w:bookmarkStart w:id="0" w:name="_Toc12141"/>
      <w:bookmarkStart w:id="1" w:name="_Toc5922_WPSOffice_Level1"/>
      <w:bookmarkStart w:id="2" w:name="_Toc25026_WPSOffice_Level1"/>
      <w:bookmarkStart w:id="3" w:name="_Toc28525"/>
      <w:r>
        <w:rPr>
          <w:rFonts w:hint="eastAsia" w:cs="宋体"/>
          <w:color w:val="auto"/>
          <w:sz w:val="28"/>
          <w:szCs w:val="28"/>
          <w:lang w:val="en-US" w:eastAsia="zh-CN"/>
        </w:rPr>
        <w:t>。</w:t>
      </w:r>
    </w:p>
    <w:p>
      <w:pPr>
        <w:pStyle w:val="15"/>
        <w:pageBreakBefore w:val="0"/>
        <w:widowControl w:val="0"/>
        <w:tabs>
          <w:tab w:val="left" w:pos="900"/>
        </w:tabs>
        <w:kinsoku/>
        <w:wordWrap/>
        <w:overflowPunct/>
        <w:topLinePunct w:val="0"/>
        <w:bidi w:val="0"/>
        <w:snapToGrid w:val="0"/>
        <w:spacing w:line="460" w:lineRule="exact"/>
        <w:ind w:left="0" w:leftChars="0" w:firstLine="643" w:firstLineChars="200"/>
        <w:textAlignment w:val="auto"/>
        <w:rPr>
          <w:rFonts w:hint="eastAsia"/>
          <w:b/>
          <w:bCs/>
          <w:sz w:val="32"/>
          <w:szCs w:val="32"/>
        </w:rPr>
      </w:pPr>
      <w:r>
        <w:rPr>
          <w:rFonts w:hint="eastAsia"/>
          <w:b/>
          <w:bCs/>
          <w:sz w:val="32"/>
          <w:szCs w:val="32"/>
          <w:lang w:val="en-US" w:eastAsia="zh-CN"/>
        </w:rPr>
        <w:t>五</w:t>
      </w:r>
      <w:r>
        <w:rPr>
          <w:rFonts w:hint="eastAsia"/>
          <w:sz w:val="32"/>
          <w:szCs w:val="32"/>
        </w:rPr>
        <w:t>、</w:t>
      </w:r>
      <w:r>
        <w:rPr>
          <w:rFonts w:hint="eastAsia"/>
          <w:b/>
          <w:bCs/>
          <w:sz w:val="32"/>
          <w:szCs w:val="32"/>
        </w:rPr>
        <w:t>执行标准与规范</w:t>
      </w:r>
      <w:bookmarkEnd w:id="0"/>
      <w:bookmarkEnd w:id="1"/>
      <w:bookmarkEnd w:id="2"/>
      <w:bookmarkEnd w:id="3"/>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产品</w:t>
      </w:r>
      <w:r>
        <w:rPr>
          <w:rFonts w:hint="eastAsia" w:ascii="宋体" w:hAnsi="宋体" w:eastAsia="宋体" w:cs="宋体"/>
          <w:sz w:val="28"/>
          <w:szCs w:val="28"/>
          <w:lang w:val="en-US" w:eastAsia="zh-CN"/>
        </w:rPr>
        <w:t>生产</w:t>
      </w:r>
      <w:r>
        <w:rPr>
          <w:rFonts w:hint="eastAsia" w:ascii="宋体" w:hAnsi="宋体" w:eastAsia="宋体" w:cs="宋体"/>
          <w:sz w:val="28"/>
          <w:szCs w:val="28"/>
        </w:rPr>
        <w:t>及验收应遵循国家现行的最新相应标准、规范，并满足国家有关标准、法律、法规。</w:t>
      </w:r>
      <w:bookmarkStart w:id="4" w:name="_Toc16881"/>
      <w:bookmarkStart w:id="5" w:name="_Toc12697_WPSOffice_Level1"/>
      <w:bookmarkStart w:id="6" w:name="_Toc29881"/>
      <w:bookmarkStart w:id="7" w:name="_Toc31179_WPSOffice_Level1"/>
    </w:p>
    <w:p>
      <w:pPr>
        <w:pageBreakBefore w:val="0"/>
        <w:widowControl w:val="0"/>
        <w:tabs>
          <w:tab w:val="left" w:pos="4500"/>
        </w:tabs>
        <w:kinsoku/>
        <w:wordWrap/>
        <w:overflowPunct/>
        <w:topLinePunct w:val="0"/>
        <w:bidi w:val="0"/>
        <w:adjustRightInd w:val="0"/>
        <w:snapToGrid w:val="0"/>
        <w:spacing w:line="460" w:lineRule="exact"/>
        <w:ind w:firstLine="643" w:firstLineChars="200"/>
        <w:textAlignment w:val="auto"/>
        <w:rPr>
          <w:rFonts w:hint="eastAsia" w:ascii="宋体" w:hAnsi="宋体" w:eastAsia="宋体" w:cs="宋体"/>
          <w:sz w:val="28"/>
          <w:szCs w:val="28"/>
          <w:lang w:val="en-US" w:eastAsia="zh-CN"/>
        </w:rPr>
      </w:pPr>
      <w:r>
        <w:rPr>
          <w:rFonts w:hint="eastAsia"/>
          <w:b/>
          <w:bCs/>
          <w:sz w:val="32"/>
          <w:szCs w:val="32"/>
          <w:lang w:val="en-US" w:eastAsia="zh-CN"/>
        </w:rPr>
        <w:t>六</w:t>
      </w:r>
      <w:r>
        <w:rPr>
          <w:rFonts w:hint="eastAsia"/>
          <w:sz w:val="32"/>
          <w:szCs w:val="32"/>
        </w:rPr>
        <w:t>、</w:t>
      </w:r>
      <w:r>
        <w:rPr>
          <w:rFonts w:hint="eastAsia"/>
          <w:b/>
          <w:bCs/>
          <w:sz w:val="32"/>
          <w:szCs w:val="32"/>
        </w:rPr>
        <w:t>运输、及验收</w:t>
      </w:r>
      <w:bookmarkEnd w:id="4"/>
      <w:bookmarkEnd w:id="5"/>
      <w:bookmarkEnd w:id="6"/>
      <w:bookmarkEnd w:id="7"/>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1沥青须装入洁净、干燥的</w:t>
      </w:r>
      <w:r>
        <w:rPr>
          <w:rFonts w:hint="eastAsia" w:ascii="宋体" w:hAnsi="宋体" w:cs="宋体"/>
          <w:color w:val="auto"/>
          <w:sz w:val="28"/>
          <w:szCs w:val="28"/>
          <w:lang w:val="en-US" w:eastAsia="zh-CN"/>
        </w:rPr>
        <w:t>槽罐</w:t>
      </w:r>
      <w:r>
        <w:rPr>
          <w:rFonts w:hint="eastAsia" w:ascii="宋体" w:hAnsi="宋体" w:cs="宋体"/>
          <w:sz w:val="28"/>
          <w:szCs w:val="28"/>
          <w:lang w:val="en-US" w:eastAsia="zh-CN"/>
        </w:rPr>
        <w:t>车进行运输，封铅发货</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发</w:t>
      </w:r>
      <w:r>
        <w:rPr>
          <w:rFonts w:hint="eastAsia" w:ascii="宋体" w:hAnsi="宋体" w:eastAsia="宋体" w:cs="宋体"/>
          <w:color w:val="auto"/>
          <w:sz w:val="28"/>
          <w:szCs w:val="28"/>
        </w:rPr>
        <w:t>货前</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个自然日以传真或电传通知</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合同号、</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名称、数量、</w:t>
      </w:r>
      <w:r>
        <w:rPr>
          <w:rFonts w:hint="eastAsia" w:ascii="宋体" w:hAnsi="宋体" w:eastAsia="宋体" w:cs="宋体"/>
          <w:color w:val="auto"/>
          <w:sz w:val="28"/>
          <w:szCs w:val="28"/>
          <w:lang w:val="en-US" w:eastAsia="zh-CN"/>
        </w:rPr>
        <w:t>车辆</w:t>
      </w:r>
      <w:r>
        <w:rPr>
          <w:rFonts w:hint="eastAsia" w:ascii="宋体" w:hAnsi="宋体" w:eastAsia="宋体" w:cs="宋体"/>
          <w:color w:val="auto"/>
          <w:sz w:val="28"/>
          <w:szCs w:val="28"/>
        </w:rPr>
        <w:t>和备妥待运日期。</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在货物装货后发运前24小时内以传真或电传通知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合同号、货物名称、数量、发票金额、运输工具名称及启运日期</w:t>
      </w:r>
      <w:r>
        <w:rPr>
          <w:rFonts w:hint="eastAsia" w:ascii="宋体" w:hAnsi="宋体" w:cs="宋体"/>
          <w:color w:val="auto"/>
          <w:sz w:val="28"/>
          <w:szCs w:val="28"/>
          <w:lang w:eastAsia="zh-CN"/>
        </w:rPr>
        <w:t>。每批出厂的产品都应附有质量证明书。证明书内容包括：供方名称、产品名称、产品执行标准号、产品批号、产品等级、净重、发货日期和本标准规定的各项检验结果</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本</w:t>
      </w:r>
      <w:r>
        <w:rPr>
          <w:rFonts w:hint="eastAsia" w:ascii="宋体" w:hAnsi="宋体" w:eastAsia="宋体" w:cs="宋体"/>
          <w:sz w:val="28"/>
          <w:szCs w:val="28"/>
          <w:lang w:eastAsia="zh-CN"/>
        </w:rPr>
        <w:t>技术任务书</w:t>
      </w:r>
      <w:r>
        <w:rPr>
          <w:rFonts w:hint="eastAsia" w:ascii="宋体" w:hAnsi="宋体" w:eastAsia="宋体" w:cs="宋体"/>
          <w:sz w:val="28"/>
          <w:szCs w:val="28"/>
        </w:rPr>
        <w:t>涉及产品如因</w:t>
      </w:r>
      <w:r>
        <w:rPr>
          <w:rFonts w:hint="eastAsia" w:ascii="宋体" w:hAnsi="宋体" w:eastAsia="宋体" w:cs="宋体"/>
          <w:sz w:val="28"/>
          <w:szCs w:val="28"/>
          <w:lang w:eastAsia="zh-CN"/>
        </w:rPr>
        <w:t>投标方</w:t>
      </w:r>
      <w:r>
        <w:rPr>
          <w:rFonts w:hint="eastAsia" w:ascii="宋体" w:hAnsi="宋体" w:eastAsia="宋体" w:cs="宋体"/>
          <w:sz w:val="28"/>
          <w:szCs w:val="28"/>
        </w:rPr>
        <w:t>的技术及供货失误造成额外费用及</w:t>
      </w:r>
      <w:r>
        <w:rPr>
          <w:rFonts w:hint="eastAsia" w:ascii="宋体" w:hAnsi="宋体" w:eastAsia="宋体" w:cs="宋体"/>
          <w:sz w:val="28"/>
          <w:szCs w:val="28"/>
          <w:lang w:val="en-US" w:eastAsia="zh-CN"/>
        </w:rPr>
        <w:t>生产</w:t>
      </w:r>
      <w:r>
        <w:rPr>
          <w:rFonts w:hint="eastAsia" w:ascii="宋体" w:hAnsi="宋体" w:eastAsia="宋体" w:cs="宋体"/>
          <w:sz w:val="28"/>
          <w:szCs w:val="28"/>
        </w:rPr>
        <w:t>延误的，</w:t>
      </w:r>
      <w:r>
        <w:rPr>
          <w:rFonts w:hint="eastAsia" w:ascii="宋体" w:hAnsi="宋体" w:eastAsia="宋体" w:cs="宋体"/>
          <w:sz w:val="28"/>
          <w:szCs w:val="28"/>
          <w:lang w:eastAsia="zh-CN"/>
        </w:rPr>
        <w:t>投标方</w:t>
      </w:r>
      <w:r>
        <w:rPr>
          <w:rFonts w:hint="eastAsia" w:ascii="宋体" w:hAnsi="宋体" w:eastAsia="宋体" w:cs="宋体"/>
          <w:sz w:val="28"/>
          <w:szCs w:val="28"/>
        </w:rPr>
        <w:t>须承担相应责任。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bookmarkStart w:id="8" w:name="_Toc5438_WPSOffice_Level1"/>
      <w:bookmarkStart w:id="9" w:name="_Toc31538"/>
      <w:bookmarkStart w:id="10" w:name="_Toc20787"/>
      <w:bookmarkStart w:id="11" w:name="_Toc11436_WPSOffice_Level1"/>
      <w:r>
        <w:rPr>
          <w:rFonts w:hint="eastAsia" w:ascii="宋体" w:hAnsi="宋体" w:cs="宋体"/>
          <w:color w:val="auto"/>
          <w:sz w:val="28"/>
          <w:szCs w:val="28"/>
          <w:lang w:val="en-US" w:eastAsia="zh-CN"/>
        </w:rPr>
        <w:t>沥青的取样检验：</w:t>
      </w:r>
      <w:r>
        <w:rPr>
          <w:rFonts w:hint="eastAsia" w:ascii="宋体" w:hAnsi="宋体" w:eastAsia="宋体" w:cs="宋体"/>
          <w:color w:val="auto"/>
          <w:kern w:val="2"/>
          <w:sz w:val="28"/>
          <w:szCs w:val="28"/>
          <w:lang w:val="en-US" w:eastAsia="zh-CN" w:bidi="ar-SA"/>
        </w:rPr>
        <w:t>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对于沥青甲苯不溶物、喹啉不溶物、β树脂三项指标，新到货的供应商以每15车组批检测一次，当同一供应商连续两批次检测均合格后，转为每月随机抽检一次，当抽检过程中出现任何一项指标不合格时，立即转为以每15车组批抽检一次，连续两批次检测合格后再转为以每月随机抽检一次。试样的采取按GB/T 2000焦化固体类产品取样方法、GB/T 26297.5 铝用炭素材料取样方法 第5部分：煤沥青相关规定进行，试样的制备按GB/T 2291 煤沥青试验室试样的制备方法规定进行。沥青在使用过程中出现质量问题时，可不定时进行取样检验。若为沥青质量存在问题的，由供方承担相关责任及赔偿相应损失。沥青封存试样保存期限不少于3个月。</w:t>
      </w:r>
    </w:p>
    <w:p>
      <w:pPr>
        <w:pStyle w:val="11"/>
        <w:rPr>
          <w:rFonts w:hint="default"/>
          <w:color w:val="auto"/>
          <w:lang w:val="en-US" w:eastAsia="zh-CN"/>
        </w:rPr>
      </w:pPr>
      <w:r>
        <w:rPr>
          <w:rFonts w:hint="eastAsia" w:hAnsi="宋体" w:cs="宋体"/>
          <w:color w:val="auto"/>
          <w:sz w:val="28"/>
          <w:szCs w:val="28"/>
          <w:lang w:val="en-US" w:eastAsia="zh-CN"/>
        </w:rPr>
        <w:t xml:space="preserve">    6.6 检验规则：沥青的质量检验和验收由招标方质量监督检验部门进行。试样的采取按GB/T2000规定进行，试样的制备按GB/T2291规定进行。检验结果即使只有一项指标不符合本标准技术要求，则批产品为不合格品。</w:t>
      </w:r>
    </w:p>
    <w:p>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cs="宋体"/>
          <w:color w:val="auto"/>
          <w:sz w:val="28"/>
          <w:szCs w:val="28"/>
          <w:lang w:val="en-US" w:eastAsia="zh-CN"/>
        </w:rPr>
        <w:t>6.7当抽检过程中</w:t>
      </w:r>
      <w:r>
        <w:rPr>
          <w:rFonts w:hint="eastAsia" w:ascii="宋体" w:hAnsi="宋体" w:cs="宋体"/>
          <w:color w:val="auto"/>
          <w:sz w:val="28"/>
          <w:szCs w:val="28"/>
          <w:lang w:val="zh-CN" w:eastAsia="zh-CN"/>
        </w:rPr>
        <w:t>出现一次样品某一指标超出规定范围时，由</w:t>
      </w:r>
      <w:r>
        <w:rPr>
          <w:rFonts w:hint="eastAsia" w:ascii="宋体" w:hAnsi="宋体" w:cs="宋体"/>
          <w:color w:val="auto"/>
          <w:sz w:val="28"/>
          <w:szCs w:val="28"/>
          <w:lang w:val="en-US" w:eastAsia="zh-CN"/>
        </w:rPr>
        <w:t>招标方</w:t>
      </w:r>
      <w:r>
        <w:rPr>
          <w:rFonts w:hint="eastAsia" w:ascii="宋体" w:hAnsi="宋体" w:cs="宋体"/>
          <w:color w:val="auto"/>
          <w:sz w:val="28"/>
          <w:szCs w:val="28"/>
          <w:lang w:val="zh-CN" w:eastAsia="zh-CN"/>
        </w:rPr>
        <w:t>物资供应处及时通知</w:t>
      </w:r>
      <w:r>
        <w:rPr>
          <w:rFonts w:hint="eastAsia" w:ascii="宋体" w:hAnsi="宋体" w:cs="宋体"/>
          <w:color w:val="auto"/>
          <w:sz w:val="28"/>
          <w:szCs w:val="28"/>
          <w:lang w:val="en-US" w:eastAsia="zh-CN"/>
        </w:rPr>
        <w:t>投标方</w:t>
      </w:r>
      <w:r>
        <w:rPr>
          <w:rFonts w:hint="eastAsia" w:ascii="宋体" w:hAnsi="宋体" w:cs="宋体"/>
          <w:color w:val="auto"/>
          <w:sz w:val="28"/>
          <w:szCs w:val="28"/>
          <w:lang w:val="zh-CN" w:eastAsia="zh-CN"/>
        </w:rPr>
        <w:t>，由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双方协商解决，如</w:t>
      </w:r>
      <w:r>
        <w:rPr>
          <w:rFonts w:hint="eastAsia" w:ascii="宋体" w:hAnsi="宋体" w:cs="宋体"/>
          <w:color w:val="auto"/>
          <w:sz w:val="28"/>
          <w:szCs w:val="28"/>
          <w:lang w:val="en-US" w:eastAsia="zh-CN"/>
        </w:rPr>
        <w:t>投标</w:t>
      </w:r>
      <w:r>
        <w:rPr>
          <w:rFonts w:hint="eastAsia" w:ascii="宋体" w:hAnsi="宋体" w:cs="宋体"/>
          <w:color w:val="auto"/>
          <w:sz w:val="28"/>
          <w:szCs w:val="28"/>
          <w:lang w:val="zh-CN" w:eastAsia="zh-CN"/>
        </w:rPr>
        <w:t>方有异议时，可以由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双方共同取样复查。</w:t>
      </w:r>
      <w:r>
        <w:rPr>
          <w:rFonts w:hint="eastAsia" w:ascii="宋体" w:hAnsi="宋体" w:cs="宋体"/>
          <w:color w:val="auto"/>
          <w:sz w:val="28"/>
          <w:szCs w:val="28"/>
          <w:lang w:val="en-US" w:eastAsia="zh-CN"/>
        </w:rPr>
        <w:t>如复查仍不合格，按沥青理化性能细则进行处理。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6.8 复检方式：供需双方在验收过程中就质量问题发生争议时，供方需在3个工作日内，以函件的方式向需方提出复检申请。复检优先选择在需方实验室进行，当争议较大或供方有充分理由时，也可选择在双方认可的具有资质的第三方实验</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室进行复检（</w:t>
      </w:r>
      <w:r>
        <w:rPr>
          <w:rFonts w:hint="eastAsia" w:ascii="宋体" w:hAnsi="宋体" w:cs="宋体"/>
          <w:color w:val="auto"/>
          <w:sz w:val="28"/>
          <w:szCs w:val="28"/>
          <w:lang w:val="en-US" w:eastAsia="zh-CN"/>
        </w:rPr>
        <w:t>由需方在供需双方认可的具有资质的第三方实验室中随机选择一家进行复检）。以上复检方式只可选择其中一种，不可两种同时进行。因水分会随外界环境变化，水分不接受复检申请。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复检样品：采用需方到货验收时的封存样品进行复检。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复检结果的应用：当复检结果在该项指标检测标准规定再现性范围内的，以需方到货验收时检测结果为结算依据，当复检结果超出该项指标检测标准规定再现性范围的，以复检结果为结算依据。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复检费用：在需方实验室进行复检的，复检费用由需方承担；由具有资质的第三方实验室复检的，复检费用由提出异议方承担。</w:t>
      </w:r>
    </w:p>
    <w:p>
      <w:pPr>
        <w:pageBreakBefore w:val="0"/>
        <w:widowControl w:val="0"/>
        <w:tabs>
          <w:tab w:val="left" w:pos="567"/>
        </w:tabs>
        <w:kinsoku/>
        <w:wordWrap/>
        <w:overflowPunct/>
        <w:topLinePunct w:val="0"/>
        <w:bidi w:val="0"/>
        <w:snapToGrid w:val="0"/>
        <w:spacing w:line="460" w:lineRule="exact"/>
        <w:ind w:firstLine="602" w:firstLineChars="200"/>
        <w:textAlignment w:val="auto"/>
        <w:rPr>
          <w:rFonts w:hint="eastAsia"/>
          <w:b/>
          <w:bCs/>
          <w:sz w:val="30"/>
          <w:szCs w:val="30"/>
        </w:rPr>
      </w:pPr>
      <w:r>
        <w:rPr>
          <w:rFonts w:hint="eastAsia"/>
          <w:b/>
          <w:bCs/>
          <w:sz w:val="30"/>
          <w:szCs w:val="30"/>
          <w:lang w:val="en-US" w:eastAsia="zh-CN"/>
        </w:rPr>
        <w:t>七</w:t>
      </w:r>
      <w:r>
        <w:rPr>
          <w:rFonts w:hint="eastAsia"/>
          <w:sz w:val="30"/>
          <w:szCs w:val="30"/>
        </w:rPr>
        <w:t>、</w:t>
      </w:r>
      <w:r>
        <w:rPr>
          <w:rFonts w:hint="eastAsia"/>
          <w:b/>
          <w:bCs/>
          <w:sz w:val="30"/>
          <w:szCs w:val="30"/>
        </w:rPr>
        <w:t>供货周期要</w:t>
      </w:r>
      <w:bookmarkEnd w:id="8"/>
      <w:r>
        <w:rPr>
          <w:rFonts w:hint="eastAsia"/>
          <w:b/>
          <w:bCs/>
          <w:sz w:val="30"/>
          <w:szCs w:val="30"/>
        </w:rPr>
        <w:t>求</w:t>
      </w:r>
      <w:bookmarkEnd w:id="9"/>
      <w:bookmarkEnd w:id="10"/>
      <w:bookmarkEnd w:id="11"/>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r>
        <w:rPr>
          <w:rFonts w:hint="eastAsia" w:ascii="宋体" w:hAnsi="宋体" w:eastAsia="宋体" w:cs="宋体"/>
          <w:sz w:val="28"/>
          <w:szCs w:val="28"/>
          <w:lang w:eastAsia="zh-CN"/>
        </w:rPr>
        <w:t>交货期：</w:t>
      </w:r>
      <w:r>
        <w:rPr>
          <w:rFonts w:hint="eastAsia" w:ascii="宋体" w:hAnsi="宋体" w:eastAsia="宋体" w:cs="宋体"/>
          <w:sz w:val="28"/>
          <w:szCs w:val="28"/>
        </w:rPr>
        <w:t>具体交货时间由招标方根据现场生产进度情况通知投标方。投标方必须</w:t>
      </w:r>
      <w:r>
        <w:rPr>
          <w:rFonts w:hint="eastAsia" w:ascii="宋体" w:hAnsi="宋体" w:cs="宋体"/>
          <w:sz w:val="28"/>
          <w:szCs w:val="28"/>
          <w:lang w:val="en-US" w:eastAsia="zh-CN"/>
        </w:rPr>
        <w:t>按照</w:t>
      </w:r>
      <w:r>
        <w:rPr>
          <w:rFonts w:hint="eastAsia" w:ascii="宋体" w:hAnsi="宋体" w:eastAsia="宋体" w:cs="宋体"/>
          <w:sz w:val="28"/>
          <w:szCs w:val="28"/>
        </w:rPr>
        <w:t>招标方现场生产进度要求保质保量的进行供货，如因质量问题或供货问题造成影响，因此造成损失由投标方全部承担</w:t>
      </w:r>
      <w:r>
        <w:rPr>
          <w:rFonts w:hint="eastAsia" w:ascii="宋体" w:hAnsi="宋体" w:cs="宋体"/>
          <w:sz w:val="28"/>
          <w:szCs w:val="28"/>
          <w:lang w:eastAsia="zh-CN"/>
        </w:rPr>
        <w:t>。</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.2交货地点：广西田林县旧州镇板坚村桂黔（田林）经济合作产业园区田林百矿田田碳素有限公司</w:t>
      </w:r>
      <w:r>
        <w:rPr>
          <w:rFonts w:hint="eastAsia" w:ascii="宋体" w:hAnsi="宋体" w:eastAsia="宋体" w:cs="宋体"/>
          <w:sz w:val="28"/>
          <w:szCs w:val="28"/>
          <w:lang w:val="en-US" w:eastAsia="zh-CN"/>
        </w:rPr>
        <w:t>生产</w:t>
      </w:r>
      <w:r>
        <w:rPr>
          <w:rFonts w:hint="eastAsia" w:ascii="宋体" w:hAnsi="宋体" w:eastAsia="宋体" w:cs="宋体"/>
          <w:sz w:val="28"/>
          <w:szCs w:val="28"/>
        </w:rPr>
        <w:t>现场。</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.3交货方式：由</w:t>
      </w:r>
      <w:r>
        <w:rPr>
          <w:rFonts w:hint="eastAsia"/>
          <w:b w:val="0"/>
          <w:bCs/>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全部配送到</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生产</w:t>
      </w:r>
      <w:r>
        <w:rPr>
          <w:rFonts w:hint="eastAsia" w:ascii="宋体" w:hAnsi="宋体" w:eastAsia="宋体" w:cs="宋体"/>
          <w:sz w:val="28"/>
          <w:szCs w:val="28"/>
        </w:rPr>
        <w:t>现场，并根据本</w:t>
      </w:r>
      <w:r>
        <w:rPr>
          <w:rFonts w:hint="eastAsia" w:ascii="宋体" w:hAnsi="宋体" w:eastAsia="宋体" w:cs="宋体"/>
          <w:sz w:val="28"/>
          <w:szCs w:val="28"/>
          <w:lang w:eastAsia="zh-CN"/>
        </w:rPr>
        <w:t>技术任务书</w:t>
      </w:r>
      <w:r>
        <w:rPr>
          <w:rFonts w:hint="eastAsia" w:ascii="宋体" w:hAnsi="宋体" w:eastAsia="宋体" w:cs="宋体"/>
          <w:sz w:val="28"/>
          <w:szCs w:val="28"/>
        </w:rPr>
        <w:t>规定的标准、规程、规范进行验收，合格后交货。</w:t>
      </w:r>
      <w:bookmarkStart w:id="12" w:name="_Toc9358_WPSOffice_Level1"/>
      <w:bookmarkStart w:id="13" w:name="_Toc5537_WPSOffice_Level1"/>
      <w:bookmarkStart w:id="14" w:name="_Toc13632"/>
      <w:bookmarkStart w:id="15" w:name="_Toc13087"/>
    </w:p>
    <w:p>
      <w:pPr>
        <w:pageBreakBefore w:val="0"/>
        <w:widowControl w:val="0"/>
        <w:tabs>
          <w:tab w:val="left" w:pos="567"/>
        </w:tabs>
        <w:kinsoku/>
        <w:wordWrap/>
        <w:overflowPunct/>
        <w:topLinePunct w:val="0"/>
        <w:bidi w:val="0"/>
        <w:snapToGrid w:val="0"/>
        <w:spacing w:line="460" w:lineRule="exact"/>
        <w:ind w:left="142" w:firstLine="562" w:firstLineChars="200"/>
        <w:textAlignment w:val="auto"/>
        <w:rPr>
          <w:rFonts w:hint="eastAsia"/>
          <w:b/>
          <w:bCs/>
          <w:sz w:val="28"/>
          <w:szCs w:val="28"/>
        </w:rPr>
      </w:pPr>
      <w:r>
        <w:rPr>
          <w:rFonts w:hint="eastAsia"/>
          <w:b/>
          <w:bCs/>
          <w:sz w:val="28"/>
          <w:szCs w:val="28"/>
          <w:lang w:val="en-US" w:eastAsia="zh-CN"/>
        </w:rPr>
        <w:t>八</w:t>
      </w:r>
      <w:r>
        <w:rPr>
          <w:rFonts w:hint="eastAsia"/>
          <w:b/>
          <w:bCs/>
          <w:sz w:val="28"/>
          <w:szCs w:val="28"/>
        </w:rPr>
        <w:t>、其</w:t>
      </w:r>
      <w:bookmarkEnd w:id="12"/>
      <w:r>
        <w:rPr>
          <w:rFonts w:hint="eastAsia"/>
          <w:b/>
          <w:bCs/>
          <w:sz w:val="28"/>
          <w:szCs w:val="28"/>
        </w:rPr>
        <w:t>它</w:t>
      </w:r>
      <w:bookmarkEnd w:id="13"/>
      <w:bookmarkEnd w:id="14"/>
      <w:bookmarkEnd w:id="15"/>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.1以上条款，双方应严格执行，未尽事宜，双方本着友好协商原则随时协调解决，作为协议的补充条款。</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.2本</w:t>
      </w:r>
      <w:r>
        <w:rPr>
          <w:rFonts w:hint="eastAsia" w:ascii="宋体" w:hAnsi="宋体" w:eastAsia="宋体" w:cs="宋体"/>
          <w:sz w:val="28"/>
          <w:szCs w:val="28"/>
          <w:lang w:eastAsia="zh-CN"/>
        </w:rPr>
        <w:t>技术任务书</w:t>
      </w:r>
      <w:r>
        <w:rPr>
          <w:rFonts w:hint="eastAsia" w:ascii="宋体" w:hAnsi="宋体" w:eastAsia="宋体" w:cs="宋体"/>
          <w:sz w:val="28"/>
          <w:szCs w:val="28"/>
        </w:rPr>
        <w:t>将作为合同的一个附件，并与合同文件具有相同的法律效力。双方共同签署的会议纪要、补充文件等也与合同文件有相同的法律效力。</w:t>
      </w:r>
    </w:p>
    <w:p>
      <w:pPr>
        <w:rPr>
          <w:rFonts w:hint="eastAsia" w:ascii="宋体" w:hAnsi="宋体" w:cs="宋体"/>
          <w:sz w:val="28"/>
          <w:szCs w:val="28"/>
          <w:lang w:val="en-US" w:eastAsia="zh-CN"/>
        </w:rPr>
      </w:pPr>
      <w:r>
        <w:rPr>
          <w:rFonts w:hint="eastAsia" w:ascii="宋体" w:hAnsi="宋体" w:cs="宋体"/>
          <w:sz w:val="28"/>
          <w:szCs w:val="28"/>
          <w:lang w:val="en-US" w:eastAsia="zh-CN"/>
        </w:rPr>
        <w:t xml:space="preserve">    附表： 液体改质沥青供货计划表</w:t>
      </w:r>
    </w:p>
    <w:tbl>
      <w:tblPr>
        <w:tblStyle w:val="9"/>
        <w:tblW w:w="5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1562"/>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367" w:type="dxa"/>
            <w:vAlign w:val="center"/>
          </w:tcPr>
          <w:p>
            <w:pPr>
              <w:pStyle w:val="13"/>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供货时间</w:t>
            </w:r>
          </w:p>
        </w:tc>
        <w:tc>
          <w:tcPr>
            <w:tcW w:w="1562" w:type="dxa"/>
            <w:vAlign w:val="center"/>
          </w:tcPr>
          <w:p>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2024年6月</w:t>
            </w:r>
          </w:p>
        </w:tc>
        <w:tc>
          <w:tcPr>
            <w:tcW w:w="1562" w:type="dxa"/>
            <w:vAlign w:val="center"/>
          </w:tcPr>
          <w:p>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367" w:type="dxa"/>
            <w:vAlign w:val="center"/>
          </w:tcPr>
          <w:p>
            <w:pPr>
              <w:pStyle w:val="13"/>
              <w:jc w:val="center"/>
              <w:rPr>
                <w:rFonts w:hint="default" w:ascii="宋体" w:hAnsi="宋体" w:eastAsia="宋体" w:cs="宋体"/>
                <w:color w:val="000000" w:themeColor="text1"/>
                <w:sz w:val="24"/>
                <w:szCs w:val="24"/>
                <w:vertAlign w:val="baseline"/>
                <w:lang w:val="en-US"/>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供货量</w:t>
            </w:r>
            <w:r>
              <w:rPr>
                <w:rFonts w:hint="eastAsia" w:hAnsi="宋体" w:cs="宋体"/>
                <w:color w:val="000000" w:themeColor="text1"/>
                <w:sz w:val="24"/>
                <w:szCs w:val="24"/>
                <w:vertAlign w:val="baseline"/>
                <w:lang w:val="en-US" w:eastAsia="zh-CN"/>
                <w14:textFill>
                  <w14:solidFill>
                    <w14:schemeClr w14:val="tx1"/>
                  </w14:solidFill>
                </w14:textFill>
              </w:rPr>
              <w:t>/吨</w:t>
            </w:r>
          </w:p>
        </w:tc>
        <w:tc>
          <w:tcPr>
            <w:tcW w:w="1562" w:type="dxa"/>
            <w:vAlign w:val="center"/>
          </w:tcPr>
          <w:p>
            <w:pPr>
              <w:keepNext w:val="0"/>
              <w:keepLines w:val="0"/>
              <w:widowControl/>
              <w:suppressLineNumbers w:val="0"/>
              <w:jc w:val="center"/>
              <w:textAlignment w:val="center"/>
              <w:rPr>
                <w:rFonts w:hint="default"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5</w:t>
            </w:r>
            <w:bookmarkStart w:id="16" w:name="_GoBack"/>
            <w:bookmarkEnd w:id="16"/>
            <w:r>
              <w:rPr>
                <w:rFonts w:hint="eastAsia" w:ascii="宋体" w:hAnsi="宋体" w:cs="宋体"/>
                <w:color w:val="000000" w:themeColor="text1"/>
                <w:sz w:val="24"/>
                <w:szCs w:val="24"/>
                <w:vertAlign w:val="baseline"/>
                <w:lang w:val="en-US" w:eastAsia="zh-CN"/>
                <w14:textFill>
                  <w14:solidFill>
                    <w14:schemeClr w14:val="tx1"/>
                  </w14:solidFill>
                </w14:textFill>
              </w:rPr>
              <w:t>000</w:t>
            </w:r>
          </w:p>
        </w:tc>
        <w:tc>
          <w:tcPr>
            <w:tcW w:w="1562" w:type="dxa"/>
            <w:vAlign w:val="center"/>
          </w:tcPr>
          <w:p>
            <w:pPr>
              <w:keepNext w:val="0"/>
              <w:keepLines w:val="0"/>
              <w:widowControl/>
              <w:suppressLineNumbers w:val="0"/>
              <w:jc w:val="center"/>
              <w:textAlignment w:val="center"/>
              <w:rPr>
                <w:rFonts w:hint="default"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5000</w:t>
            </w:r>
          </w:p>
        </w:tc>
      </w:tr>
    </w:tbl>
    <w:p>
      <w:pPr>
        <w:pStyle w:val="11"/>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00000000"/>
    <w:rsid w:val="00EA20E0"/>
    <w:rsid w:val="012413DA"/>
    <w:rsid w:val="014E4831"/>
    <w:rsid w:val="01DA6F41"/>
    <w:rsid w:val="031C1F1C"/>
    <w:rsid w:val="041F2E83"/>
    <w:rsid w:val="0636392C"/>
    <w:rsid w:val="0A9651AE"/>
    <w:rsid w:val="0B846419"/>
    <w:rsid w:val="10482BD9"/>
    <w:rsid w:val="11617CB9"/>
    <w:rsid w:val="124F6188"/>
    <w:rsid w:val="12E521BD"/>
    <w:rsid w:val="15872E2B"/>
    <w:rsid w:val="168C204E"/>
    <w:rsid w:val="16B02A2D"/>
    <w:rsid w:val="178F5A12"/>
    <w:rsid w:val="18517A1D"/>
    <w:rsid w:val="190216C2"/>
    <w:rsid w:val="19744211"/>
    <w:rsid w:val="197733D3"/>
    <w:rsid w:val="1A11262D"/>
    <w:rsid w:val="1A4356A3"/>
    <w:rsid w:val="1A684E1A"/>
    <w:rsid w:val="1AA83ACA"/>
    <w:rsid w:val="1AD51BFD"/>
    <w:rsid w:val="1AD57E8C"/>
    <w:rsid w:val="1BDB6767"/>
    <w:rsid w:val="1E870438"/>
    <w:rsid w:val="1F0450C3"/>
    <w:rsid w:val="1FB27AA3"/>
    <w:rsid w:val="22794E74"/>
    <w:rsid w:val="2788422F"/>
    <w:rsid w:val="28692F8C"/>
    <w:rsid w:val="28FD0E9E"/>
    <w:rsid w:val="2D665B14"/>
    <w:rsid w:val="2D875B8D"/>
    <w:rsid w:val="30255274"/>
    <w:rsid w:val="310A15D9"/>
    <w:rsid w:val="323D10C0"/>
    <w:rsid w:val="33526AFA"/>
    <w:rsid w:val="33A139DB"/>
    <w:rsid w:val="36980F17"/>
    <w:rsid w:val="38560336"/>
    <w:rsid w:val="3B715D54"/>
    <w:rsid w:val="3C074E47"/>
    <w:rsid w:val="3F4545D4"/>
    <w:rsid w:val="41584303"/>
    <w:rsid w:val="41945E2E"/>
    <w:rsid w:val="41C1797D"/>
    <w:rsid w:val="49B735B5"/>
    <w:rsid w:val="4B0B04B0"/>
    <w:rsid w:val="4CEF0B89"/>
    <w:rsid w:val="4F0667CE"/>
    <w:rsid w:val="52DE46FC"/>
    <w:rsid w:val="53A854CE"/>
    <w:rsid w:val="54437198"/>
    <w:rsid w:val="54477A38"/>
    <w:rsid w:val="54D650AE"/>
    <w:rsid w:val="54FF3E15"/>
    <w:rsid w:val="55853555"/>
    <w:rsid w:val="56BC7FA7"/>
    <w:rsid w:val="56D91034"/>
    <w:rsid w:val="58064403"/>
    <w:rsid w:val="59F40CA9"/>
    <w:rsid w:val="5BBE4C34"/>
    <w:rsid w:val="5CEC3346"/>
    <w:rsid w:val="5E6C4538"/>
    <w:rsid w:val="5EA16433"/>
    <w:rsid w:val="5F29558B"/>
    <w:rsid w:val="5F462CC8"/>
    <w:rsid w:val="60672B03"/>
    <w:rsid w:val="62397EC1"/>
    <w:rsid w:val="627D7FA1"/>
    <w:rsid w:val="665723A3"/>
    <w:rsid w:val="66A06104"/>
    <w:rsid w:val="67144CA8"/>
    <w:rsid w:val="68BC03E5"/>
    <w:rsid w:val="6A0D390C"/>
    <w:rsid w:val="6BE04BE9"/>
    <w:rsid w:val="6C744C87"/>
    <w:rsid w:val="6CBA7B30"/>
    <w:rsid w:val="6E356C5C"/>
    <w:rsid w:val="704E7C26"/>
    <w:rsid w:val="70952446"/>
    <w:rsid w:val="72203F91"/>
    <w:rsid w:val="72B648F6"/>
    <w:rsid w:val="72BB4868"/>
    <w:rsid w:val="75C80BC8"/>
    <w:rsid w:val="762A3E83"/>
    <w:rsid w:val="76366583"/>
    <w:rsid w:val="76D50061"/>
    <w:rsid w:val="771A01B8"/>
    <w:rsid w:val="776B3F01"/>
    <w:rsid w:val="795E437C"/>
    <w:rsid w:val="79BD4545"/>
    <w:rsid w:val="79EC7590"/>
    <w:rsid w:val="7B2368A0"/>
    <w:rsid w:val="7BA64990"/>
    <w:rsid w:val="7C10151B"/>
    <w:rsid w:val="7D530830"/>
    <w:rsid w:val="7D596400"/>
    <w:rsid w:val="7DB94E07"/>
    <w:rsid w:val="7E5856F8"/>
    <w:rsid w:val="7E6232E6"/>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0">
    <w:name w:val="Default Paragraph Font"/>
    <w:autoRedefine/>
    <w:qFormat/>
    <w:uiPriority w:val="0"/>
  </w:style>
  <w:style w:type="table" w:default="1" w:styleId="8">
    <w:name w:val="Normal Table"/>
    <w:autoRedefine/>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rPr>
  </w:style>
  <w:style w:type="paragraph" w:styleId="4">
    <w:name w:val="footer"/>
    <w:basedOn w:val="1"/>
    <w:autoRedefine/>
    <w:qFormat/>
    <w:uiPriority w:val="0"/>
    <w:pPr>
      <w:tabs>
        <w:tab w:val="center" w:pos="4153"/>
        <w:tab w:val="right" w:pos="8306"/>
      </w:tabs>
      <w:snapToGrid w:val="0"/>
      <w:jc w:val="left"/>
    </w:pPr>
    <w:rPr>
      <w:sz w:val="20"/>
      <w:szCs w:val="20"/>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basedOn w:val="1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纯文本1"/>
    <w:basedOn w:val="1"/>
    <w:autoRedefine/>
    <w:qFormat/>
    <w:uiPriority w:val="0"/>
    <w:pPr>
      <w:textAlignment w:val="baseline"/>
    </w:pPr>
    <w:rPr>
      <w:rFonts w:hAnsi="Courier New" w:cs="Times New Roman"/>
    </w:rPr>
  </w:style>
  <w:style w:type="paragraph" w:customStyle="1" w:styleId="13">
    <w:name w:val="正文1"/>
    <w:basedOn w:val="1"/>
    <w:autoRedefine/>
    <w:qFormat/>
    <w:uiPriority w:val="0"/>
    <w:pPr>
      <w:adjustRightInd w:val="0"/>
      <w:spacing w:line="360" w:lineRule="atLeast"/>
      <w:jc w:val="left"/>
    </w:pPr>
    <w:rPr>
      <w:rFonts w:ascii="宋体"/>
      <w:kern w:val="0"/>
      <w:sz w:val="24"/>
    </w:rPr>
  </w:style>
  <w:style w:type="paragraph" w:customStyle="1" w:styleId="14">
    <w:name w:val="Table Paragraph"/>
    <w:basedOn w:val="1"/>
    <w:autoRedefine/>
    <w:qFormat/>
    <w:uiPriority w:val="1"/>
    <w:rPr>
      <w:rFonts w:ascii="宋体" w:hAnsi="宋体" w:eastAsia="宋体" w:cs="宋体"/>
    </w:rPr>
  </w:style>
  <w:style w:type="paragraph" w:styleId="15">
    <w:name w:val="List Paragraph"/>
    <w:basedOn w:val="1"/>
    <w:autoRedefine/>
    <w:qFormat/>
    <w:uiPriority w:val="1"/>
    <w:pPr>
      <w:ind w:left="620"/>
    </w:pPr>
    <w:rPr>
      <w:rFonts w:ascii="宋体" w:hAnsi="宋体" w:eastAsia="宋体" w:cs="宋体"/>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3076</Words>
  <Characters>3414</Characters>
  <Paragraphs>245</Paragraphs>
  <TotalTime>1</TotalTime>
  <ScaleCrop>false</ScaleCrop>
  <LinksUpToDate>false</LinksUpToDate>
  <CharactersWithSpaces>3511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2024-05-18T03:09:59Z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E05F7668A19F4FA1889503B1316F3DF5_13</vt:lpwstr>
  </property>
</Properties>
</file>