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5500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8525"/>
      <w:bookmarkStart w:id="1" w:name="_Toc12141"/>
      <w:bookmarkStart w:id="2" w:name="_Toc25026_WPSOffice_Level1"/>
      <w:bookmarkStart w:id="3" w:name="_Toc5922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12697_WPSOffice_Level1"/>
      <w:bookmarkStart w:id="6" w:name="_Toc31179_WPSOffice_Level1"/>
      <w:bookmarkStart w:id="7" w:name="_Toc2988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bookmarkStart w:id="16" w:name="_GoBack"/>
      <w:bookmarkEnd w:id="16"/>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31538"/>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5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67"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2024年8月</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67"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5500</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5500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846419"/>
    <w:rsid w:val="10482BD9"/>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2794E74"/>
    <w:rsid w:val="2788422F"/>
    <w:rsid w:val="28692F8C"/>
    <w:rsid w:val="28FD0E9E"/>
    <w:rsid w:val="2B375960"/>
    <w:rsid w:val="2D665B14"/>
    <w:rsid w:val="2D875B8D"/>
    <w:rsid w:val="30255274"/>
    <w:rsid w:val="310A15D9"/>
    <w:rsid w:val="323D10C0"/>
    <w:rsid w:val="33526AFA"/>
    <w:rsid w:val="33A139DB"/>
    <w:rsid w:val="35765CD6"/>
    <w:rsid w:val="36980F17"/>
    <w:rsid w:val="38560336"/>
    <w:rsid w:val="3B715D54"/>
    <w:rsid w:val="3C074E47"/>
    <w:rsid w:val="3F4545D4"/>
    <w:rsid w:val="41584303"/>
    <w:rsid w:val="41945E2E"/>
    <w:rsid w:val="41C1797D"/>
    <w:rsid w:val="49B735B5"/>
    <w:rsid w:val="4B0B04B0"/>
    <w:rsid w:val="4B3C4B0D"/>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F29558B"/>
    <w:rsid w:val="5F462CC8"/>
    <w:rsid w:val="60672B03"/>
    <w:rsid w:val="62397EC1"/>
    <w:rsid w:val="627D7FA1"/>
    <w:rsid w:val="665723A3"/>
    <w:rsid w:val="66A06104"/>
    <w:rsid w:val="67144CA8"/>
    <w:rsid w:val="68BC03E5"/>
    <w:rsid w:val="6A0D390C"/>
    <w:rsid w:val="6BE04BE9"/>
    <w:rsid w:val="6C744C87"/>
    <w:rsid w:val="6CBA7B30"/>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12</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2024-07-17T01:27:03Z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ies>
</file>