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rPr>
          <w:rFonts w:hint="eastAsia" w:ascii="微软雅黑" w:hAnsi="微软雅黑" w:eastAsia="微软雅黑" w:cs="微软雅黑"/>
          <w:b/>
          <w:sz w:val="30"/>
          <w:szCs w:val="30"/>
          <w:u w:val="single"/>
          <w:lang w:val="en-US" w:eastAsia="zh-CN"/>
        </w:rPr>
      </w:pPr>
      <w:r>
        <w:rPr>
          <w:rFonts w:hint="eastAsia" w:ascii="微软雅黑" w:hAnsi="微软雅黑" w:eastAsia="微软雅黑" w:cs="微软雅黑"/>
          <w:b/>
          <w:color w:val="auto"/>
          <w:sz w:val="36"/>
          <w:szCs w:val="36"/>
          <w:highlight w:val="none"/>
          <w:u w:val="single"/>
          <w:lang w:eastAsia="zh-CN"/>
        </w:rPr>
        <w:t>吉利百矿田林铝厂2024年圆柱钢爪头采购项目</w:t>
      </w:r>
    </w:p>
    <w:p>
      <w:pPr>
        <w:spacing w:line="440" w:lineRule="exact"/>
        <w:jc w:val="center"/>
        <w:rPr>
          <w:rFonts w:hint="eastAsia" w:ascii="微软雅黑" w:hAnsi="微软雅黑" w:eastAsia="微软雅黑" w:cs="微软雅黑"/>
          <w:b/>
          <w:sz w:val="24"/>
          <w:szCs w:val="24"/>
        </w:rPr>
      </w:pPr>
      <w:r>
        <w:rPr>
          <w:rFonts w:hint="eastAsia" w:ascii="微软雅黑" w:hAnsi="微软雅黑" w:eastAsia="微软雅黑" w:cs="微软雅黑"/>
          <w:b/>
          <w:sz w:val="30"/>
          <w:szCs w:val="30"/>
        </w:rPr>
        <w:t>邀请书</w:t>
      </w:r>
      <w:bookmarkStart w:id="0" w:name="_Toc33189455"/>
    </w:p>
    <w:bookmarkEnd w:id="0"/>
    <w:p>
      <w:pPr>
        <w:spacing w:line="440" w:lineRule="exact"/>
        <w:jc w:val="both"/>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采购类别：</w:t>
      </w:r>
      <w:r>
        <w:rPr>
          <w:rFonts w:hint="eastAsia" w:ascii="微软雅黑" w:hAnsi="微软雅黑" w:eastAsia="微软雅黑" w:cs="微软雅黑"/>
          <w:b/>
          <w:sz w:val="24"/>
          <w:szCs w:val="24"/>
          <w:lang w:val="en-US" w:eastAsia="zh-CN"/>
        </w:rPr>
        <w:t>生产性原辅材料</w:t>
      </w:r>
      <w:r>
        <w:rPr>
          <w:rFonts w:hint="eastAsia" w:ascii="微软雅黑" w:hAnsi="微软雅黑" w:eastAsia="微软雅黑" w:cs="微软雅黑"/>
          <w:b/>
          <w:sz w:val="24"/>
          <w:szCs w:val="24"/>
        </w:rPr>
        <w:t>类（注：请选择此类别，否则无法报名）</w:t>
      </w:r>
    </w:p>
    <w:p>
      <w:pPr>
        <w:pStyle w:val="111"/>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1.</w:t>
      </w:r>
      <w:r>
        <w:rPr>
          <w:rFonts w:hint="eastAsia" w:ascii="微软雅黑" w:hAnsi="微软雅黑" w:eastAsia="微软雅黑" w:cs="微软雅黑"/>
          <w:b/>
          <w:sz w:val="24"/>
          <w:szCs w:val="24"/>
        </w:rPr>
        <w:t>招标条件</w:t>
      </w:r>
    </w:p>
    <w:p>
      <w:pPr>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微软雅黑" w:hAnsi="微软雅黑" w:eastAsia="微软雅黑" w:cs="微软雅黑"/>
          <w:sz w:val="22"/>
          <w:szCs w:val="22"/>
          <w:u w:val="single"/>
          <w:lang w:val="en-US" w:eastAsia="zh-CN"/>
        </w:rPr>
      </w:pPr>
      <w:r>
        <w:rPr>
          <w:rFonts w:hint="eastAsia" w:ascii="微软雅黑" w:hAnsi="微软雅黑" w:eastAsia="微软雅黑" w:cs="微软雅黑"/>
          <w:sz w:val="22"/>
          <w:szCs w:val="22"/>
          <w:u w:val="single"/>
          <w:lang w:eastAsia="zh-CN"/>
        </w:rPr>
        <w:t>吉利百矿田林铝厂2024年圆柱钢爪头采购项目</w:t>
      </w:r>
      <w:r>
        <w:rPr>
          <w:rFonts w:hint="eastAsia" w:ascii="微软雅黑" w:hAnsi="微软雅黑" w:eastAsia="微软雅黑" w:cs="微软雅黑"/>
          <w:sz w:val="22"/>
          <w:szCs w:val="22"/>
        </w:rPr>
        <w:t>已具备招标</w:t>
      </w:r>
      <w:r>
        <w:rPr>
          <w:rFonts w:hint="eastAsia" w:ascii="微软雅黑" w:hAnsi="微软雅黑" w:eastAsia="微软雅黑" w:cs="微软雅黑"/>
          <w:sz w:val="22"/>
          <w:szCs w:val="22"/>
          <w:lang w:val="en-US" w:eastAsia="zh-CN"/>
        </w:rPr>
        <w:t>采购</w:t>
      </w:r>
      <w:r>
        <w:rPr>
          <w:rFonts w:hint="eastAsia" w:ascii="微软雅黑" w:hAnsi="微软雅黑" w:eastAsia="微软雅黑" w:cs="微软雅黑"/>
          <w:sz w:val="22"/>
          <w:szCs w:val="22"/>
        </w:rPr>
        <w:t>条件，现邀请贵司参与本项目投标，</w:t>
      </w:r>
      <w:r>
        <w:rPr>
          <w:rFonts w:hint="eastAsia" w:ascii="微软雅黑" w:hAnsi="微软雅黑" w:eastAsia="微软雅黑" w:cs="微软雅黑"/>
          <w:sz w:val="22"/>
          <w:szCs w:val="22"/>
          <w:highlight w:val="none"/>
        </w:rPr>
        <w:t>招标人为</w:t>
      </w:r>
      <w:r>
        <w:rPr>
          <w:rFonts w:hint="eastAsia" w:ascii="微软雅黑" w:hAnsi="微软雅黑" w:eastAsia="微软雅黑" w:cs="微软雅黑"/>
          <w:sz w:val="22"/>
          <w:szCs w:val="22"/>
          <w:highlight w:val="none"/>
          <w:lang w:eastAsia="zh-CN"/>
        </w:rPr>
        <w:t>广西田林百矿铝业有限公司</w:t>
      </w:r>
      <w:r>
        <w:rPr>
          <w:rFonts w:hint="eastAsia" w:ascii="微软雅黑" w:hAnsi="微软雅黑" w:eastAsia="微软雅黑" w:cs="微软雅黑"/>
          <w:sz w:val="22"/>
          <w:szCs w:val="22"/>
          <w:lang w:eastAsia="zh-CN"/>
        </w:rPr>
        <w:t>，组织单位：</w:t>
      </w:r>
      <w:r>
        <w:rPr>
          <w:rFonts w:hint="eastAsia" w:ascii="微软雅黑" w:hAnsi="微软雅黑" w:eastAsia="微软雅黑" w:cs="微软雅黑"/>
          <w:b w:val="0"/>
          <w:bCs/>
          <w:kern w:val="2"/>
          <w:sz w:val="22"/>
          <w:szCs w:val="22"/>
          <w:lang w:val="en-US" w:eastAsia="zh-CN" w:bidi="ar-SA"/>
        </w:rPr>
        <w:t>吉利百矿集团有限公司。</w:t>
      </w:r>
    </w:p>
    <w:p>
      <w:pPr>
        <w:pStyle w:val="111"/>
        <w:pageBreakBefore w:val="0"/>
        <w:widowControl w:val="0"/>
        <w:numPr>
          <w:ilvl w:val="0"/>
          <w:numId w:val="11"/>
        </w:numPr>
        <w:kinsoku/>
        <w:wordWrap/>
        <w:overflowPunct/>
        <w:topLinePunct w:val="0"/>
        <w:autoSpaceDE/>
        <w:autoSpaceDN/>
        <w:bidi w:val="0"/>
        <w:adjustRightInd/>
        <w:snapToGrid/>
        <w:spacing w:line="400" w:lineRule="exact"/>
        <w:textAlignment w:val="auto"/>
        <w:rPr>
          <w:rFonts w:hint="eastAsia" w:ascii="微软雅黑" w:hAnsi="微软雅黑" w:eastAsia="微软雅黑" w:cs="微软雅黑"/>
          <w:b/>
          <w:sz w:val="24"/>
          <w:szCs w:val="24"/>
        </w:rPr>
      </w:pPr>
      <w:bookmarkStart w:id="1" w:name="_Toc33189456"/>
      <w:r>
        <w:rPr>
          <w:rFonts w:hint="eastAsia" w:ascii="微软雅黑" w:hAnsi="微软雅黑" w:eastAsia="微软雅黑" w:cs="微软雅黑"/>
          <w:b/>
          <w:sz w:val="24"/>
          <w:szCs w:val="24"/>
          <w:lang w:val="en-US" w:eastAsia="zh-CN"/>
        </w:rPr>
        <w:t>招标单位简介</w:t>
      </w:r>
      <w:bookmarkEnd w:id="1"/>
      <w:r>
        <w:rPr>
          <w:rFonts w:hint="eastAsia" w:ascii="微软雅黑" w:hAnsi="微软雅黑" w:eastAsia="微软雅黑" w:cs="微软雅黑"/>
          <w:b/>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ascii="微软雅黑" w:hAnsi="微软雅黑" w:eastAsia="微软雅黑" w:cs="微软雅黑"/>
          <w:sz w:val="22"/>
          <w:szCs w:val="22"/>
          <w:highlight w:val="none"/>
          <w:lang w:eastAsia="zh-CN"/>
        </w:rPr>
      </w:pPr>
      <w:r>
        <w:rPr>
          <w:rFonts w:hint="eastAsia" w:ascii="微软雅黑" w:hAnsi="微软雅黑" w:eastAsia="微软雅黑" w:cs="微软雅黑"/>
          <w:sz w:val="22"/>
          <w:szCs w:val="22"/>
          <w:highlight w:val="none"/>
        </w:rPr>
        <w:t> 吉利百矿集团有限公司原属百色市国有企业，公司始建于1956年，原为百色地区东笋煤矿，1995年成立广西百色矿务局，2013年成立百矿集团，企业历经60多年的艰苦创业，发展成为涵盖煤炭、电力、电解铝、氧化铝、碳素、铝精深加工、生态锰等多行业发展的大型企业集团，构建起煤电铝一体化、生态锰产业一体化的循环经济产业体系，是广西主要的褐煤生产基地、全国重要的碳酸锰基地、国家级绿色矿山试点单位、全国中小型标杆煤矿、煤电铝一体化循环经济示范企业。2019年，</w:t>
      </w:r>
      <w:r>
        <w:rPr>
          <w:rFonts w:hint="eastAsia" w:ascii="微软雅黑" w:hAnsi="微软雅黑" w:eastAsia="微软雅黑" w:cs="微软雅黑"/>
          <w:sz w:val="22"/>
          <w:szCs w:val="22"/>
          <w:highlight w:val="none"/>
          <w:lang w:eastAsia="zh-CN"/>
        </w:rPr>
        <w:t>广西壮族自治区</w:t>
      </w:r>
      <w:r>
        <w:rPr>
          <w:rFonts w:hint="eastAsia" w:ascii="微软雅黑" w:hAnsi="微软雅黑" w:eastAsia="微软雅黑" w:cs="微软雅黑"/>
          <w:sz w:val="22"/>
          <w:szCs w:val="22"/>
          <w:highlight w:val="none"/>
        </w:rPr>
        <w:t>、百色市人民政府引入吉利科技集团，对百矿集团开展混合所有制改革。混改后，吉利百矿集团投资运营企业30余家，资产总额269亿元，员工近10000人。</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rPr>
          <w:rFonts w:hint="eastAsia"/>
          <w:lang w:val="en-US" w:eastAsia="zh-CN"/>
        </w:rPr>
      </w:pPr>
      <w:r>
        <w:rPr>
          <w:rFonts w:hint="eastAsia" w:ascii="微软雅黑" w:hAnsi="微软雅黑" w:eastAsia="微软雅黑" w:cs="微软雅黑"/>
          <w:b w:val="0"/>
          <w:bCs/>
          <w:kern w:val="2"/>
          <w:sz w:val="22"/>
          <w:szCs w:val="22"/>
          <w:lang w:val="en-US" w:eastAsia="zh-CN" w:bidi="ar-SA"/>
        </w:rPr>
        <w:t>广西田林百矿铝业有限公司均依托吉利百矿集团有限公司。</w:t>
      </w:r>
    </w:p>
    <w:p>
      <w:pPr>
        <w:pStyle w:val="111"/>
        <w:numPr>
          <w:ilvl w:val="0"/>
          <w:numId w:val="11"/>
        </w:numPr>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采购</w:t>
      </w:r>
      <w:r>
        <w:rPr>
          <w:rFonts w:hint="eastAsia" w:ascii="微软雅黑" w:hAnsi="微软雅黑" w:eastAsia="微软雅黑" w:cs="微软雅黑"/>
          <w:b/>
          <w:sz w:val="24"/>
          <w:szCs w:val="24"/>
        </w:rPr>
        <w:t>范围</w:t>
      </w:r>
    </w:p>
    <w:tbl>
      <w:tblPr>
        <w:tblStyle w:val="90"/>
        <w:tblW w:w="8756"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7"/>
        <w:gridCol w:w="1146"/>
        <w:gridCol w:w="2072"/>
        <w:gridCol w:w="1000"/>
        <w:gridCol w:w="987"/>
        <w:gridCol w:w="1415"/>
        <w:gridCol w:w="11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9" w:hRule="atLeast"/>
        </w:trPr>
        <w:tc>
          <w:tcPr>
            <w:tcW w:w="9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b w:val="0"/>
                <w:bCs/>
                <w:kern w:val="2"/>
                <w:sz w:val="18"/>
                <w:szCs w:val="18"/>
                <w:lang w:val="en-US" w:eastAsia="zh-CN" w:bidi="ar-SA"/>
              </w:rPr>
            </w:pPr>
            <w:r>
              <w:rPr>
                <w:rFonts w:hint="eastAsia" w:ascii="微软雅黑" w:hAnsi="微软雅黑" w:eastAsia="微软雅黑" w:cs="微软雅黑"/>
                <w:b w:val="0"/>
                <w:bCs/>
                <w:kern w:val="2"/>
                <w:sz w:val="18"/>
                <w:szCs w:val="18"/>
                <w:lang w:val="en-US" w:eastAsia="zh-CN" w:bidi="ar-SA"/>
              </w:rPr>
              <w:t>序号</w:t>
            </w:r>
          </w:p>
        </w:tc>
        <w:tc>
          <w:tcPr>
            <w:tcW w:w="114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b w:val="0"/>
                <w:bCs/>
                <w:kern w:val="2"/>
                <w:sz w:val="18"/>
                <w:szCs w:val="18"/>
                <w:lang w:val="en-US" w:eastAsia="zh-CN" w:bidi="ar-SA"/>
              </w:rPr>
            </w:pPr>
            <w:r>
              <w:rPr>
                <w:rFonts w:hint="eastAsia" w:ascii="微软雅黑" w:hAnsi="微软雅黑" w:eastAsia="微软雅黑" w:cs="微软雅黑"/>
                <w:b w:val="0"/>
                <w:bCs/>
                <w:kern w:val="2"/>
                <w:sz w:val="18"/>
                <w:szCs w:val="18"/>
                <w:lang w:val="en-US" w:eastAsia="zh-CN" w:bidi="ar-SA"/>
              </w:rPr>
              <w:t>物料名称</w:t>
            </w:r>
          </w:p>
        </w:tc>
        <w:tc>
          <w:tcPr>
            <w:tcW w:w="2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b w:val="0"/>
                <w:bCs/>
                <w:kern w:val="2"/>
                <w:sz w:val="18"/>
                <w:szCs w:val="18"/>
                <w:lang w:val="en-US" w:eastAsia="zh-CN" w:bidi="ar-SA"/>
              </w:rPr>
            </w:pPr>
            <w:r>
              <w:rPr>
                <w:rFonts w:hint="eastAsia" w:ascii="微软雅黑" w:hAnsi="微软雅黑" w:eastAsia="微软雅黑" w:cs="微软雅黑"/>
                <w:b w:val="0"/>
                <w:bCs/>
                <w:kern w:val="2"/>
                <w:sz w:val="18"/>
                <w:szCs w:val="18"/>
                <w:lang w:val="en-US" w:eastAsia="zh-CN" w:bidi="ar-SA"/>
              </w:rPr>
              <w:t>物料规格</w:t>
            </w:r>
          </w:p>
        </w:tc>
        <w:tc>
          <w:tcPr>
            <w:tcW w:w="10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b w:val="0"/>
                <w:bCs/>
                <w:kern w:val="2"/>
                <w:sz w:val="18"/>
                <w:szCs w:val="18"/>
                <w:lang w:val="en-US" w:eastAsia="zh-CN" w:bidi="ar-SA"/>
              </w:rPr>
            </w:pPr>
            <w:r>
              <w:rPr>
                <w:rFonts w:hint="eastAsia" w:ascii="微软雅黑" w:hAnsi="微软雅黑" w:eastAsia="微软雅黑" w:cs="微软雅黑"/>
                <w:b w:val="0"/>
                <w:bCs/>
                <w:kern w:val="2"/>
                <w:sz w:val="18"/>
                <w:szCs w:val="18"/>
                <w:lang w:val="en-US" w:eastAsia="zh-CN" w:bidi="ar-SA"/>
              </w:rPr>
              <w:t>材质</w:t>
            </w:r>
          </w:p>
        </w:tc>
        <w:tc>
          <w:tcPr>
            <w:tcW w:w="9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b w:val="0"/>
                <w:bCs/>
                <w:kern w:val="2"/>
                <w:sz w:val="18"/>
                <w:szCs w:val="18"/>
                <w:lang w:val="en-US" w:eastAsia="zh-CN" w:bidi="ar-SA"/>
              </w:rPr>
            </w:pPr>
            <w:r>
              <w:rPr>
                <w:rFonts w:hint="eastAsia" w:ascii="微软雅黑" w:hAnsi="微软雅黑" w:eastAsia="微软雅黑" w:cs="微软雅黑"/>
                <w:b w:val="0"/>
                <w:bCs/>
                <w:kern w:val="2"/>
                <w:sz w:val="18"/>
                <w:szCs w:val="18"/>
                <w:lang w:val="en-US" w:eastAsia="zh-CN" w:bidi="ar-SA"/>
              </w:rPr>
              <w:t>单位</w:t>
            </w:r>
          </w:p>
        </w:tc>
        <w:tc>
          <w:tcPr>
            <w:tcW w:w="14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b w:val="0"/>
                <w:bCs/>
                <w:kern w:val="2"/>
                <w:sz w:val="18"/>
                <w:szCs w:val="18"/>
                <w:lang w:val="en-US" w:eastAsia="zh-CN" w:bidi="ar-SA"/>
              </w:rPr>
            </w:pPr>
            <w:r>
              <w:rPr>
                <w:rFonts w:hint="eastAsia" w:ascii="微软雅黑" w:hAnsi="微软雅黑" w:eastAsia="微软雅黑" w:cs="微软雅黑"/>
                <w:b w:val="0"/>
                <w:bCs/>
                <w:kern w:val="2"/>
                <w:sz w:val="18"/>
                <w:szCs w:val="18"/>
                <w:lang w:val="en-US" w:eastAsia="zh-CN" w:bidi="ar-SA"/>
              </w:rPr>
              <w:t>预估数量</w:t>
            </w:r>
          </w:p>
        </w:tc>
        <w:tc>
          <w:tcPr>
            <w:tcW w:w="114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b w:val="0"/>
                <w:bCs/>
                <w:kern w:val="2"/>
                <w:sz w:val="18"/>
                <w:szCs w:val="18"/>
                <w:lang w:val="en-US" w:eastAsia="zh-CN" w:bidi="ar-SA"/>
              </w:rPr>
            </w:pPr>
            <w:r>
              <w:rPr>
                <w:rFonts w:hint="eastAsia" w:ascii="微软雅黑" w:hAnsi="微软雅黑" w:eastAsia="微软雅黑" w:cs="微软雅黑"/>
                <w:b w:val="0"/>
                <w:bCs/>
                <w:kern w:val="2"/>
                <w:sz w:val="18"/>
                <w:szCs w:val="18"/>
                <w:lang w:val="en-US" w:eastAsia="zh-CN" w:bidi="ar-SA"/>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trPr>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b w:val="0"/>
                <w:bCs/>
                <w:kern w:val="2"/>
                <w:sz w:val="18"/>
                <w:szCs w:val="18"/>
                <w:lang w:val="en-US" w:eastAsia="zh-CN" w:bidi="ar-SA"/>
              </w:rPr>
            </w:pPr>
            <w:r>
              <w:rPr>
                <w:rFonts w:hint="eastAsia" w:ascii="微软雅黑" w:hAnsi="微软雅黑" w:eastAsia="微软雅黑" w:cs="微软雅黑"/>
                <w:b w:val="0"/>
                <w:bCs/>
                <w:kern w:val="2"/>
                <w:sz w:val="18"/>
                <w:szCs w:val="18"/>
                <w:lang w:val="en-US" w:eastAsia="zh-CN" w:bidi="ar-SA"/>
              </w:rPr>
              <w:t>1</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b w:val="0"/>
                <w:bCs/>
                <w:kern w:val="2"/>
                <w:sz w:val="18"/>
                <w:szCs w:val="18"/>
                <w:lang w:val="en-US" w:eastAsia="zh-CN" w:bidi="ar-SA"/>
              </w:rPr>
            </w:pPr>
            <w:r>
              <w:rPr>
                <w:rFonts w:hint="eastAsia" w:ascii="微软雅黑" w:hAnsi="微软雅黑" w:eastAsia="微软雅黑" w:cs="微软雅黑"/>
                <w:b w:val="0"/>
                <w:bCs/>
                <w:kern w:val="2"/>
                <w:sz w:val="18"/>
                <w:szCs w:val="18"/>
                <w:lang w:val="en-US" w:eastAsia="zh-CN" w:bidi="ar-SA"/>
              </w:rPr>
              <w:t>圆柱钢爪头</w:t>
            </w:r>
          </w:p>
        </w:tc>
        <w:tc>
          <w:tcPr>
            <w:tcW w:w="20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lang w:val="en-US" w:eastAsia="zh-CN"/>
              </w:rPr>
            </w:pPr>
            <w:r>
              <w:rPr>
                <w:rFonts w:hint="eastAsia" w:ascii="微软雅黑" w:hAnsi="微软雅黑" w:eastAsia="微软雅黑" w:cs="微软雅黑"/>
                <w:b w:val="0"/>
                <w:bCs/>
                <w:kern w:val="2"/>
                <w:sz w:val="18"/>
                <w:szCs w:val="18"/>
                <w:lang w:val="en-US" w:eastAsia="zh-CN" w:bidi="ar-SA"/>
              </w:rPr>
              <w:t>圆柱体：直径180mm，长度274mm</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b w:val="0"/>
                <w:bCs/>
                <w:kern w:val="2"/>
                <w:sz w:val="18"/>
                <w:szCs w:val="18"/>
                <w:lang w:val="en-US" w:eastAsia="zh-CN" w:bidi="ar-SA"/>
              </w:rPr>
            </w:pPr>
            <w:r>
              <w:rPr>
                <w:rFonts w:hint="eastAsia" w:ascii="微软雅黑" w:hAnsi="微软雅黑" w:eastAsia="微软雅黑" w:cs="微软雅黑"/>
                <w:b w:val="0"/>
                <w:bCs/>
                <w:kern w:val="2"/>
                <w:sz w:val="18"/>
                <w:szCs w:val="18"/>
                <w:lang w:val="en-US" w:eastAsia="zh-CN" w:bidi="ar-SA"/>
              </w:rPr>
              <w:t>10#钢</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b w:val="0"/>
                <w:bCs/>
                <w:kern w:val="2"/>
                <w:sz w:val="18"/>
                <w:szCs w:val="18"/>
                <w:lang w:val="en-US" w:eastAsia="zh-CN" w:bidi="ar-SA"/>
              </w:rPr>
            </w:pPr>
            <w:r>
              <w:rPr>
                <w:rFonts w:hint="eastAsia" w:ascii="微软雅黑" w:hAnsi="微软雅黑" w:eastAsia="微软雅黑" w:cs="微软雅黑"/>
                <w:b w:val="0"/>
                <w:bCs/>
                <w:kern w:val="2"/>
                <w:sz w:val="18"/>
                <w:szCs w:val="18"/>
                <w:lang w:val="en-US" w:eastAsia="zh-CN" w:bidi="ar-SA"/>
              </w:rPr>
              <w:t>吨</w:t>
            </w:r>
          </w:p>
        </w:tc>
        <w:tc>
          <w:tcPr>
            <w:tcW w:w="14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微软雅黑" w:hAnsi="微软雅黑" w:eastAsia="微软雅黑" w:cs="微软雅黑"/>
                <w:b w:val="0"/>
                <w:bCs/>
                <w:kern w:val="2"/>
                <w:sz w:val="18"/>
                <w:szCs w:val="18"/>
                <w:lang w:val="en-US" w:eastAsia="zh-CN" w:bidi="ar-SA"/>
              </w:rPr>
            </w:pPr>
            <w:r>
              <w:rPr>
                <w:rFonts w:hint="eastAsia" w:ascii="微软雅黑" w:hAnsi="微软雅黑" w:eastAsia="微软雅黑" w:cs="微软雅黑"/>
                <w:b w:val="0"/>
                <w:bCs/>
                <w:kern w:val="2"/>
                <w:sz w:val="18"/>
                <w:szCs w:val="18"/>
                <w:lang w:val="en-US" w:eastAsia="zh-CN" w:bidi="ar-SA"/>
              </w:rPr>
              <w:t>600</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b w:val="0"/>
                <w:bCs/>
                <w:kern w:val="2"/>
                <w:sz w:val="18"/>
                <w:szCs w:val="18"/>
                <w:lang w:val="en-US" w:eastAsia="zh-CN" w:bidi="ar-SA"/>
              </w:rPr>
            </w:pPr>
            <w:r>
              <w:rPr>
                <w:rFonts w:hint="eastAsia" w:ascii="微软雅黑" w:hAnsi="微软雅黑" w:eastAsia="微软雅黑" w:cs="微软雅黑"/>
                <w:b w:val="0"/>
                <w:bCs/>
                <w:kern w:val="2"/>
                <w:sz w:val="18"/>
                <w:szCs w:val="18"/>
                <w:lang w:val="en-US" w:eastAsia="zh-CN" w:bidi="ar-SA"/>
              </w:rPr>
              <w:t>批次到货</w:t>
            </w:r>
          </w:p>
        </w:tc>
      </w:tr>
    </w:tbl>
    <w:p>
      <w:pPr>
        <w:pStyle w:val="111"/>
        <w:numPr>
          <w:ilvl w:val="0"/>
          <w:numId w:val="11"/>
        </w:numPr>
        <w:ind w:left="0" w:leftChars="0" w:firstLine="0" w:firstLineChars="0"/>
        <w:rPr>
          <w:rFonts w:hint="default" w:ascii="微软雅黑" w:hAnsi="微软雅黑" w:eastAsia="微软雅黑" w:cs="微软雅黑"/>
          <w:b/>
          <w:sz w:val="24"/>
          <w:szCs w:val="24"/>
          <w:lang w:val="en-US" w:eastAsia="zh-CN"/>
        </w:rPr>
      </w:pPr>
      <w:bookmarkStart w:id="2" w:name="_Toc33189457"/>
      <w:r>
        <w:rPr>
          <w:rFonts w:hint="eastAsia" w:ascii="微软雅黑" w:hAnsi="微软雅黑" w:eastAsia="微软雅黑" w:cs="微软雅黑"/>
          <w:b/>
          <w:sz w:val="24"/>
          <w:szCs w:val="24"/>
          <w:lang w:val="en-US" w:eastAsia="zh-CN"/>
        </w:rPr>
        <w:t>付款方式</w:t>
      </w:r>
    </w:p>
    <w:p>
      <w:pPr>
        <w:pStyle w:val="111"/>
        <w:rPr>
          <w:rFonts w:hint="eastAsia" w:ascii="微软雅黑" w:hAnsi="微软雅黑" w:eastAsia="微软雅黑" w:cs="微软雅黑"/>
          <w:b w:val="0"/>
          <w:bCs w:val="0"/>
          <w:color w:val="auto"/>
          <w:kern w:val="2"/>
          <w:sz w:val="22"/>
          <w:szCs w:val="22"/>
          <w:lang w:val="en-US" w:eastAsia="zh-CN" w:bidi="ar-SA"/>
        </w:rPr>
      </w:pPr>
      <w:r>
        <w:rPr>
          <w:rFonts w:hint="eastAsia" w:ascii="微软雅黑" w:hAnsi="微软雅黑" w:eastAsia="微软雅黑" w:cs="微软雅黑"/>
          <w:b w:val="0"/>
          <w:bCs w:val="0"/>
          <w:color w:val="auto"/>
          <w:kern w:val="2"/>
          <w:sz w:val="22"/>
          <w:szCs w:val="22"/>
          <w:lang w:val="en-US" w:eastAsia="zh-CN" w:bidi="ar-SA"/>
        </w:rPr>
        <w:t xml:space="preserve">   本合同项下产品到现场并经甲方验收合格后，乙方提供合同结算金额的13%全额增值税专用发票，甲方在发票收到后30个工作日内向乙方支付结算金额全款，付承兑汇票。</w:t>
      </w:r>
    </w:p>
    <w:p>
      <w:pPr>
        <w:pStyle w:val="111"/>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5</w:t>
      </w:r>
      <w:r>
        <w:rPr>
          <w:rFonts w:hint="eastAsia" w:ascii="微软雅黑" w:hAnsi="微软雅黑" w:eastAsia="微软雅黑" w:cs="微软雅黑"/>
          <w:b/>
          <w:sz w:val="24"/>
          <w:szCs w:val="24"/>
        </w:rPr>
        <w:t>. 投标人资格要求</w:t>
      </w:r>
      <w:bookmarkEnd w:id="2"/>
    </w:p>
    <w:p>
      <w:pPr>
        <w:pStyle w:val="111"/>
        <w:rPr>
          <w:rFonts w:hint="eastAsia" w:ascii="微软雅黑" w:hAnsi="微软雅黑" w:eastAsia="微软雅黑" w:cs="微软雅黑"/>
          <w:b w:val="0"/>
          <w:bCs w:val="0"/>
          <w:color w:val="auto"/>
          <w:kern w:val="2"/>
          <w:sz w:val="22"/>
          <w:szCs w:val="22"/>
          <w:lang w:val="en-US" w:eastAsia="zh-CN" w:bidi="ar-SA"/>
        </w:rPr>
      </w:pPr>
      <w:r>
        <w:rPr>
          <w:rFonts w:hint="eastAsia" w:ascii="微软雅黑" w:hAnsi="微软雅黑" w:eastAsia="微软雅黑" w:cs="微软雅黑"/>
          <w:b w:val="0"/>
          <w:bCs w:val="0"/>
          <w:color w:val="auto"/>
          <w:kern w:val="2"/>
          <w:sz w:val="22"/>
          <w:szCs w:val="22"/>
          <w:lang w:val="en-US" w:eastAsia="zh-CN" w:bidi="ar-SA"/>
        </w:rPr>
        <w:t>本次招标要求投标人具备以下资质。</w:t>
      </w:r>
    </w:p>
    <w:p>
      <w:pPr>
        <w:pStyle w:val="111"/>
        <w:rPr>
          <w:rFonts w:hint="eastAsia" w:ascii="微软雅黑" w:hAnsi="微软雅黑" w:eastAsia="微软雅黑" w:cs="微软雅黑"/>
          <w:b w:val="0"/>
          <w:bCs w:val="0"/>
          <w:color w:val="auto"/>
          <w:kern w:val="2"/>
          <w:sz w:val="22"/>
          <w:szCs w:val="22"/>
          <w:lang w:val="en-US" w:eastAsia="zh-CN" w:bidi="ar-SA"/>
        </w:rPr>
      </w:pPr>
      <w:r>
        <w:rPr>
          <w:rFonts w:hint="eastAsia" w:ascii="微软雅黑" w:hAnsi="微软雅黑" w:eastAsia="微软雅黑" w:cs="微软雅黑"/>
          <w:b w:val="0"/>
          <w:bCs w:val="0"/>
          <w:color w:val="auto"/>
          <w:kern w:val="2"/>
          <w:sz w:val="22"/>
          <w:szCs w:val="22"/>
          <w:lang w:val="en-US" w:eastAsia="zh-CN" w:bidi="ar-SA"/>
        </w:rPr>
        <w:t>5.1在中国境内注册，有独立法人资格和承担民事责任的能力。</w:t>
      </w:r>
    </w:p>
    <w:p>
      <w:pPr>
        <w:pStyle w:val="111"/>
        <w:rPr>
          <w:rFonts w:hint="eastAsia" w:ascii="微软雅黑" w:hAnsi="微软雅黑" w:eastAsia="微软雅黑" w:cs="微软雅黑"/>
          <w:b w:val="0"/>
          <w:bCs w:val="0"/>
          <w:color w:val="auto"/>
          <w:kern w:val="2"/>
          <w:sz w:val="22"/>
          <w:szCs w:val="22"/>
          <w:lang w:val="en-US" w:eastAsia="zh-CN" w:bidi="ar-SA"/>
        </w:rPr>
      </w:pPr>
      <w:r>
        <w:rPr>
          <w:rFonts w:hint="eastAsia" w:ascii="微软雅黑" w:hAnsi="微软雅黑" w:eastAsia="微软雅黑" w:cs="微软雅黑"/>
          <w:b w:val="0"/>
          <w:bCs w:val="0"/>
          <w:color w:val="auto"/>
          <w:kern w:val="2"/>
          <w:sz w:val="22"/>
          <w:szCs w:val="22"/>
          <w:lang w:val="en-US" w:eastAsia="zh-CN" w:bidi="ar-SA"/>
        </w:rPr>
        <w:t>5.2遵守中华人民共和国有关法律、法规和条例。</w:t>
      </w:r>
    </w:p>
    <w:p>
      <w:pPr>
        <w:pStyle w:val="111"/>
        <w:rPr>
          <w:rFonts w:hint="eastAsia" w:ascii="微软雅黑" w:hAnsi="微软雅黑" w:eastAsia="微软雅黑" w:cs="微软雅黑"/>
          <w:b w:val="0"/>
          <w:bCs w:val="0"/>
          <w:color w:val="auto"/>
          <w:kern w:val="2"/>
          <w:sz w:val="22"/>
          <w:szCs w:val="22"/>
          <w:lang w:val="en-US" w:eastAsia="zh-CN" w:bidi="ar-SA"/>
        </w:rPr>
      </w:pPr>
      <w:r>
        <w:rPr>
          <w:rFonts w:hint="eastAsia" w:ascii="微软雅黑" w:hAnsi="微软雅黑" w:eastAsia="微软雅黑" w:cs="微软雅黑"/>
          <w:b w:val="0"/>
          <w:bCs w:val="0"/>
          <w:color w:val="auto"/>
          <w:kern w:val="2"/>
          <w:sz w:val="22"/>
          <w:szCs w:val="22"/>
          <w:lang w:val="en-US" w:eastAsia="zh-CN" w:bidi="ar-SA"/>
        </w:rPr>
        <w:t>5.3具有金属材料制作或加工资质；具有近两年在国内外不少于2个及以上圆柱钢爪头(100吨以上)供应业绩。（业绩须附列表及对应列表的合同原件扫描件。合同原件扫描件含首尾页、能反应合同主体内容、签字盖章页，否则按无效业绩处理）</w:t>
      </w:r>
    </w:p>
    <w:p>
      <w:pPr>
        <w:pStyle w:val="111"/>
        <w:rPr>
          <w:rFonts w:hint="eastAsia" w:ascii="微软雅黑" w:hAnsi="微软雅黑" w:eastAsia="微软雅黑" w:cs="微软雅黑"/>
          <w:b w:val="0"/>
          <w:bCs w:val="0"/>
          <w:color w:val="auto"/>
          <w:kern w:val="2"/>
          <w:sz w:val="22"/>
          <w:szCs w:val="22"/>
          <w:lang w:val="en-US" w:eastAsia="zh-CN" w:bidi="ar-SA"/>
        </w:rPr>
      </w:pPr>
      <w:r>
        <w:rPr>
          <w:rFonts w:hint="eastAsia" w:ascii="微软雅黑" w:hAnsi="微软雅黑" w:eastAsia="微软雅黑" w:cs="微软雅黑"/>
          <w:b w:val="0"/>
          <w:bCs w:val="0"/>
          <w:color w:val="auto"/>
          <w:kern w:val="2"/>
          <w:sz w:val="22"/>
          <w:szCs w:val="22"/>
          <w:lang w:val="en-US" w:eastAsia="zh-CN" w:bidi="ar-SA"/>
        </w:rPr>
        <w:t>5.4近年来有较好业绩且无不良商业行为。</w:t>
      </w:r>
    </w:p>
    <w:p>
      <w:pPr>
        <w:pStyle w:val="111"/>
        <w:rPr>
          <w:rFonts w:hint="eastAsia" w:ascii="微软雅黑" w:hAnsi="微软雅黑" w:eastAsia="微软雅黑" w:cs="微软雅黑"/>
          <w:b w:val="0"/>
          <w:bCs w:val="0"/>
          <w:color w:val="auto"/>
          <w:kern w:val="2"/>
          <w:sz w:val="22"/>
          <w:szCs w:val="22"/>
          <w:lang w:val="en-US" w:eastAsia="zh-CN" w:bidi="ar-SA"/>
        </w:rPr>
      </w:pPr>
      <w:r>
        <w:rPr>
          <w:rFonts w:hint="eastAsia" w:ascii="微软雅黑" w:hAnsi="微软雅黑" w:eastAsia="微软雅黑" w:cs="微软雅黑"/>
          <w:b w:val="0"/>
          <w:bCs w:val="0"/>
          <w:color w:val="auto"/>
          <w:kern w:val="2"/>
          <w:sz w:val="22"/>
          <w:szCs w:val="22"/>
          <w:lang w:val="en-US" w:eastAsia="zh-CN" w:bidi="ar-SA"/>
        </w:rPr>
        <w:t>5.5具有良好的商业信誉和健全的财务会计制度。</w:t>
      </w:r>
    </w:p>
    <w:p>
      <w:pPr>
        <w:pStyle w:val="111"/>
        <w:rPr>
          <w:rFonts w:hint="eastAsia" w:ascii="微软雅黑" w:hAnsi="微软雅黑" w:eastAsia="微软雅黑" w:cs="微软雅黑"/>
          <w:b w:val="0"/>
          <w:bCs w:val="0"/>
          <w:color w:val="auto"/>
          <w:kern w:val="2"/>
          <w:sz w:val="22"/>
          <w:szCs w:val="22"/>
          <w:lang w:val="en-US" w:eastAsia="zh-CN" w:bidi="ar-SA"/>
        </w:rPr>
      </w:pPr>
      <w:r>
        <w:rPr>
          <w:rFonts w:hint="eastAsia" w:ascii="微软雅黑" w:hAnsi="微软雅黑" w:eastAsia="微软雅黑" w:cs="微软雅黑"/>
          <w:b w:val="0"/>
          <w:bCs w:val="0"/>
          <w:color w:val="auto"/>
          <w:kern w:val="2"/>
          <w:sz w:val="22"/>
          <w:szCs w:val="22"/>
          <w:lang w:val="en-US" w:eastAsia="zh-CN" w:bidi="ar-SA"/>
        </w:rPr>
        <w:t>5.6本次招标不接受联合体投标。</w:t>
      </w:r>
    </w:p>
    <w:p>
      <w:pPr>
        <w:pStyle w:val="111"/>
        <w:rPr>
          <w:rFonts w:hint="eastAsia" w:ascii="微软雅黑" w:hAnsi="微软雅黑" w:eastAsia="微软雅黑" w:cs="微软雅黑"/>
          <w:b w:val="0"/>
          <w:bCs w:val="0"/>
          <w:color w:val="auto"/>
          <w:kern w:val="2"/>
          <w:sz w:val="22"/>
          <w:szCs w:val="22"/>
          <w:lang w:val="en-US" w:eastAsia="zh-CN" w:bidi="ar-SA"/>
        </w:rPr>
      </w:pPr>
      <w:r>
        <w:rPr>
          <w:rFonts w:hint="eastAsia" w:ascii="微软雅黑" w:hAnsi="微软雅黑" w:eastAsia="微软雅黑" w:cs="微软雅黑"/>
          <w:b w:val="0"/>
          <w:bCs w:val="0"/>
          <w:color w:val="auto"/>
          <w:kern w:val="2"/>
          <w:sz w:val="22"/>
          <w:szCs w:val="22"/>
          <w:lang w:val="en-US" w:eastAsia="zh-CN" w:bidi="ar-SA"/>
        </w:rPr>
        <w:t>5.7本次招标不接受分包。</w:t>
      </w:r>
    </w:p>
    <w:p>
      <w:pPr>
        <w:pStyle w:val="111"/>
        <w:numPr>
          <w:ilvl w:val="0"/>
          <w:numId w:val="0"/>
        </w:numPr>
        <w:ind w:leftChars="0"/>
        <w:rPr>
          <w:rFonts w:hint="eastAsia" w:ascii="微软雅黑" w:hAnsi="微软雅黑" w:eastAsia="微软雅黑" w:cs="微软雅黑"/>
          <w:b/>
          <w:sz w:val="24"/>
          <w:szCs w:val="24"/>
          <w:lang w:val="en-US" w:eastAsia="zh-CN"/>
        </w:rPr>
      </w:pPr>
      <w:r>
        <w:rPr>
          <w:rFonts w:hint="eastAsia" w:ascii="微软雅黑" w:hAnsi="微软雅黑" w:eastAsia="微软雅黑" w:cs="微软雅黑"/>
          <w:b/>
          <w:sz w:val="24"/>
          <w:szCs w:val="24"/>
          <w:lang w:val="en-US" w:eastAsia="zh-CN"/>
        </w:rPr>
        <w:t>6.投标报名</w:t>
      </w:r>
    </w:p>
    <w:p>
      <w:pPr>
        <w:spacing w:line="400" w:lineRule="exact"/>
        <w:rPr>
          <w:rFonts w:hint="eastAsia" w:ascii="微软雅黑" w:hAnsi="微软雅黑" w:eastAsia="微软雅黑" w:cs="微软雅黑"/>
          <w:b/>
          <w:bCs/>
          <w:color w:val="auto"/>
          <w:sz w:val="22"/>
          <w:szCs w:val="22"/>
          <w:lang w:val="en-US" w:eastAsia="zh-CN"/>
        </w:rPr>
      </w:pPr>
      <w:r>
        <w:rPr>
          <w:rFonts w:hint="eastAsia" w:ascii="微软雅黑" w:hAnsi="微软雅黑" w:eastAsia="微软雅黑" w:cs="微软雅黑"/>
          <w:b/>
          <w:bCs/>
          <w:color w:val="auto"/>
          <w:sz w:val="22"/>
          <w:szCs w:val="22"/>
          <w:lang w:val="en-US" w:eastAsia="zh-CN"/>
        </w:rPr>
        <w:t>6.1报名方式</w:t>
      </w:r>
    </w:p>
    <w:p>
      <w:pPr>
        <w:spacing w:line="400" w:lineRule="exact"/>
        <w:rPr>
          <w:rFonts w:hint="default" w:ascii="微软雅黑" w:hAnsi="微软雅黑" w:eastAsia="微软雅黑" w:cs="微软雅黑"/>
          <w:color w:val="auto"/>
          <w:sz w:val="22"/>
          <w:szCs w:val="22"/>
          <w:highlight w:val="none"/>
          <w:lang w:val="en-US" w:eastAsia="zh-CN"/>
        </w:rPr>
      </w:pPr>
      <w:r>
        <w:rPr>
          <w:rFonts w:hint="eastAsia" w:ascii="微软雅黑" w:hAnsi="微软雅黑" w:eastAsia="微软雅黑" w:cs="微软雅黑"/>
          <w:color w:val="auto"/>
          <w:sz w:val="22"/>
          <w:szCs w:val="22"/>
          <w:lang w:val="en-US" w:eastAsia="zh-CN"/>
        </w:rPr>
        <w:t>6</w:t>
      </w:r>
      <w:r>
        <w:rPr>
          <w:rFonts w:hint="eastAsia" w:ascii="微软雅黑" w:hAnsi="微软雅黑" w:eastAsia="微软雅黑" w:cs="微软雅黑"/>
          <w:color w:val="auto"/>
          <w:sz w:val="22"/>
          <w:szCs w:val="22"/>
          <w:highlight w:val="none"/>
          <w:lang w:val="en-US" w:eastAsia="zh-CN"/>
        </w:rPr>
        <w:t>.1.1凡有意参加报名的投标人，请将报名资料以邮件的形式发送至商务人员邮箱（Changlin.Jiang@geely.com）并电话告知，通过资格审查后，我司根据“生产性原辅材料采购管理办法”确定入围的投标人，请至</w:t>
      </w:r>
      <w:r>
        <w:rPr>
          <w:rFonts w:hint="eastAsia" w:ascii="微软雅黑" w:hAnsi="微软雅黑" w:eastAsia="微软雅黑" w:cs="微软雅黑"/>
          <w:color w:val="auto"/>
          <w:sz w:val="22"/>
          <w:szCs w:val="22"/>
          <w:highlight w:val="none"/>
          <w:u w:val="single"/>
          <w:lang w:val="en-US" w:eastAsia="zh-CN"/>
        </w:rPr>
        <w:t>吉利电子招标平台（ht tps://glzb.geely.com）</w:t>
      </w:r>
      <w:r>
        <w:rPr>
          <w:rFonts w:hint="eastAsia" w:ascii="微软雅黑" w:hAnsi="微软雅黑" w:eastAsia="微软雅黑" w:cs="微软雅黑"/>
          <w:color w:val="auto"/>
          <w:sz w:val="22"/>
          <w:szCs w:val="22"/>
          <w:highlight w:val="none"/>
          <w:lang w:val="en-US" w:eastAsia="zh-CN"/>
        </w:rPr>
        <w:t>注册，我司方可邀请贵公司报名。可在平台网站首页点击“下载供应商服务手册”查看《吉利电子采购招标平台操作手册（供应商端》,投标人根据手册要求进行注册，认证完成后为注册成功后。供应商根据公告项目名称，按照报名要求上传资料。未按照此方式参与的，视作无效。</w:t>
      </w:r>
      <w:bookmarkStart w:id="8" w:name="_GoBack"/>
      <w:bookmarkEnd w:id="8"/>
    </w:p>
    <w:p>
      <w:pPr>
        <w:pStyle w:val="111"/>
        <w:numPr>
          <w:ilvl w:val="0"/>
          <w:numId w:val="0"/>
        </w:numPr>
        <w:ind w:leftChars="0"/>
        <w:rPr>
          <w:rFonts w:hint="eastAsia" w:ascii="微软雅黑" w:hAnsi="微软雅黑" w:eastAsia="微软雅黑" w:cs="微软雅黑"/>
          <w:b w:val="0"/>
          <w:bCs w:val="0"/>
          <w:color w:val="auto"/>
          <w:kern w:val="2"/>
          <w:sz w:val="22"/>
          <w:szCs w:val="22"/>
          <w:highlight w:val="none"/>
          <w:lang w:val="en-US" w:eastAsia="zh-CN" w:bidi="ar-SA"/>
        </w:rPr>
      </w:pPr>
      <w:r>
        <w:rPr>
          <w:rFonts w:hint="eastAsia" w:ascii="微软雅黑" w:hAnsi="微软雅黑" w:eastAsia="微软雅黑" w:cs="微软雅黑"/>
          <w:b w:val="0"/>
          <w:bCs w:val="0"/>
          <w:color w:val="auto"/>
          <w:kern w:val="2"/>
          <w:sz w:val="22"/>
          <w:szCs w:val="22"/>
          <w:highlight w:val="none"/>
          <w:lang w:val="en-US" w:eastAsia="zh-CN" w:bidi="ar-SA"/>
        </w:rPr>
        <w:t>6.1.2报名截止时间：2024年8月16日。</w:t>
      </w:r>
    </w:p>
    <w:p>
      <w:pPr>
        <w:pStyle w:val="111"/>
        <w:numPr>
          <w:ilvl w:val="0"/>
          <w:numId w:val="0"/>
        </w:numPr>
        <w:ind w:leftChars="0"/>
        <w:rPr>
          <w:rFonts w:hint="eastAsia" w:ascii="微软雅黑" w:hAnsi="微软雅黑" w:eastAsia="微软雅黑" w:cs="微软雅黑"/>
          <w:b/>
          <w:bCs/>
          <w:color w:val="auto"/>
          <w:kern w:val="2"/>
          <w:sz w:val="22"/>
          <w:szCs w:val="22"/>
          <w:highlight w:val="none"/>
          <w:lang w:val="en-US" w:eastAsia="zh-CN" w:bidi="ar-SA"/>
        </w:rPr>
      </w:pPr>
      <w:r>
        <w:rPr>
          <w:rFonts w:hint="eastAsia" w:ascii="微软雅黑" w:hAnsi="微软雅黑" w:eastAsia="微软雅黑" w:cs="微软雅黑"/>
          <w:b/>
          <w:bCs/>
          <w:color w:val="auto"/>
          <w:kern w:val="2"/>
          <w:sz w:val="22"/>
          <w:szCs w:val="22"/>
          <w:highlight w:val="none"/>
          <w:lang w:val="en-US" w:eastAsia="zh-CN" w:bidi="ar-SA"/>
        </w:rPr>
        <w:t>6.2报名资料</w:t>
      </w:r>
    </w:p>
    <w:p>
      <w:pPr>
        <w:spacing w:line="440" w:lineRule="exact"/>
        <w:rPr>
          <w:rFonts w:hint="eastAsia" w:ascii="微软雅黑" w:hAnsi="微软雅黑" w:eastAsia="微软雅黑" w:cs="微软雅黑"/>
          <w:bCs/>
          <w:color w:val="auto"/>
          <w:sz w:val="22"/>
          <w:szCs w:val="22"/>
          <w:highlight w:val="none"/>
        </w:rPr>
      </w:pPr>
      <w:bookmarkStart w:id="3" w:name="_Toc33189458"/>
      <w:r>
        <w:rPr>
          <w:rFonts w:hint="eastAsia" w:ascii="微软雅黑" w:hAnsi="微软雅黑" w:eastAsia="微软雅黑" w:cs="微软雅黑"/>
          <w:bCs/>
          <w:color w:val="auto"/>
          <w:sz w:val="22"/>
          <w:szCs w:val="22"/>
          <w:highlight w:val="none"/>
        </w:rPr>
        <w:t>报名资料于报名截止时间前上传至吉利控股集团招标采购平台，报名资料包含但不限于以下内容：</w:t>
      </w:r>
    </w:p>
    <w:p>
      <w:pPr>
        <w:numPr>
          <w:ilvl w:val="0"/>
          <w:numId w:val="12"/>
        </w:numPr>
        <w:spacing w:line="440" w:lineRule="exact"/>
        <w:ind w:left="425" w:hanging="425"/>
        <w:rPr>
          <w:rFonts w:hint="eastAsia" w:ascii="微软雅黑" w:hAnsi="微软雅黑" w:eastAsia="微软雅黑" w:cs="微软雅黑"/>
          <w:bCs/>
          <w:color w:val="auto"/>
          <w:sz w:val="22"/>
          <w:szCs w:val="22"/>
          <w:highlight w:val="none"/>
        </w:rPr>
      </w:pPr>
      <w:r>
        <w:rPr>
          <w:rFonts w:hint="eastAsia" w:ascii="微软雅黑" w:hAnsi="微软雅黑" w:eastAsia="微软雅黑" w:cs="微软雅黑"/>
          <w:bCs/>
          <w:color w:val="auto"/>
          <w:sz w:val="22"/>
          <w:szCs w:val="22"/>
          <w:highlight w:val="none"/>
        </w:rPr>
        <w:t>三证合一的营业执照副本</w:t>
      </w:r>
      <w:r>
        <w:rPr>
          <w:rFonts w:hint="eastAsia" w:ascii="微软雅黑" w:hAnsi="微软雅黑" w:eastAsia="微软雅黑" w:cs="微软雅黑"/>
          <w:bCs/>
          <w:color w:val="auto"/>
          <w:sz w:val="22"/>
          <w:szCs w:val="22"/>
          <w:highlight w:val="none"/>
          <w:lang w:eastAsia="zh-CN"/>
        </w:rPr>
        <w:t>；</w:t>
      </w:r>
    </w:p>
    <w:p>
      <w:pPr>
        <w:numPr>
          <w:ilvl w:val="0"/>
          <w:numId w:val="12"/>
        </w:numPr>
        <w:spacing w:line="440" w:lineRule="exact"/>
        <w:ind w:left="425" w:hanging="425"/>
        <w:rPr>
          <w:rFonts w:hint="eastAsia" w:ascii="微软雅黑" w:hAnsi="微软雅黑" w:eastAsia="微软雅黑" w:cs="微软雅黑"/>
          <w:bCs/>
          <w:color w:val="auto"/>
          <w:sz w:val="22"/>
          <w:szCs w:val="22"/>
          <w:highlight w:val="none"/>
        </w:rPr>
      </w:pPr>
      <w:r>
        <w:rPr>
          <w:rFonts w:hint="eastAsia" w:ascii="微软雅黑" w:hAnsi="微软雅黑" w:eastAsia="微软雅黑" w:cs="微软雅黑"/>
          <w:bCs/>
          <w:color w:val="auto"/>
          <w:sz w:val="22"/>
          <w:szCs w:val="22"/>
          <w:highlight w:val="none"/>
          <w:lang w:val="en-US" w:eastAsia="zh-CN"/>
        </w:rPr>
        <w:t>相关资质证书</w:t>
      </w:r>
      <w:r>
        <w:rPr>
          <w:rFonts w:hint="eastAsia" w:ascii="微软雅黑" w:hAnsi="微软雅黑" w:eastAsia="微软雅黑" w:cs="微软雅黑"/>
          <w:bCs/>
          <w:color w:val="auto"/>
          <w:sz w:val="22"/>
          <w:szCs w:val="22"/>
          <w:highlight w:val="none"/>
          <w:lang w:eastAsia="zh-CN"/>
        </w:rPr>
        <w:t>；</w:t>
      </w:r>
    </w:p>
    <w:p>
      <w:pPr>
        <w:numPr>
          <w:ilvl w:val="0"/>
          <w:numId w:val="12"/>
        </w:numPr>
        <w:spacing w:line="440" w:lineRule="exact"/>
        <w:ind w:left="425" w:hanging="425"/>
        <w:rPr>
          <w:rFonts w:hint="eastAsia" w:ascii="微软雅黑" w:hAnsi="微软雅黑" w:eastAsia="微软雅黑" w:cs="微软雅黑"/>
          <w:bCs/>
          <w:color w:val="auto"/>
          <w:sz w:val="22"/>
          <w:szCs w:val="22"/>
          <w:highlight w:val="none"/>
        </w:rPr>
      </w:pPr>
      <w:r>
        <w:rPr>
          <w:rFonts w:hint="eastAsia" w:ascii="微软雅黑" w:hAnsi="微软雅黑" w:eastAsia="微软雅黑" w:cs="微软雅黑"/>
          <w:bCs/>
          <w:color w:val="auto"/>
          <w:sz w:val="22"/>
          <w:szCs w:val="22"/>
          <w:highlight w:val="none"/>
        </w:rPr>
        <w:t>类似项目业绩证明及证明材料（提供合同扫描件，涉及机密部分可隐去）；</w:t>
      </w:r>
    </w:p>
    <w:p>
      <w:pPr>
        <w:numPr>
          <w:ilvl w:val="0"/>
          <w:numId w:val="12"/>
        </w:numPr>
        <w:spacing w:line="440" w:lineRule="exact"/>
        <w:ind w:left="425" w:hanging="425"/>
        <w:rPr>
          <w:rFonts w:hint="eastAsia" w:ascii="微软雅黑" w:hAnsi="微软雅黑" w:eastAsia="微软雅黑" w:cs="微软雅黑"/>
          <w:bCs/>
          <w:color w:val="auto"/>
          <w:sz w:val="22"/>
          <w:szCs w:val="22"/>
          <w:highlight w:val="none"/>
        </w:rPr>
      </w:pPr>
      <w:r>
        <w:rPr>
          <w:rFonts w:hint="eastAsia" w:ascii="微软雅黑" w:hAnsi="微软雅黑" w:eastAsia="微软雅黑" w:cs="微软雅黑"/>
          <w:bCs/>
          <w:color w:val="auto"/>
          <w:sz w:val="22"/>
          <w:szCs w:val="22"/>
          <w:highlight w:val="none"/>
        </w:rPr>
        <w:t>企业概况及履约能力说明；</w:t>
      </w:r>
    </w:p>
    <w:p>
      <w:pPr>
        <w:numPr>
          <w:ilvl w:val="0"/>
          <w:numId w:val="12"/>
        </w:numPr>
        <w:spacing w:line="440" w:lineRule="exact"/>
        <w:ind w:left="425" w:hanging="425"/>
        <w:rPr>
          <w:rFonts w:hint="eastAsia" w:ascii="微软雅黑" w:hAnsi="微软雅黑" w:eastAsia="微软雅黑" w:cs="微软雅黑"/>
          <w:bCs/>
          <w:color w:val="auto"/>
          <w:sz w:val="22"/>
          <w:szCs w:val="22"/>
          <w:highlight w:val="none"/>
        </w:rPr>
      </w:pPr>
      <w:r>
        <w:rPr>
          <w:rFonts w:hint="eastAsia" w:ascii="微软雅黑" w:hAnsi="微软雅黑" w:eastAsia="微软雅黑" w:cs="微软雅黑"/>
          <w:bCs/>
          <w:color w:val="auto"/>
          <w:sz w:val="22"/>
          <w:szCs w:val="22"/>
          <w:highlight w:val="none"/>
        </w:rPr>
        <w:t>经第三方审计的近三年财务审计报告或税务系统下载的企业年度财务报表（申报系统上导出的资产负债表、利润表/损益表、现金流量表）。</w:t>
      </w:r>
    </w:p>
    <w:p>
      <w:pPr>
        <w:pStyle w:val="111"/>
        <w:numPr>
          <w:ilvl w:val="0"/>
          <w:numId w:val="0"/>
        </w:numPr>
        <w:ind w:leftChars="0"/>
        <w:rPr>
          <w:rFonts w:hint="eastAsia" w:ascii="微软雅黑" w:hAnsi="微软雅黑" w:eastAsia="微软雅黑" w:cs="微软雅黑"/>
          <w:b/>
          <w:sz w:val="24"/>
          <w:szCs w:val="24"/>
          <w:highlight w:val="none"/>
        </w:rPr>
      </w:pPr>
      <w:r>
        <w:rPr>
          <w:rFonts w:hint="eastAsia" w:ascii="微软雅黑" w:hAnsi="微软雅黑" w:eastAsia="微软雅黑" w:cs="微软雅黑"/>
          <w:b/>
          <w:sz w:val="24"/>
          <w:szCs w:val="24"/>
          <w:highlight w:val="none"/>
          <w:lang w:val="en-US" w:eastAsia="zh-CN"/>
        </w:rPr>
        <w:t>7. 竞价谈判评标办法</w:t>
      </w:r>
      <w:bookmarkEnd w:id="3"/>
    </w:p>
    <w:p>
      <w:pPr>
        <w:spacing w:line="400" w:lineRule="exact"/>
        <w:rPr>
          <w:rFonts w:hint="eastAsia" w:ascii="微软雅黑" w:hAnsi="微软雅黑" w:eastAsia="微软雅黑" w:cs="微软雅黑"/>
          <w:sz w:val="22"/>
          <w:szCs w:val="22"/>
        </w:rPr>
      </w:pPr>
      <w:bookmarkStart w:id="4" w:name="_Toc33189460"/>
      <w:r>
        <w:rPr>
          <w:rFonts w:hint="eastAsia" w:ascii="微软雅黑" w:hAnsi="微软雅黑" w:eastAsia="微软雅黑" w:cs="微软雅黑"/>
          <w:sz w:val="22"/>
          <w:szCs w:val="22"/>
        </w:rPr>
        <w:t>招标方有权选择电子竞价、电子谈判或者多种形式结合的方式，确定预中标单位。</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.1电子竞价</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.1.1</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如本次项目采用电子竞价方式进行，请登录吉利电子招标平台ip地址</w:t>
      </w:r>
      <w:r>
        <w:rPr>
          <w:rFonts w:hint="eastAsia" w:ascii="微软雅黑" w:hAnsi="微软雅黑" w:eastAsia="微软雅黑" w:cs="微软雅黑"/>
          <w:sz w:val="22"/>
          <w:szCs w:val="22"/>
        </w:rPr>
        <w:fldChar w:fldCharType="begin"/>
      </w:r>
      <w:r>
        <w:rPr>
          <w:rFonts w:hint="eastAsia" w:ascii="微软雅黑" w:hAnsi="微软雅黑" w:eastAsia="微软雅黑" w:cs="微软雅黑"/>
          <w:sz w:val="22"/>
          <w:szCs w:val="22"/>
        </w:rPr>
        <w:instrText xml:space="preserve"> HYPERLINK "http://glzb.geely.com" </w:instrText>
      </w:r>
      <w:r>
        <w:rPr>
          <w:rFonts w:hint="eastAsia" w:ascii="微软雅黑" w:hAnsi="微软雅黑" w:eastAsia="微软雅黑" w:cs="微软雅黑"/>
          <w:sz w:val="22"/>
          <w:szCs w:val="22"/>
        </w:rPr>
        <w:fldChar w:fldCharType="separate"/>
      </w:r>
      <w:r>
        <w:rPr>
          <w:rFonts w:hint="eastAsia" w:ascii="微软雅黑" w:hAnsi="微软雅黑" w:eastAsia="微软雅黑" w:cs="微软雅黑"/>
          <w:sz w:val="22"/>
          <w:szCs w:val="22"/>
        </w:rPr>
        <w:t>http://glzb.geely.com</w:t>
      </w:r>
      <w:r>
        <w:rPr>
          <w:rFonts w:hint="eastAsia" w:ascii="微软雅黑" w:hAnsi="微软雅黑" w:eastAsia="微软雅黑" w:cs="微软雅黑"/>
          <w:sz w:val="22"/>
          <w:szCs w:val="22"/>
        </w:rPr>
        <w:fldChar w:fldCharType="end"/>
      </w:r>
      <w:r>
        <w:rPr>
          <w:rFonts w:hint="eastAsia" w:ascii="微软雅黑" w:hAnsi="微软雅黑" w:eastAsia="微软雅黑" w:cs="微软雅黑"/>
          <w:sz w:val="22"/>
          <w:szCs w:val="22"/>
        </w:rPr>
        <w:t xml:space="preserve"> ，并选择进入本项目的电子竞买报价现场，依据招标方的指令开始并进行不限轮次报价。各投标人可根据自身排名以及其他情况进行报价，每次报价的降价幅度不得低于本须知设置的最小降幅。</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.1.2</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 xml:space="preserve">电子竞买报价模式包括试竞价、正式竞价与超时竞价三个不同阶段，根据系统设置依次进行不同阶段的操作并报价。（本项目正式竞价时长为 </w:t>
      </w:r>
      <w:r>
        <w:rPr>
          <w:rFonts w:hint="eastAsia" w:ascii="微软雅黑" w:hAnsi="微软雅黑" w:eastAsia="微软雅黑" w:cs="微软雅黑"/>
          <w:sz w:val="22"/>
          <w:szCs w:val="22"/>
          <w:lang w:val="en-US" w:eastAsia="zh-CN"/>
        </w:rPr>
        <w:t>8</w:t>
      </w:r>
      <w:r>
        <w:rPr>
          <w:rFonts w:hint="eastAsia" w:ascii="微软雅黑" w:hAnsi="微软雅黑" w:eastAsia="微软雅黑" w:cs="微软雅黑"/>
          <w:sz w:val="22"/>
          <w:szCs w:val="22"/>
        </w:rPr>
        <w:t>分钟，超时竞价时长为</w:t>
      </w:r>
      <w:r>
        <w:rPr>
          <w:rFonts w:hint="eastAsia" w:ascii="微软雅黑" w:hAnsi="微软雅黑" w:eastAsia="微软雅黑" w:cs="微软雅黑"/>
          <w:sz w:val="22"/>
          <w:szCs w:val="22"/>
          <w:lang w:val="en-US" w:eastAsia="zh-CN"/>
        </w:rPr>
        <w:t>90</w:t>
      </w:r>
      <w:r>
        <w:rPr>
          <w:rFonts w:hint="eastAsia" w:ascii="微软雅黑" w:hAnsi="微软雅黑" w:eastAsia="微软雅黑" w:cs="微软雅黑"/>
          <w:sz w:val="22"/>
          <w:szCs w:val="22"/>
        </w:rPr>
        <w:t>秒）；</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rPr>
        <w:t>（1）试竞价阶段：用于测试系统网络连通性和各投标人熟悉系统操作，在本阶段招标方相关人员对各投标人进行该系统操作使用的培训及宣贯；</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rPr>
        <w:t>（2）正式竞价阶段：试竞价阶段结束后进入正式竞价阶段，正式竞价设定为一个固定时长，正式竞价开始后投标人进行报价，首次报价为投标文件报价（须保持完全一致），在本阶段内投标人可根据自身情况进行不限轮次报价；</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rPr>
        <w:t>（3）超时竞价阶段：正式竞价阶段结束后即进入超时竞价阶段，超时竞价时长为90秒，在超时竞价阶段只要任一投标人进行报价，时间自动回退到初始时间（90秒）。直至超时竞价时长内无任何投标人报价，超时竞价时间倒计至0时，超时竞价结束。</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.1.3</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最小降幅金额：投标人每次报价的降幅不得低于招标人设置的最小降幅金额；（1）正常竞价阶段：最少降幅金额 xxxxx 元；（2）超时竞价阶段：最少降幅金额 xxxxx元；</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.1.4</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正常竞价结束并进入超时竞价时招标人对最少降幅金额进行调整，投标人须注意竞买报价现场界面底部的实时信息提示；投标人每次报价可根据本单位排名及自身其他情况进行降价，每次报价的降价金额可等于或则大于最小降幅金额。整个电子竞买报价过程，投标人人员不能离开指定竞价场所，有事可通过招标方人员传达；</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.1.5</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投标人每次报价后仅能看到己方所报的价格及排名，排名越靠前表示该投标人综合排名越高。电子招标平台对各投标人的商务得分及技术得分根据权重进行计算。</w:t>
      </w:r>
      <w:bookmarkStart w:id="5" w:name="_Hlk91159980"/>
      <w:r>
        <w:rPr>
          <w:rFonts w:hint="eastAsia" w:ascii="微软雅黑" w:hAnsi="微软雅黑" w:eastAsia="微软雅黑" w:cs="微软雅黑"/>
          <w:sz w:val="22"/>
          <w:szCs w:val="22"/>
        </w:rPr>
        <w:t>排名越靠前表示该投标人综合排名越高。</w:t>
      </w:r>
      <w:bookmarkEnd w:id="5"/>
      <w:r>
        <w:rPr>
          <w:rFonts w:hint="eastAsia" w:ascii="微软雅黑" w:hAnsi="微软雅黑" w:eastAsia="微软雅黑" w:cs="微软雅黑"/>
          <w:sz w:val="22"/>
          <w:szCs w:val="22"/>
        </w:rPr>
        <w:t>因各投标人报价存在时间差，若综合得分相同时，先报价的单位排名靠前，招标方将要求因此种情况导致排名不同的投标人进行再次谈判，直至分出名次。</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.1.6</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如出现所有投标人报价未进入项目预算，招标方将进行再次谈判，直至有投标人报价进入项目预算。</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.1.7</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 xml:space="preserve">本次竞买报价项目已设定招标内部控制价，招标方在竞价结束并进入项目预算后，开启招标控制价： </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rPr>
        <w:t>（1）如出现综合得分排名第一的投标人的报价未进入招标控制价，但有其他投标人进入控制价的情况，采用方式</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x</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进行；</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rPr>
        <w:t>①在进入控制价范围内的其他投标人中选择综合得分最高的作为本项目的第一预中标人；</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rPr>
        <w:t>②招标方给予综合得分排名第一的投标人额外一次报价机会：</w:t>
      </w:r>
      <w:r>
        <w:rPr>
          <w:rFonts w:hint="eastAsia" w:ascii="微软雅黑" w:hAnsi="微软雅黑" w:eastAsia="微软雅黑" w:cs="微软雅黑"/>
          <w:sz w:val="22"/>
          <w:szCs w:val="22"/>
        </w:rPr>
        <w:cr/>
      </w:r>
      <w:r>
        <w:rPr>
          <w:rFonts w:hint="eastAsia" w:ascii="微软雅黑" w:hAnsi="微软雅黑" w:eastAsia="微软雅黑" w:cs="微软雅黑"/>
          <w:sz w:val="22"/>
          <w:szCs w:val="22"/>
        </w:rPr>
        <w:t>若再次报价后进入招标方控制价范围内，则确定综合排名第一的投标人为本项目第一预中标人；</w:t>
      </w:r>
      <w:r>
        <w:rPr>
          <w:rFonts w:hint="eastAsia" w:ascii="微软雅黑" w:hAnsi="微软雅黑" w:eastAsia="微软雅黑" w:cs="微软雅黑"/>
          <w:sz w:val="22"/>
          <w:szCs w:val="22"/>
        </w:rPr>
        <w:cr/>
      </w:r>
      <w:r>
        <w:rPr>
          <w:rFonts w:hint="eastAsia" w:ascii="微软雅黑" w:hAnsi="微软雅黑" w:eastAsia="微软雅黑" w:cs="微软雅黑"/>
          <w:sz w:val="22"/>
          <w:szCs w:val="22"/>
        </w:rPr>
        <w:t>若再次报价后未进入招标方控制价范围内，则在进入控制价范围内的投标人中选择综合得分最高的作为本项目的第一预中标人；</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rPr>
        <w:t>（2）如出现所有投标人报价均未进入招标控制价范围内，招标方可宣布流标或选择前  2 名投标人进行再次议价；</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.1.8</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投标人在超时竞价阶段须在最后15秒之前报价，如在最后15秒内报价，网络延时或其它原因导致竞价异常，招标方有最终裁定权；</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.1.9</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出现网络或电脑故障，若在正式竞价时间内，重新启动系统竞价或纸质替代竞价，若在超时阶段，招标方视竞价状况，有权决定重新启动系统竞价或纸质替代竞价，或按最终界面的排名顺序选择中标人；</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.1.10</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每个标段竞价结束后，各投标人须以纸质方式填写报价确认单，签字后交给招标方，价格以电子招标系统金额为准；</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.1.11</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接受并参加电子竞价的投标人，在电子竞买报价现场上所报报价等同于其投标文件实际报价。</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.1.12</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本次电子竞买报价以整体暂定/固定总价进行竞价。初始报价以标书报价为准，最终报价确定后各项单价根据最终价格对比初始报价下降幅度按以同比例下浮确定。</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.2电子谈判</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.2.1</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如本次项目采用电子谈判方式进行，请登录吉利电子招标平台ip地址</w:t>
      </w:r>
      <w:r>
        <w:rPr>
          <w:rFonts w:hint="eastAsia" w:ascii="微软雅黑" w:hAnsi="微软雅黑" w:eastAsia="微软雅黑" w:cs="微软雅黑"/>
          <w:sz w:val="22"/>
          <w:szCs w:val="22"/>
        </w:rPr>
        <w:fldChar w:fldCharType="begin"/>
      </w:r>
      <w:r>
        <w:rPr>
          <w:rFonts w:hint="eastAsia" w:ascii="微软雅黑" w:hAnsi="微软雅黑" w:eastAsia="微软雅黑" w:cs="微软雅黑"/>
          <w:sz w:val="22"/>
          <w:szCs w:val="22"/>
        </w:rPr>
        <w:instrText xml:space="preserve"> HYPERLINK "http://glzb.geely.com" </w:instrText>
      </w:r>
      <w:r>
        <w:rPr>
          <w:rFonts w:hint="eastAsia" w:ascii="微软雅黑" w:hAnsi="微软雅黑" w:eastAsia="微软雅黑" w:cs="微软雅黑"/>
          <w:sz w:val="22"/>
          <w:szCs w:val="22"/>
        </w:rPr>
        <w:fldChar w:fldCharType="separate"/>
      </w:r>
      <w:r>
        <w:rPr>
          <w:rFonts w:hint="eastAsia" w:ascii="微软雅黑" w:hAnsi="微软雅黑" w:eastAsia="微软雅黑" w:cs="微软雅黑"/>
          <w:sz w:val="22"/>
          <w:szCs w:val="22"/>
        </w:rPr>
        <w:t>http://glzb.geely.com</w:t>
      </w:r>
      <w:r>
        <w:rPr>
          <w:rFonts w:hint="eastAsia" w:ascii="微软雅黑" w:hAnsi="微软雅黑" w:eastAsia="微软雅黑" w:cs="微软雅黑"/>
          <w:sz w:val="22"/>
          <w:szCs w:val="22"/>
        </w:rPr>
        <w:fldChar w:fldCharType="end"/>
      </w:r>
      <w:r>
        <w:rPr>
          <w:rFonts w:hint="eastAsia" w:ascii="微软雅黑" w:hAnsi="微软雅黑" w:eastAsia="微软雅黑" w:cs="微软雅黑"/>
          <w:sz w:val="22"/>
          <w:szCs w:val="22"/>
        </w:rPr>
        <w:t xml:space="preserve"> ，并选择进入本项目的电子谈判现场。依据招标方的指令开始依次进行多轮次报价。电子谈判过程中，各投标人均无法知悉具体排名情况，需依据自身情况进行报价，每轮次降价幅度不作限制。</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.2.2</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电子谈判规则：适用于有技术权重项目</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rPr>
        <w:t xml:space="preserve">本次电子谈判采用 </w:t>
      </w:r>
      <w:r>
        <w:rPr>
          <w:rFonts w:hint="eastAsia" w:ascii="微软雅黑" w:hAnsi="微软雅黑" w:eastAsia="微软雅黑" w:cs="微软雅黑"/>
          <w:sz w:val="22"/>
          <w:szCs w:val="22"/>
          <w:lang w:val="en-US" w:eastAsia="zh-CN"/>
        </w:rPr>
        <w:t>4</w:t>
      </w:r>
      <w:r>
        <w:rPr>
          <w:rFonts w:hint="eastAsia" w:ascii="微软雅黑" w:hAnsi="微软雅黑" w:eastAsia="微软雅黑" w:cs="微软雅黑"/>
          <w:sz w:val="22"/>
          <w:szCs w:val="22"/>
        </w:rPr>
        <w:t xml:space="preserve"> 轮次报价模式进行：投标人根据自身实际情况在电子招标平台上进行报价，后一轮报价不得高于前一轮报价。每一轮报价完成后，电子招标平台对各投标人的商务得分及技术得分根据权重进行计算，得出综合得分及排名。综合得分越高排名越高，具体排名不对投标人公布。</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rPr>
        <w:t>第1轮报价按标书价格进行报价，报价需完全一致，所有投标人进入第2轮报价；</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rPr>
        <w:t>第2轮报价结束后按排名淘汰最后</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名，其余投标人进入第3轮报价；</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rPr>
        <w:t>第3轮报价结束后按排名选择前</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名投标人进入第4轮报价，其余投标人淘汰；</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rPr>
        <w:t>第4轮报价结束后排名第一的投标人作为本项目第一预中标单位（须进入控制价），排名第二投标人作为本项目第二预中标单位（须进入控制价）。</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rPr>
        <w:t>如出现前二名综合得分相同导致名次并列情况，招标方将进行再次谈判，直至分出名次。</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rPr>
        <w:t>如出现所有投标人报价未进入项目预算，招标方将进行再次谈判，直至有投标人报价进入项目预算。</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.2.3</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本次项目已设定内部控制价，</w:t>
      </w:r>
      <w:r>
        <w:rPr>
          <w:rFonts w:hint="eastAsia" w:ascii="微软雅黑" w:hAnsi="微软雅黑" w:eastAsia="微软雅黑" w:cs="微软雅黑"/>
          <w:sz w:val="22"/>
          <w:szCs w:val="22"/>
          <w:lang w:val="en-US" w:eastAsia="zh-CN"/>
        </w:rPr>
        <w:t>4</w:t>
      </w:r>
      <w:r>
        <w:rPr>
          <w:rFonts w:hint="eastAsia" w:ascii="微软雅黑" w:hAnsi="微软雅黑" w:eastAsia="微软雅黑" w:cs="微软雅黑"/>
          <w:sz w:val="22"/>
          <w:szCs w:val="22"/>
        </w:rPr>
        <w:t>轮（如有并列情况再加轮次）报价结束后，招标方开启内部控制价，控制价不对外公布。</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rPr>
        <w:t>（1）如出现综合分排名第一的投标人的报价未进入招标控制价，却有其他投标人进入控制价的情况，采用方式 x  进行；</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rPr>
        <w:t>①在进入控制价范围内的其他投标人中选择综合得分最高的作为本项目的第一预中标人；</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rPr>
        <w:t>②招标方给予综合得分排名第一的投标人额外一次报价机会：</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rPr>
        <w:t>若再次报价后进入招标方控制价范围内，则确定综合排名第一的投标人为本项目第一预中标人；</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rPr>
        <w:t>若再次报价后未进入招标方控制价范围内，则在进入控制价范围内的投标人中选择综合得分最高的作为本项目的第一预中标人；</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rPr>
        <w:t>（2）若出现所有投标人报价均高出控制价等情况时，招标方有权宣布流标或与前两名投标人进行再次议价或竞价。</w:t>
      </w:r>
    </w:p>
    <w:p>
      <w:pPr>
        <w:spacing w:line="400" w:lineRule="exact"/>
        <w:rPr>
          <w:rFonts w:hint="eastAsia" w:ascii="微软雅黑" w:hAnsi="微软雅黑" w:eastAsia="微软雅黑" w:cs="微软雅黑"/>
          <w:sz w:val="22"/>
          <w:szCs w:val="22"/>
          <w:lang w:eastAsia="zh-CN"/>
        </w:rPr>
      </w:pP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.2.4</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电子谈判原则上对投标人的报价时间不做严格限制，但对故意拖延或拒绝报价的投标人，有权取消其投标资格。</w:t>
      </w:r>
    </w:p>
    <w:p>
      <w:pPr>
        <w:spacing w:line="400" w:lineRule="exact"/>
        <w:rPr>
          <w:rFonts w:hint="eastAsia" w:ascii="微软雅黑" w:hAnsi="微软雅黑" w:eastAsia="微软雅黑" w:cs="微软雅黑"/>
          <w:sz w:val="22"/>
          <w:szCs w:val="22"/>
          <w:lang w:eastAsia="zh-CN"/>
        </w:rPr>
      </w:pP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.2.5</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电子谈判结束后，各投标人以纸质方式填写的报价确认单，签字后交给招标方，价格以电子谈判最终确认金额为准。</w:t>
      </w:r>
    </w:p>
    <w:p>
      <w:pPr>
        <w:spacing w:line="400" w:lineRule="exact"/>
        <w:rPr>
          <w:rFonts w:hint="eastAsia" w:ascii="微软雅黑" w:hAnsi="微软雅黑" w:eastAsia="微软雅黑" w:cs="微软雅黑"/>
          <w:sz w:val="22"/>
          <w:szCs w:val="22"/>
          <w:lang w:eastAsia="zh-CN"/>
        </w:rPr>
      </w:pP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.2.6</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接受并参加电子谈判的投标人，在电子投标平台、纸质报价确认单上所确认最终报价均等同于其投标文件最终实际报价。</w:t>
      </w:r>
    </w:p>
    <w:p>
      <w:pPr>
        <w:spacing w:line="400" w:lineRule="exact"/>
        <w:rPr>
          <w:rFonts w:hint="eastAsia" w:ascii="微软雅黑" w:hAnsi="微软雅黑" w:eastAsia="微软雅黑" w:cs="微软雅黑"/>
          <w:sz w:val="22"/>
          <w:szCs w:val="22"/>
          <w:lang w:eastAsia="zh-CN"/>
        </w:rPr>
      </w:pPr>
      <w:r>
        <w:rPr>
          <w:rFonts w:hint="eastAsia" w:ascii="微软雅黑" w:hAnsi="微软雅黑" w:eastAsia="微软雅黑" w:cs="微软雅黑"/>
          <w:sz w:val="22"/>
          <w:szCs w:val="22"/>
          <w:lang w:val="en-US" w:eastAsia="zh-CN"/>
        </w:rPr>
        <w:t>7</w:t>
      </w:r>
      <w:r>
        <w:rPr>
          <w:rFonts w:hint="eastAsia" w:ascii="微软雅黑" w:hAnsi="微软雅黑" w:eastAsia="微软雅黑" w:cs="微软雅黑"/>
          <w:sz w:val="22"/>
          <w:szCs w:val="22"/>
        </w:rPr>
        <w:t>.2.7</w:t>
      </w:r>
      <w:r>
        <w:rPr>
          <w:rFonts w:hint="eastAsia" w:ascii="微软雅黑" w:hAnsi="微软雅黑" w:eastAsia="微软雅黑" w:cs="微软雅黑"/>
          <w:sz w:val="22"/>
          <w:szCs w:val="22"/>
          <w:lang w:val="en-US" w:eastAsia="zh-CN"/>
        </w:rPr>
        <w:t xml:space="preserve"> </w:t>
      </w:r>
      <w:r>
        <w:rPr>
          <w:rFonts w:hint="eastAsia" w:ascii="微软雅黑" w:hAnsi="微软雅黑" w:eastAsia="微软雅黑" w:cs="微软雅黑"/>
          <w:sz w:val="22"/>
          <w:szCs w:val="22"/>
        </w:rPr>
        <w:t>如有任何违规情况，可向供应链管理部投诉和举报。</w:t>
      </w:r>
    </w:p>
    <w:p>
      <w:pPr>
        <w:spacing w:line="400" w:lineRule="exact"/>
        <w:rPr>
          <w:rFonts w:hint="eastAsia" w:ascii="微软雅黑" w:hAnsi="微软雅黑" w:eastAsia="微软雅黑" w:cs="微软雅黑"/>
          <w:sz w:val="22"/>
          <w:szCs w:val="22"/>
          <w:lang w:eastAsia="zh-CN"/>
        </w:rPr>
      </w:pPr>
      <w:r>
        <w:rPr>
          <w:rFonts w:hint="eastAsia" w:ascii="微软雅黑" w:hAnsi="微软雅黑" w:eastAsia="微软雅黑" w:cs="微软雅黑"/>
          <w:sz w:val="22"/>
          <w:szCs w:val="22"/>
        </w:rPr>
        <w:t>投诉、举报电话：0571-28098168</w:t>
      </w:r>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2"/>
          <w:szCs w:val="22"/>
        </w:rPr>
        <w:t>举报邮箱：</w:t>
      </w:r>
      <w:r>
        <w:rPr>
          <w:rFonts w:hint="eastAsia" w:ascii="微软雅黑" w:hAnsi="微软雅黑" w:eastAsia="微软雅黑" w:cs="微软雅黑"/>
          <w:sz w:val="22"/>
          <w:szCs w:val="22"/>
        </w:rPr>
        <w:fldChar w:fldCharType="begin"/>
      </w:r>
      <w:r>
        <w:rPr>
          <w:rFonts w:hint="eastAsia" w:ascii="微软雅黑" w:hAnsi="微软雅黑" w:eastAsia="微软雅黑" w:cs="微软雅黑"/>
          <w:sz w:val="22"/>
          <w:szCs w:val="22"/>
        </w:rPr>
        <w:instrText xml:space="preserve"> HYPERLINK "mailto:geelytech.bid@geely.com" </w:instrText>
      </w:r>
      <w:r>
        <w:rPr>
          <w:rFonts w:hint="eastAsia" w:ascii="微软雅黑" w:hAnsi="微软雅黑" w:eastAsia="微软雅黑" w:cs="微软雅黑"/>
          <w:sz w:val="22"/>
          <w:szCs w:val="22"/>
        </w:rPr>
        <w:fldChar w:fldCharType="separate"/>
      </w:r>
      <w:r>
        <w:rPr>
          <w:rFonts w:hint="eastAsia" w:ascii="微软雅黑" w:hAnsi="微软雅黑" w:eastAsia="微软雅黑" w:cs="微软雅黑"/>
          <w:sz w:val="22"/>
          <w:szCs w:val="22"/>
        </w:rPr>
        <w:t>geelytech.bid@geely.com</w:t>
      </w:r>
      <w:r>
        <w:rPr>
          <w:rFonts w:hint="eastAsia" w:ascii="微软雅黑" w:hAnsi="微软雅黑" w:eastAsia="微软雅黑" w:cs="微软雅黑"/>
          <w:sz w:val="22"/>
          <w:szCs w:val="22"/>
        </w:rPr>
        <w:fldChar w:fldCharType="end"/>
      </w:r>
      <w:r>
        <w:rPr>
          <w:rFonts w:hint="eastAsia" w:ascii="微软雅黑" w:hAnsi="微软雅黑" w:eastAsia="微软雅黑" w:cs="微软雅黑"/>
          <w:sz w:val="22"/>
          <w:szCs w:val="22"/>
        </w:rPr>
        <w:t>。</w:t>
      </w:r>
    </w:p>
    <w:p>
      <w:pPr>
        <w:pStyle w:val="111"/>
        <w:numPr>
          <w:ilvl w:val="0"/>
          <w:numId w:val="13"/>
        </w:numPr>
        <w:rPr>
          <w:rFonts w:hint="eastAsia" w:ascii="微软雅黑" w:hAnsi="微软雅黑" w:eastAsia="微软雅黑" w:cs="微软雅黑"/>
          <w:b/>
          <w:sz w:val="24"/>
          <w:szCs w:val="24"/>
          <w:lang w:val="en-US" w:eastAsia="zh-CN"/>
        </w:rPr>
      </w:pPr>
      <w:r>
        <w:rPr>
          <w:rFonts w:hint="eastAsia" w:ascii="微软雅黑" w:hAnsi="微软雅黑" w:eastAsia="微软雅黑" w:cs="微软雅黑"/>
          <w:b/>
          <w:sz w:val="24"/>
          <w:szCs w:val="24"/>
          <w:lang w:val="en-US" w:eastAsia="zh-CN"/>
        </w:rPr>
        <w:t>评标、定标办法</w:t>
      </w:r>
    </w:p>
    <w:p>
      <w:pPr>
        <w:pStyle w:val="111"/>
        <w:numPr>
          <w:ilvl w:val="0"/>
          <w:numId w:val="0"/>
        </w:numPr>
        <w:ind w:firstLine="240" w:firstLineChars="100"/>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sz w:val="24"/>
          <w:szCs w:val="24"/>
          <w:highlight w:val="none"/>
          <w:lang w:val="en-US" w:eastAsia="zh-CN"/>
        </w:rPr>
        <w:t>8.1</w:t>
      </w:r>
      <w:r>
        <w:rPr>
          <w:rFonts w:hint="eastAsia" w:ascii="微软雅黑" w:hAnsi="微软雅黑" w:eastAsia="微软雅黑" w:cs="微软雅黑"/>
          <w:color w:val="auto"/>
          <w:sz w:val="24"/>
          <w:szCs w:val="24"/>
          <w:highlight w:val="none"/>
        </w:rPr>
        <w:t>技术标评标60分及格，未通过厂家，视为不合格予以淘汰。此项目采用</w:t>
      </w:r>
      <w:r>
        <w:rPr>
          <w:rFonts w:hint="eastAsia" w:ascii="微软雅黑" w:hAnsi="微软雅黑" w:eastAsia="微软雅黑" w:cs="微软雅黑"/>
          <w:color w:val="auto"/>
          <w:kern w:val="0"/>
          <w:sz w:val="24"/>
          <w:szCs w:val="24"/>
          <w:highlight w:val="none"/>
        </w:rPr>
        <w:t>综合得分最高者中标（技术权重</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u w:val="single"/>
          <w:lang w:val="en-US" w:eastAsia="zh-CN"/>
        </w:rPr>
        <w:t>10</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%）详情附件六技术评分表</w:t>
      </w:r>
    </w:p>
    <w:p>
      <w:pPr>
        <w:snapToGrid w:val="0"/>
        <w:ind w:firstLine="240" w:firstLineChars="100"/>
        <w:outlineLvl w:val="2"/>
        <w:rPr>
          <w:rFonts w:ascii="微软雅黑" w:hAnsi="微软雅黑" w:eastAsia="微软雅黑" w:cs="微软雅黑"/>
          <w:color w:val="auto"/>
          <w:sz w:val="24"/>
          <w:szCs w:val="24"/>
          <w:highlight w:val="none"/>
        </w:rPr>
      </w:pPr>
      <w:bookmarkStart w:id="6" w:name="_Toc25549"/>
      <w:r>
        <w:rPr>
          <w:rFonts w:hint="eastAsia" w:ascii="微软雅黑" w:hAnsi="微软雅黑" w:eastAsia="微软雅黑" w:cs="微软雅黑"/>
          <w:color w:val="auto"/>
          <w:sz w:val="24"/>
          <w:szCs w:val="24"/>
          <w:highlight w:val="none"/>
          <w:lang w:val="en-US" w:eastAsia="zh-CN"/>
        </w:rPr>
        <w:t>8.2</w:t>
      </w:r>
      <w:r>
        <w:rPr>
          <w:rFonts w:hint="eastAsia" w:ascii="微软雅黑" w:hAnsi="微软雅黑" w:eastAsia="微软雅黑" w:cs="微软雅黑"/>
          <w:color w:val="auto"/>
          <w:sz w:val="24"/>
          <w:szCs w:val="24"/>
          <w:highlight w:val="none"/>
        </w:rPr>
        <w:t>定标：</w:t>
      </w:r>
      <w:bookmarkEnd w:id="6"/>
    </w:p>
    <w:p>
      <w:pPr>
        <w:snapToGrid w:val="0"/>
        <w:ind w:firstLine="240" w:firstLineChars="1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8</w:t>
      </w: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en-US" w:eastAsia="zh-CN"/>
        </w:rPr>
        <w:t>.1</w:t>
      </w:r>
      <w:r>
        <w:rPr>
          <w:rFonts w:hint="eastAsia" w:ascii="微软雅黑" w:hAnsi="微软雅黑" w:eastAsia="微软雅黑" w:cs="微软雅黑"/>
          <w:color w:val="auto"/>
          <w:sz w:val="24"/>
          <w:szCs w:val="24"/>
          <w:highlight w:val="none"/>
        </w:rPr>
        <w:t>招标方对各投标单位的技术标、商务标进行评标后，招标方有权采用多轮淘汰方式，直至第一、第二</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lang w:val="en-US" w:eastAsia="zh-CN"/>
        </w:rPr>
        <w:t>第三</w:t>
      </w:r>
      <w:r>
        <w:rPr>
          <w:rFonts w:hint="eastAsia" w:ascii="微软雅黑" w:hAnsi="微软雅黑" w:eastAsia="微软雅黑" w:cs="微软雅黑"/>
          <w:color w:val="auto"/>
          <w:sz w:val="24"/>
          <w:szCs w:val="24"/>
          <w:highlight w:val="none"/>
        </w:rPr>
        <w:t>预中标人产生。</w:t>
      </w:r>
    </w:p>
    <w:p>
      <w:pPr>
        <w:snapToGrid w:val="0"/>
        <w:ind w:firstLine="240" w:firstLineChars="100"/>
        <w:rPr>
          <w:rFonts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8</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en-US" w:eastAsia="zh-CN"/>
        </w:rPr>
        <w:t>1.2</w:t>
      </w:r>
      <w:r>
        <w:rPr>
          <w:rFonts w:hint="eastAsia" w:ascii="微软雅黑" w:hAnsi="微软雅黑" w:eastAsia="微软雅黑" w:cs="微软雅黑"/>
          <w:color w:val="auto"/>
          <w:sz w:val="24"/>
          <w:szCs w:val="24"/>
          <w:highlight w:val="none"/>
          <w:lang w:eastAsia="zh-CN"/>
        </w:rPr>
        <w:t>招标</w:t>
      </w:r>
      <w:r>
        <w:rPr>
          <w:rFonts w:hint="eastAsia" w:ascii="微软雅黑" w:hAnsi="微软雅黑" w:eastAsia="微软雅黑" w:cs="微软雅黑"/>
          <w:color w:val="auto"/>
          <w:sz w:val="24"/>
          <w:szCs w:val="24"/>
          <w:highlight w:val="none"/>
        </w:rPr>
        <w:t>单位发出中标通知书，如有特殊情况招标方有权采取口头通知中标。</w:t>
      </w:r>
    </w:p>
    <w:p>
      <w:pPr>
        <w:pStyle w:val="111"/>
        <w:numPr>
          <w:ilvl w:val="0"/>
          <w:numId w:val="13"/>
        </w:numPr>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参与</w:t>
      </w:r>
      <w:r>
        <w:rPr>
          <w:rFonts w:hint="eastAsia" w:ascii="微软雅黑" w:hAnsi="微软雅黑" w:eastAsia="微软雅黑" w:cs="微软雅黑"/>
          <w:b/>
          <w:sz w:val="24"/>
          <w:szCs w:val="24"/>
        </w:rPr>
        <w:t>确认</w:t>
      </w:r>
      <w:bookmarkEnd w:id="4"/>
    </w:p>
    <w:p>
      <w:pPr>
        <w:spacing w:line="400" w:lineRule="exact"/>
        <w:rPr>
          <w:rFonts w:hint="eastAsia" w:ascii="微软雅黑" w:hAnsi="微软雅黑" w:eastAsia="微软雅黑" w:cs="微软雅黑"/>
          <w:sz w:val="22"/>
          <w:szCs w:val="22"/>
        </w:rPr>
      </w:pPr>
      <w:r>
        <w:rPr>
          <w:rFonts w:hint="eastAsia" w:ascii="微软雅黑" w:hAnsi="微软雅黑" w:eastAsia="微软雅黑" w:cs="微软雅黑"/>
          <w:sz w:val="24"/>
        </w:rPr>
        <w:t xml:space="preserve">  </w:t>
      </w:r>
      <w:r>
        <w:rPr>
          <w:rFonts w:hint="eastAsia" w:ascii="微软雅黑" w:hAnsi="微软雅黑" w:eastAsia="微软雅黑" w:cs="微软雅黑"/>
          <w:szCs w:val="21"/>
        </w:rPr>
        <w:t xml:space="preserve"> </w:t>
      </w:r>
      <w:r>
        <w:rPr>
          <w:rFonts w:hint="eastAsia" w:ascii="微软雅黑" w:hAnsi="微软雅黑" w:eastAsia="微软雅黑" w:cs="微软雅黑"/>
          <w:sz w:val="22"/>
          <w:szCs w:val="22"/>
          <w:lang w:val="en-US" w:eastAsia="zh-CN"/>
        </w:rPr>
        <w:t>贵司</w:t>
      </w:r>
      <w:r>
        <w:rPr>
          <w:rFonts w:hint="eastAsia" w:ascii="微软雅黑" w:hAnsi="微软雅黑" w:eastAsia="微软雅黑" w:cs="微软雅黑"/>
          <w:sz w:val="22"/>
          <w:szCs w:val="22"/>
        </w:rPr>
        <w:t>收到邀请书后，请于</w:t>
      </w:r>
      <w:r>
        <w:rPr>
          <w:rFonts w:hint="eastAsia" w:ascii="微软雅黑" w:hAnsi="微软雅黑" w:eastAsia="微软雅黑" w:cs="微软雅黑"/>
          <w:sz w:val="22"/>
          <w:szCs w:val="22"/>
          <w:u w:val="single"/>
          <w:lang w:val="en-US" w:eastAsia="zh-CN"/>
        </w:rPr>
        <w:t>2024</w:t>
      </w:r>
      <w:r>
        <w:rPr>
          <w:rFonts w:hint="eastAsia" w:ascii="微软雅黑" w:hAnsi="微软雅黑" w:eastAsia="微软雅黑" w:cs="微软雅黑"/>
          <w:sz w:val="22"/>
          <w:szCs w:val="22"/>
        </w:rPr>
        <w:t>年</w:t>
      </w:r>
      <w:r>
        <w:rPr>
          <w:rFonts w:hint="eastAsia" w:ascii="微软雅黑" w:hAnsi="微软雅黑" w:eastAsia="微软雅黑" w:cs="微软雅黑"/>
          <w:sz w:val="22"/>
          <w:szCs w:val="22"/>
          <w:u w:val="single"/>
          <w:lang w:val="en-US" w:eastAsia="zh-CN"/>
        </w:rPr>
        <w:t>8</w:t>
      </w:r>
      <w:r>
        <w:rPr>
          <w:rFonts w:hint="eastAsia" w:ascii="微软雅黑" w:hAnsi="微软雅黑" w:eastAsia="微软雅黑" w:cs="微软雅黑"/>
          <w:sz w:val="22"/>
          <w:szCs w:val="22"/>
        </w:rPr>
        <w:t>月</w:t>
      </w:r>
      <w:r>
        <w:rPr>
          <w:rFonts w:hint="eastAsia" w:ascii="微软雅黑" w:hAnsi="微软雅黑" w:eastAsia="微软雅黑" w:cs="微软雅黑"/>
          <w:sz w:val="22"/>
          <w:szCs w:val="22"/>
          <w:u w:val="single"/>
          <w:lang w:val="en-US" w:eastAsia="zh-CN"/>
        </w:rPr>
        <w:t>16</w:t>
      </w:r>
      <w:r>
        <w:rPr>
          <w:rFonts w:hint="eastAsia" w:ascii="微软雅黑" w:hAnsi="微软雅黑" w:eastAsia="微软雅黑" w:cs="微软雅黑"/>
          <w:sz w:val="22"/>
          <w:szCs w:val="22"/>
        </w:rPr>
        <w:t>日将</w:t>
      </w:r>
      <w:r>
        <w:rPr>
          <w:rFonts w:hint="eastAsia" w:ascii="微软雅黑" w:hAnsi="微软雅黑" w:eastAsia="微软雅黑" w:cs="微软雅黑"/>
          <w:b/>
          <w:sz w:val="22"/>
          <w:szCs w:val="22"/>
          <w:lang w:val="en-US" w:eastAsia="zh-CN"/>
        </w:rPr>
        <w:t>参与确认</w:t>
      </w:r>
      <w:r>
        <w:rPr>
          <w:rFonts w:hint="eastAsia" w:ascii="微软雅黑" w:hAnsi="微软雅黑" w:eastAsia="微软雅黑" w:cs="微软雅黑"/>
          <w:b/>
          <w:sz w:val="22"/>
          <w:szCs w:val="22"/>
          <w:lang w:eastAsia="zh-CN"/>
        </w:rPr>
        <w:t>、</w:t>
      </w:r>
      <w:r>
        <w:rPr>
          <w:rFonts w:hint="eastAsia" w:ascii="微软雅黑" w:hAnsi="微软雅黑" w:eastAsia="微软雅黑" w:cs="微软雅黑"/>
          <w:sz w:val="22"/>
          <w:szCs w:val="22"/>
        </w:rPr>
        <w:t>以邮件方式反馈给招标人商务人员，以确认是否参加投标。在本投标邀请书规定的时间内未表示是否参加或明确表示不参加投标的，不得再参加投标。</w:t>
      </w:r>
    </w:p>
    <w:p>
      <w:pPr>
        <w:pStyle w:val="111"/>
        <w:rPr>
          <w:rFonts w:hint="default" w:ascii="微软雅黑" w:hAnsi="微软雅黑" w:eastAsia="微软雅黑" w:cs="微软雅黑"/>
          <w:b/>
          <w:sz w:val="24"/>
          <w:szCs w:val="24"/>
          <w:lang w:val="en-US"/>
        </w:rPr>
      </w:pPr>
      <w:r>
        <w:rPr>
          <w:rFonts w:hint="eastAsia" w:ascii="微软雅黑" w:hAnsi="微软雅黑" w:eastAsia="微软雅黑" w:cs="微软雅黑"/>
          <w:b/>
          <w:sz w:val="24"/>
          <w:szCs w:val="24"/>
          <w:lang w:val="en-US" w:eastAsia="zh-CN"/>
        </w:rPr>
        <w:t>10</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lang w:val="en-US" w:eastAsia="zh-CN"/>
        </w:rPr>
        <w:t>投标保证金</w:t>
      </w:r>
    </w:p>
    <w:p>
      <w:pPr>
        <w:pStyle w:val="23"/>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textAlignment w:val="auto"/>
        <w:outlineLvl w:val="9"/>
        <w:rPr>
          <w:rFonts w:hint="eastAsia" w:ascii="微软雅黑" w:hAnsi="微软雅黑" w:eastAsia="微软雅黑" w:cs="微软雅黑"/>
          <w:sz w:val="22"/>
          <w:szCs w:val="22"/>
          <w:lang w:val="en-US" w:eastAsia="zh-CN"/>
        </w:rPr>
      </w:pPr>
      <w:r>
        <w:rPr>
          <w:rFonts w:hint="eastAsia" w:ascii="微软雅黑" w:hAnsi="微软雅黑" w:eastAsia="微软雅黑" w:cs="微软雅黑"/>
          <w:color w:val="auto"/>
          <w:kern w:val="2"/>
          <w:sz w:val="22"/>
          <w:szCs w:val="22"/>
          <w:highlight w:val="none"/>
          <w:lang w:val="en-US" w:eastAsia="zh-CN" w:bidi="ar-SA"/>
        </w:rPr>
        <w:t>10.1投标保证金金额：投标保证金</w:t>
      </w:r>
      <w:r>
        <w:rPr>
          <w:rFonts w:hint="eastAsia" w:ascii="微软雅黑" w:hAnsi="微软雅黑" w:eastAsia="微软雅黑" w:cs="微软雅黑"/>
          <w:color w:val="auto"/>
          <w:kern w:val="2"/>
          <w:sz w:val="22"/>
          <w:szCs w:val="22"/>
          <w:highlight w:val="none"/>
          <w:u w:val="single"/>
          <w:lang w:val="en-US" w:eastAsia="zh-CN" w:bidi="ar-SA"/>
        </w:rPr>
        <w:t>5万元</w:t>
      </w:r>
      <w:r>
        <w:rPr>
          <w:rFonts w:hint="eastAsia" w:ascii="微软雅黑" w:hAnsi="微软雅黑" w:eastAsia="微软雅黑" w:cs="微软雅黑"/>
          <w:color w:val="auto"/>
          <w:kern w:val="2"/>
          <w:sz w:val="22"/>
          <w:szCs w:val="22"/>
          <w:highlight w:val="none"/>
          <w:lang w:val="en-US" w:eastAsia="zh-CN" w:bidi="ar-SA"/>
        </w:rPr>
        <w:t>。</w:t>
      </w:r>
      <w:r>
        <w:rPr>
          <w:rFonts w:hint="eastAsia" w:ascii="微软雅黑" w:hAnsi="微软雅黑" w:eastAsia="微软雅黑" w:cs="微软雅黑"/>
          <w:color w:val="auto"/>
          <w:kern w:val="2"/>
          <w:sz w:val="22"/>
          <w:szCs w:val="22"/>
          <w:lang w:val="en-US" w:eastAsia="zh-CN" w:bidi="ar-SA"/>
        </w:rPr>
        <w:t>投标保证金须在</w:t>
      </w:r>
      <w:r>
        <w:rPr>
          <w:rFonts w:hint="eastAsia" w:ascii="微软雅黑" w:hAnsi="微软雅黑" w:eastAsia="微软雅黑" w:cs="微软雅黑"/>
          <w:color w:val="auto"/>
          <w:kern w:val="2"/>
          <w:sz w:val="22"/>
          <w:szCs w:val="22"/>
          <w:u w:val="single"/>
          <w:lang w:val="en-US" w:eastAsia="zh-CN" w:bidi="ar-SA"/>
        </w:rPr>
        <w:t>2024年8月21日</w:t>
      </w:r>
      <w:r>
        <w:rPr>
          <w:rFonts w:hint="eastAsia" w:ascii="微软雅黑" w:hAnsi="微软雅黑" w:eastAsia="微软雅黑" w:cs="微软雅黑"/>
          <w:color w:val="auto"/>
          <w:kern w:val="2"/>
          <w:sz w:val="22"/>
          <w:szCs w:val="22"/>
          <w:lang w:val="en-US" w:eastAsia="zh-CN" w:bidi="ar-SA"/>
        </w:rPr>
        <w:t>前汇入我公司账户并提供相应材料。未按</w:t>
      </w:r>
      <w:r>
        <w:rPr>
          <w:rFonts w:hint="eastAsia" w:ascii="微软雅黑" w:hAnsi="微软雅黑" w:eastAsia="微软雅黑" w:cs="微软雅黑"/>
          <w:sz w:val="22"/>
          <w:szCs w:val="22"/>
        </w:rPr>
        <w:t>规定的时间</w:t>
      </w:r>
      <w:r>
        <w:rPr>
          <w:rFonts w:hint="eastAsia" w:ascii="微软雅黑" w:hAnsi="微软雅黑" w:eastAsia="微软雅黑" w:cs="微软雅黑"/>
          <w:sz w:val="22"/>
          <w:szCs w:val="22"/>
          <w:lang w:val="en-US" w:eastAsia="zh-CN"/>
        </w:rPr>
        <w:t>缴纳保证</w:t>
      </w:r>
      <w:r>
        <w:rPr>
          <w:rFonts w:hint="eastAsia" w:ascii="微软雅黑" w:hAnsi="微软雅黑" w:eastAsia="微软雅黑" w:cs="微软雅黑"/>
          <w:sz w:val="22"/>
          <w:szCs w:val="22"/>
        </w:rPr>
        <w:t>的，不得参加投标。</w:t>
      </w:r>
      <w:r>
        <w:rPr>
          <w:rFonts w:hint="eastAsia" w:ascii="微软雅黑" w:hAnsi="微软雅黑" w:eastAsia="微软雅黑" w:cs="微软雅黑"/>
          <w:sz w:val="22"/>
          <w:szCs w:val="22"/>
          <w:lang w:val="en-US" w:eastAsia="zh-CN"/>
        </w:rPr>
        <w:t>保证金在招标结果确定之后，未中标的单位20个工作日退还，中标的单位在完成第一批货物交付后10个工作日退还。</w:t>
      </w:r>
    </w:p>
    <w:p>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eastAsia" w:ascii="微软雅黑" w:hAnsi="微软雅黑" w:eastAsia="微软雅黑" w:cs="微软雅黑"/>
          <w:b/>
          <w:sz w:val="24"/>
          <w:szCs w:val="24"/>
          <w:highlight w:val="none"/>
        </w:rPr>
      </w:pPr>
      <w:r>
        <w:rPr>
          <w:rFonts w:hint="eastAsia" w:ascii="微软雅黑" w:hAnsi="微软雅黑" w:eastAsia="微软雅黑" w:cs="微软雅黑"/>
          <w:b/>
          <w:sz w:val="24"/>
          <w:szCs w:val="24"/>
          <w:highlight w:val="none"/>
          <w:lang w:val="en-US" w:eastAsia="zh-CN"/>
        </w:rPr>
        <w:t>开户名称：吉利百矿集团有限公司</w:t>
      </w:r>
    </w:p>
    <w:p>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eastAsia" w:ascii="微软雅黑" w:hAnsi="微软雅黑" w:eastAsia="微软雅黑" w:cs="微软雅黑"/>
          <w:b/>
          <w:sz w:val="24"/>
          <w:szCs w:val="24"/>
          <w:highlight w:val="none"/>
        </w:rPr>
      </w:pPr>
      <w:r>
        <w:rPr>
          <w:rFonts w:hint="eastAsia" w:ascii="微软雅黑" w:hAnsi="微软雅黑" w:eastAsia="微软雅黑" w:cs="微软雅黑"/>
          <w:b/>
          <w:sz w:val="24"/>
          <w:szCs w:val="24"/>
          <w:highlight w:val="none"/>
          <w:lang w:val="en-US" w:eastAsia="zh-CN"/>
        </w:rPr>
        <w:t>开户账号：600612010100121983</w:t>
      </w:r>
    </w:p>
    <w:p>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eastAsia" w:ascii="微软雅黑" w:hAnsi="微软雅黑" w:eastAsia="微软雅黑" w:cs="微软雅黑"/>
          <w:b/>
          <w:sz w:val="24"/>
          <w:szCs w:val="24"/>
          <w:highlight w:val="none"/>
        </w:rPr>
      </w:pPr>
      <w:r>
        <w:rPr>
          <w:rFonts w:hint="eastAsia" w:ascii="微软雅黑" w:hAnsi="微软雅黑" w:eastAsia="微软雅黑" w:cs="微软雅黑"/>
          <w:b/>
          <w:sz w:val="24"/>
          <w:szCs w:val="24"/>
          <w:highlight w:val="none"/>
          <w:lang w:val="en-US" w:eastAsia="zh-CN"/>
        </w:rPr>
        <w:t>开户行：广西百色右江农村合作银行</w:t>
      </w:r>
    </w:p>
    <w:p>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eastAsia" w:ascii="微软雅黑" w:hAnsi="微软雅黑" w:eastAsia="微软雅黑" w:cs="微软雅黑"/>
          <w:color w:val="auto"/>
          <w:kern w:val="2"/>
          <w:sz w:val="22"/>
          <w:szCs w:val="22"/>
          <w:lang w:val="en-US" w:eastAsia="zh-CN" w:bidi="ar-SA"/>
        </w:rPr>
      </w:pPr>
      <w:r>
        <w:rPr>
          <w:rFonts w:hint="eastAsia" w:ascii="微软雅黑" w:hAnsi="微软雅黑" w:eastAsia="微软雅黑" w:cs="微软雅黑"/>
          <w:b/>
          <w:sz w:val="24"/>
          <w:szCs w:val="24"/>
          <w:highlight w:val="none"/>
        </w:rPr>
        <w:t>（汇款时备注：</w:t>
      </w:r>
      <w:r>
        <w:rPr>
          <w:rFonts w:hint="eastAsia" w:ascii="微软雅黑" w:hAnsi="微软雅黑" w:eastAsia="微软雅黑" w:cs="微软雅黑"/>
          <w:b/>
          <w:sz w:val="24"/>
          <w:szCs w:val="24"/>
          <w:highlight w:val="none"/>
          <w:lang w:eastAsia="zh-CN"/>
        </w:rPr>
        <w:t>吉利百矿田林铝厂2024年圆柱钢爪头采购项目</w:t>
      </w:r>
      <w:r>
        <w:rPr>
          <w:rFonts w:hint="eastAsia" w:ascii="微软雅黑" w:hAnsi="微软雅黑" w:eastAsia="微软雅黑" w:cs="微软雅黑"/>
          <w:b/>
          <w:sz w:val="24"/>
          <w:szCs w:val="24"/>
          <w:highlight w:val="none"/>
        </w:rPr>
        <w:t>）</w:t>
      </w:r>
      <w:r>
        <w:rPr>
          <w:rFonts w:hint="eastAsia" w:ascii="微软雅黑" w:hAnsi="微软雅黑" w:eastAsia="微软雅黑" w:cs="微软雅黑"/>
          <w:color w:val="auto"/>
          <w:kern w:val="2"/>
          <w:sz w:val="22"/>
          <w:szCs w:val="22"/>
          <w:lang w:val="en-US" w:eastAsia="zh-CN" w:bidi="ar-SA"/>
        </w:rPr>
        <w:br w:type="textWrapping"/>
      </w:r>
      <w:r>
        <w:rPr>
          <w:rFonts w:hint="eastAsia" w:ascii="微软雅黑" w:hAnsi="微软雅黑" w:eastAsia="微软雅黑" w:cs="微软雅黑"/>
          <w:color w:val="auto"/>
          <w:kern w:val="2"/>
          <w:sz w:val="22"/>
          <w:szCs w:val="22"/>
          <w:lang w:val="en-US" w:eastAsia="zh-CN" w:bidi="ar-SA"/>
        </w:rPr>
        <w:t>10.2有下列情形之一的，投标保证金将不予退还：</w:t>
      </w:r>
    </w:p>
    <w:p>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default" w:ascii="微软雅黑" w:hAnsi="微软雅黑" w:eastAsia="微软雅黑" w:cs="微软雅黑"/>
          <w:color w:val="auto"/>
          <w:kern w:val="2"/>
          <w:sz w:val="22"/>
          <w:szCs w:val="22"/>
          <w:lang w:val="en-US" w:eastAsia="zh-CN" w:bidi="ar-SA"/>
        </w:rPr>
      </w:pPr>
      <w:r>
        <w:rPr>
          <w:rFonts w:hint="eastAsia" w:ascii="微软雅黑" w:hAnsi="微软雅黑" w:eastAsia="微软雅黑" w:cs="微软雅黑"/>
          <w:color w:val="auto"/>
          <w:kern w:val="2"/>
          <w:sz w:val="22"/>
          <w:szCs w:val="22"/>
          <w:lang w:val="en-US" w:eastAsia="zh-CN" w:bidi="ar-SA"/>
        </w:rPr>
        <w:t>（1）第一中标候选人若明示或以其他行为不按规定时间签订或拒不签订正式合同的；</w:t>
      </w:r>
      <w:r>
        <w:rPr>
          <w:rFonts w:hint="eastAsia" w:ascii="微软雅黑" w:hAnsi="微软雅黑" w:eastAsia="微软雅黑" w:cs="微软雅黑"/>
          <w:color w:val="auto"/>
          <w:kern w:val="2"/>
          <w:sz w:val="22"/>
          <w:szCs w:val="22"/>
          <w:lang w:val="en-US" w:eastAsia="zh-CN" w:bidi="ar-SA"/>
        </w:rPr>
        <w:br w:type="textWrapping"/>
      </w:r>
      <w:r>
        <w:rPr>
          <w:rFonts w:hint="eastAsia" w:ascii="微软雅黑" w:hAnsi="微软雅黑" w:eastAsia="微软雅黑" w:cs="微软雅黑"/>
          <w:color w:val="auto"/>
          <w:kern w:val="2"/>
          <w:sz w:val="22"/>
          <w:szCs w:val="22"/>
          <w:lang w:val="en-US" w:eastAsia="zh-CN" w:bidi="ar-SA"/>
        </w:rPr>
        <w:t>（2）第一中标候选人若明示或以其他行为不按规定时间提交履约保证金的；</w:t>
      </w:r>
      <w:r>
        <w:rPr>
          <w:rFonts w:hint="eastAsia" w:ascii="微软雅黑" w:hAnsi="微软雅黑" w:eastAsia="微软雅黑" w:cs="微软雅黑"/>
          <w:color w:val="auto"/>
          <w:kern w:val="2"/>
          <w:sz w:val="22"/>
          <w:szCs w:val="22"/>
          <w:lang w:val="en-US" w:eastAsia="zh-CN" w:bidi="ar-SA"/>
        </w:rPr>
        <w:br w:type="textWrapping"/>
      </w:r>
      <w:r>
        <w:rPr>
          <w:rFonts w:hint="eastAsia" w:ascii="微软雅黑" w:hAnsi="微软雅黑" w:eastAsia="微软雅黑" w:cs="微软雅黑"/>
          <w:color w:val="auto"/>
          <w:kern w:val="2"/>
          <w:sz w:val="22"/>
          <w:szCs w:val="22"/>
          <w:lang w:val="en-US" w:eastAsia="zh-CN" w:bidi="ar-SA"/>
        </w:rPr>
        <w:t>（3）第一中标候选人因恶意竞争、经营财务发生较大变化等自身原因要求放弃中标的；</w:t>
      </w:r>
      <w:r>
        <w:rPr>
          <w:rFonts w:hint="eastAsia" w:ascii="微软雅黑" w:hAnsi="微软雅黑" w:eastAsia="微软雅黑" w:cs="微软雅黑"/>
          <w:color w:val="auto"/>
          <w:kern w:val="2"/>
          <w:sz w:val="22"/>
          <w:szCs w:val="22"/>
          <w:lang w:val="en-US" w:eastAsia="zh-CN" w:bidi="ar-SA"/>
        </w:rPr>
        <w:br w:type="textWrapping"/>
      </w:r>
      <w:r>
        <w:rPr>
          <w:rFonts w:hint="eastAsia" w:ascii="微软雅黑" w:hAnsi="微软雅黑" w:eastAsia="微软雅黑" w:cs="微软雅黑"/>
          <w:color w:val="auto"/>
          <w:kern w:val="2"/>
          <w:sz w:val="22"/>
          <w:szCs w:val="22"/>
          <w:lang w:val="en-US" w:eastAsia="zh-CN" w:bidi="ar-SA"/>
        </w:rPr>
        <w:t>（4）投标人存在违法行为获取中标或存在以其他方式弄虚作假行为骗取中标的；</w:t>
      </w:r>
      <w:r>
        <w:rPr>
          <w:rFonts w:hint="eastAsia" w:ascii="微软雅黑" w:hAnsi="微软雅黑" w:eastAsia="微软雅黑" w:cs="微软雅黑"/>
          <w:color w:val="auto"/>
          <w:kern w:val="2"/>
          <w:sz w:val="22"/>
          <w:szCs w:val="22"/>
          <w:lang w:val="en-US" w:eastAsia="zh-CN" w:bidi="ar-SA"/>
        </w:rPr>
        <w:br w:type="textWrapping"/>
      </w:r>
      <w:r>
        <w:rPr>
          <w:rFonts w:hint="eastAsia" w:ascii="微软雅黑" w:hAnsi="微软雅黑" w:eastAsia="微软雅黑" w:cs="微软雅黑"/>
          <w:color w:val="auto"/>
          <w:kern w:val="2"/>
          <w:sz w:val="22"/>
          <w:szCs w:val="22"/>
          <w:lang w:val="en-US" w:eastAsia="zh-CN" w:bidi="ar-SA"/>
        </w:rPr>
        <w:t>（5）投标有效期内投标人撤销投标文件的。</w:t>
      </w:r>
      <w:r>
        <w:rPr>
          <w:rFonts w:hint="eastAsia" w:ascii="微软雅黑" w:hAnsi="微软雅黑" w:eastAsia="微软雅黑" w:cs="微软雅黑"/>
          <w:color w:val="auto"/>
          <w:kern w:val="2"/>
          <w:sz w:val="22"/>
          <w:szCs w:val="22"/>
          <w:lang w:val="en-US" w:eastAsia="zh-CN" w:bidi="ar-SA"/>
        </w:rPr>
        <w:br w:type="textWrapping"/>
      </w:r>
      <w:r>
        <w:rPr>
          <w:rFonts w:hint="eastAsia" w:ascii="微软雅黑" w:hAnsi="微软雅黑" w:eastAsia="微软雅黑" w:cs="微软雅黑"/>
          <w:color w:val="auto"/>
          <w:kern w:val="2"/>
          <w:sz w:val="22"/>
          <w:szCs w:val="22"/>
          <w:lang w:val="en-US" w:eastAsia="zh-CN" w:bidi="ar-SA"/>
        </w:rPr>
        <w:t>10.3若第一预中标人放弃中标资格，招标人将与第二中标候选人签订合同，如果第二中标候选人同样出现9.2规定的情形的，其投标保证金不予退还。</w:t>
      </w:r>
      <w:r>
        <w:rPr>
          <w:rFonts w:hint="eastAsia" w:ascii="微软雅黑" w:hAnsi="微软雅黑" w:eastAsia="微软雅黑" w:cs="微软雅黑"/>
          <w:color w:val="auto"/>
          <w:kern w:val="2"/>
          <w:sz w:val="22"/>
          <w:szCs w:val="22"/>
          <w:lang w:val="en-US" w:eastAsia="zh-CN" w:bidi="ar-SA"/>
        </w:rPr>
        <w:br w:type="textWrapping"/>
      </w:r>
      <w:r>
        <w:rPr>
          <w:rFonts w:hint="eastAsia" w:ascii="微软雅黑" w:hAnsi="微软雅黑" w:eastAsia="微软雅黑" w:cs="微软雅黑"/>
          <w:color w:val="auto"/>
          <w:kern w:val="2"/>
          <w:sz w:val="22"/>
          <w:szCs w:val="22"/>
          <w:lang w:val="en-US" w:eastAsia="zh-CN" w:bidi="ar-SA"/>
        </w:rPr>
        <w:t>10.4投标人如违反招标人纪律要求的，其投标保证金不予退还。</w:t>
      </w:r>
    </w:p>
    <w:p>
      <w:pPr>
        <w:pStyle w:val="111"/>
        <w:numPr>
          <w:ilvl w:val="0"/>
          <w:numId w:val="0"/>
        </w:numPr>
        <w:rPr>
          <w:rFonts w:hint="eastAsia" w:ascii="微软雅黑" w:hAnsi="微软雅黑" w:eastAsia="微软雅黑" w:cs="微软雅黑"/>
          <w:b/>
          <w:sz w:val="24"/>
          <w:szCs w:val="24"/>
        </w:rPr>
      </w:pPr>
      <w:bookmarkStart w:id="7" w:name="_Toc33189461"/>
      <w:r>
        <w:rPr>
          <w:rFonts w:hint="eastAsia" w:ascii="微软雅黑" w:hAnsi="微软雅黑" w:eastAsia="微软雅黑" w:cs="微软雅黑"/>
          <w:b/>
          <w:sz w:val="24"/>
          <w:szCs w:val="24"/>
          <w:lang w:val="en-US" w:eastAsia="zh-CN"/>
        </w:rPr>
        <w:t>11</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lang w:val="en-US" w:eastAsia="zh-CN"/>
        </w:rPr>
        <w:t>报名</w:t>
      </w:r>
      <w:r>
        <w:rPr>
          <w:rFonts w:hint="eastAsia" w:ascii="微软雅黑" w:hAnsi="微软雅黑" w:eastAsia="微软雅黑" w:cs="微软雅黑"/>
          <w:b/>
          <w:sz w:val="24"/>
          <w:szCs w:val="24"/>
        </w:rPr>
        <w:t>联系方式</w:t>
      </w:r>
      <w:bookmarkEnd w:id="7"/>
    </w:p>
    <w:p>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default" w:ascii="微软雅黑" w:hAnsi="微软雅黑" w:eastAsia="微软雅黑" w:cs="微软雅黑"/>
          <w:color w:val="auto"/>
          <w:kern w:val="2"/>
          <w:sz w:val="22"/>
          <w:szCs w:val="22"/>
          <w:lang w:val="en-US" w:eastAsia="zh-CN" w:bidi="ar-SA"/>
        </w:rPr>
      </w:pPr>
      <w:r>
        <w:rPr>
          <w:rFonts w:hint="default" w:ascii="微软雅黑" w:hAnsi="微软雅黑" w:eastAsia="微软雅黑" w:cs="微软雅黑"/>
          <w:color w:val="auto"/>
          <w:kern w:val="2"/>
          <w:sz w:val="22"/>
          <w:szCs w:val="22"/>
          <w:lang w:val="en-US" w:eastAsia="zh-CN" w:bidi="ar-SA"/>
        </w:rPr>
        <w:t>招标人：广西田林百矿铝业有限公司</w:t>
      </w:r>
    </w:p>
    <w:p>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default" w:ascii="微软雅黑" w:hAnsi="微软雅黑" w:eastAsia="微软雅黑" w:cs="微软雅黑"/>
          <w:color w:val="auto"/>
          <w:kern w:val="2"/>
          <w:sz w:val="22"/>
          <w:szCs w:val="22"/>
          <w:lang w:val="en-US" w:eastAsia="zh-CN" w:bidi="ar-SA"/>
        </w:rPr>
      </w:pPr>
      <w:r>
        <w:rPr>
          <w:rFonts w:hint="default" w:ascii="微软雅黑" w:hAnsi="微软雅黑" w:eastAsia="微软雅黑" w:cs="微软雅黑"/>
          <w:color w:val="auto"/>
          <w:kern w:val="2"/>
          <w:sz w:val="22"/>
          <w:szCs w:val="22"/>
          <w:lang w:val="en-US" w:eastAsia="zh-CN" w:bidi="ar-SA"/>
        </w:rPr>
        <w:t>招标组织单位：吉利百矿集团有限公司</w:t>
      </w:r>
    </w:p>
    <w:p>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default" w:ascii="微软雅黑" w:hAnsi="微软雅黑" w:eastAsia="微软雅黑" w:cs="微软雅黑"/>
          <w:color w:val="auto"/>
          <w:kern w:val="2"/>
          <w:sz w:val="22"/>
          <w:szCs w:val="22"/>
          <w:lang w:val="en-US" w:eastAsia="zh-CN" w:bidi="ar-SA"/>
        </w:rPr>
      </w:pPr>
      <w:r>
        <w:rPr>
          <w:rFonts w:hint="default" w:ascii="微软雅黑" w:hAnsi="微软雅黑" w:eastAsia="微软雅黑" w:cs="微软雅黑"/>
          <w:color w:val="auto"/>
          <w:kern w:val="2"/>
          <w:sz w:val="22"/>
          <w:szCs w:val="22"/>
          <w:lang w:val="en-US" w:eastAsia="zh-CN" w:bidi="ar-SA"/>
        </w:rPr>
        <w:t>招标组织单位地址：广西百色市右江区东增路188号利百矿集团有限公司采购中心</w:t>
      </w:r>
    </w:p>
    <w:p>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default" w:ascii="微软雅黑" w:hAnsi="微软雅黑" w:eastAsia="微软雅黑" w:cs="微软雅黑"/>
          <w:color w:val="auto"/>
          <w:kern w:val="2"/>
          <w:sz w:val="22"/>
          <w:szCs w:val="22"/>
          <w:lang w:val="en-US" w:eastAsia="zh-CN" w:bidi="ar-SA"/>
        </w:rPr>
      </w:pPr>
      <w:r>
        <w:rPr>
          <w:rFonts w:hint="default" w:ascii="微软雅黑" w:hAnsi="微软雅黑" w:eastAsia="微软雅黑" w:cs="微软雅黑"/>
          <w:color w:val="auto"/>
          <w:kern w:val="2"/>
          <w:sz w:val="22"/>
          <w:szCs w:val="22"/>
          <w:lang w:val="en-US" w:eastAsia="zh-CN" w:bidi="ar-SA"/>
        </w:rPr>
        <w:t>邮编：533000</w:t>
      </w:r>
    </w:p>
    <w:p>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default" w:ascii="微软雅黑" w:hAnsi="微软雅黑" w:eastAsia="微软雅黑" w:cs="微软雅黑"/>
          <w:color w:val="auto"/>
          <w:kern w:val="2"/>
          <w:sz w:val="22"/>
          <w:szCs w:val="22"/>
          <w:lang w:val="en-US" w:eastAsia="zh-CN" w:bidi="ar-SA"/>
        </w:rPr>
      </w:pPr>
      <w:r>
        <w:rPr>
          <w:rFonts w:hint="default" w:ascii="微软雅黑" w:hAnsi="微软雅黑" w:eastAsia="微软雅黑" w:cs="微软雅黑"/>
          <w:color w:val="auto"/>
          <w:kern w:val="2"/>
          <w:sz w:val="22"/>
          <w:szCs w:val="22"/>
          <w:lang w:val="en-US" w:eastAsia="zh-CN" w:bidi="ar-SA"/>
        </w:rPr>
        <w:t>商务：江昌霖   手机号 18907868898   E-mail:Changlin.Jiang@geely.com</w:t>
      </w:r>
    </w:p>
    <w:p>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default" w:ascii="微软雅黑" w:hAnsi="微软雅黑" w:eastAsia="微软雅黑" w:cs="微软雅黑"/>
          <w:color w:val="auto"/>
          <w:kern w:val="2"/>
          <w:sz w:val="22"/>
          <w:szCs w:val="22"/>
          <w:lang w:val="en-US" w:eastAsia="zh-CN" w:bidi="ar-SA"/>
        </w:rPr>
      </w:pPr>
      <w:r>
        <w:rPr>
          <w:rFonts w:hint="default" w:ascii="微软雅黑" w:hAnsi="微软雅黑" w:eastAsia="微软雅黑" w:cs="微软雅黑"/>
          <w:color w:val="auto"/>
          <w:kern w:val="2"/>
          <w:sz w:val="22"/>
          <w:szCs w:val="22"/>
          <w:lang w:val="en-US" w:eastAsia="zh-CN" w:bidi="ar-SA"/>
        </w:rPr>
        <w:t xml:space="preserve">技术: </w:t>
      </w:r>
      <w:r>
        <w:rPr>
          <w:rFonts w:hint="eastAsia" w:ascii="微软雅黑" w:hAnsi="微软雅黑" w:eastAsia="微软雅黑" w:cs="微软雅黑"/>
          <w:color w:val="auto"/>
          <w:kern w:val="2"/>
          <w:sz w:val="22"/>
          <w:szCs w:val="22"/>
          <w:lang w:val="en-US" w:eastAsia="zh-CN" w:bidi="ar-SA"/>
        </w:rPr>
        <w:t xml:space="preserve"> </w:t>
      </w:r>
      <w:r>
        <w:rPr>
          <w:rFonts w:hint="default" w:ascii="微软雅黑" w:hAnsi="微软雅黑" w:eastAsia="微软雅黑" w:cs="微软雅黑"/>
          <w:color w:val="auto"/>
          <w:kern w:val="2"/>
          <w:sz w:val="22"/>
          <w:szCs w:val="22"/>
          <w:lang w:val="en-US" w:eastAsia="zh-CN" w:bidi="ar-SA"/>
        </w:rPr>
        <w:t xml:space="preserve">梁淞尹  手机号 13407779927   E-mail: Songyin.Liang@geely.com  </w:t>
      </w:r>
    </w:p>
    <w:p>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default" w:ascii="微软雅黑" w:hAnsi="微软雅黑" w:eastAsia="微软雅黑" w:cs="微软雅黑"/>
          <w:color w:val="auto"/>
          <w:kern w:val="2"/>
          <w:sz w:val="22"/>
          <w:szCs w:val="22"/>
          <w:lang w:val="en-US" w:eastAsia="zh-CN" w:bidi="ar-SA"/>
        </w:rPr>
      </w:pPr>
      <w:r>
        <w:rPr>
          <w:rFonts w:hint="default" w:ascii="微软雅黑" w:hAnsi="微软雅黑" w:eastAsia="微软雅黑" w:cs="微软雅黑"/>
          <w:color w:val="auto"/>
          <w:kern w:val="2"/>
          <w:sz w:val="22"/>
          <w:szCs w:val="22"/>
          <w:lang w:val="en-US" w:eastAsia="zh-CN" w:bidi="ar-SA"/>
        </w:rPr>
        <w:t>注：无论投标结果如何，投标人自行承担所有与参加投标活动有关的全部费用。</w:t>
      </w:r>
    </w:p>
    <w:p>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default" w:ascii="微软雅黑" w:hAnsi="微软雅黑" w:eastAsia="微软雅黑" w:cs="微软雅黑"/>
          <w:color w:val="auto"/>
          <w:kern w:val="2"/>
          <w:sz w:val="22"/>
          <w:szCs w:val="22"/>
          <w:lang w:val="en-US" w:eastAsia="zh-CN" w:bidi="ar-SA"/>
        </w:rPr>
      </w:pPr>
      <w:r>
        <w:rPr>
          <w:rFonts w:hint="default" w:ascii="微软雅黑" w:hAnsi="微软雅黑" w:eastAsia="微软雅黑" w:cs="微软雅黑"/>
          <w:color w:val="auto"/>
          <w:kern w:val="2"/>
          <w:sz w:val="22"/>
          <w:szCs w:val="22"/>
          <w:lang w:val="en-US" w:eastAsia="zh-CN" w:bidi="ar-SA"/>
        </w:rPr>
        <w:t>投诉、举报电话：0571-28098168（吉利科技供应链管理部）</w:t>
      </w:r>
    </w:p>
    <w:p>
      <w:pPr>
        <w:keepNext w:val="0"/>
        <w:keepLines w:val="0"/>
        <w:pageBreakBefore w:val="0"/>
        <w:widowControl w:val="0"/>
        <w:kinsoku/>
        <w:wordWrap/>
        <w:overflowPunct/>
        <w:topLinePunct w:val="0"/>
        <w:autoSpaceDE/>
        <w:autoSpaceDN/>
        <w:bidi w:val="0"/>
        <w:adjustRightInd/>
        <w:snapToGrid w:val="0"/>
        <w:spacing w:line="480" w:lineRule="exact"/>
        <w:textAlignment w:val="auto"/>
        <w:rPr>
          <w:rFonts w:hint="default" w:ascii="微软雅黑" w:hAnsi="微软雅黑" w:eastAsia="微软雅黑" w:cs="微软雅黑"/>
          <w:color w:val="auto"/>
          <w:kern w:val="2"/>
          <w:sz w:val="22"/>
          <w:szCs w:val="22"/>
          <w:lang w:val="en-US" w:eastAsia="zh-CN" w:bidi="ar-SA"/>
        </w:rPr>
      </w:pPr>
      <w:r>
        <w:rPr>
          <w:rFonts w:hint="default" w:ascii="微软雅黑" w:hAnsi="微软雅黑" w:eastAsia="微软雅黑" w:cs="微软雅黑"/>
          <w:color w:val="auto"/>
          <w:kern w:val="2"/>
          <w:sz w:val="22"/>
          <w:szCs w:val="22"/>
          <w:lang w:val="en-US" w:eastAsia="zh-CN" w:bidi="ar-SA"/>
        </w:rPr>
        <w:t>举报邮箱：geelytech.bid@geely.com</w:t>
      </w:r>
    </w:p>
    <w:p>
      <w:pPr>
        <w:spacing w:line="400" w:lineRule="exact"/>
        <w:rPr>
          <w:rFonts w:hint="default" w:ascii="微软雅黑" w:hAnsi="微软雅黑" w:eastAsia="微软雅黑" w:cs="微软雅黑"/>
          <w:szCs w:val="21"/>
          <w:lang w:val="en-US" w:eastAsia="zh-CN"/>
        </w:rPr>
      </w:pPr>
    </w:p>
    <w:p>
      <w:pPr>
        <w:pStyle w:val="111"/>
        <w:keepNext/>
        <w:keepLines/>
        <w:pageBreakBefore w:val="0"/>
        <w:widowControl w:val="0"/>
        <w:numPr>
          <w:ilvl w:val="0"/>
          <w:numId w:val="0"/>
        </w:numPr>
        <w:kinsoku/>
        <w:wordWrap/>
        <w:overflowPunct/>
        <w:topLinePunct w:val="0"/>
        <w:autoSpaceDE/>
        <w:autoSpaceDN/>
        <w:bidi w:val="0"/>
        <w:adjustRightInd/>
        <w:snapToGrid/>
        <w:spacing w:before="100" w:after="0" w:line="320" w:lineRule="exact"/>
        <w:ind w:firstLine="440" w:firstLineChars="200"/>
        <w:jc w:val="both"/>
        <w:textAlignment w:val="auto"/>
        <w:outlineLvl w:val="1"/>
        <w:rPr>
          <w:rFonts w:hint="default" w:ascii="微软雅黑" w:hAnsi="微软雅黑" w:eastAsia="微软雅黑" w:cs="微软雅黑"/>
          <w:b w:val="0"/>
          <w:bCs/>
          <w:sz w:val="22"/>
          <w:szCs w:val="22"/>
          <w:u w:val="none"/>
          <w:lang w:val="en-US" w:eastAsia="zh-CN"/>
        </w:rPr>
      </w:pPr>
      <w:r>
        <w:rPr>
          <w:rFonts w:hint="eastAsia" w:ascii="微软雅黑" w:hAnsi="微软雅黑" w:eastAsia="微软雅黑" w:cs="微软雅黑"/>
          <w:b w:val="0"/>
          <w:bCs/>
          <w:sz w:val="22"/>
          <w:szCs w:val="22"/>
          <w:u w:val="none"/>
          <w:lang w:val="en-US" w:eastAsia="zh-CN"/>
        </w:rPr>
        <w:t>附件一：</w:t>
      </w:r>
      <w:r>
        <w:rPr>
          <w:rFonts w:hint="eastAsia" w:ascii="微软雅黑" w:hAnsi="微软雅黑" w:eastAsia="微软雅黑" w:cs="宋体"/>
          <w:color w:val="000000" w:themeColor="text1"/>
          <w:kern w:val="0"/>
          <w:sz w:val="24"/>
          <w:szCs w:val="24"/>
          <w:lang w:val="en-US" w:eastAsia="zh-CN"/>
          <w14:textFill>
            <w14:solidFill>
              <w14:schemeClr w14:val="tx1"/>
            </w14:solidFill>
          </w14:textFill>
        </w:rPr>
        <w:t>吉利百矿田林铝厂2024年圆柱钢爪头采购项目</w:t>
      </w:r>
      <w:r>
        <w:rPr>
          <w:rFonts w:hint="eastAsia" w:ascii="微软雅黑" w:hAnsi="微软雅黑" w:eastAsia="微软雅黑" w:cs="微软雅黑"/>
          <w:b w:val="0"/>
          <w:bCs/>
          <w:sz w:val="22"/>
          <w:szCs w:val="22"/>
          <w:u w:val="none"/>
          <w:lang w:val="en-US" w:eastAsia="zh-CN"/>
        </w:rPr>
        <w:t>报价函</w:t>
      </w:r>
    </w:p>
    <w:p>
      <w:pPr>
        <w:pStyle w:val="111"/>
        <w:keepNext/>
        <w:keepLines/>
        <w:pageBreakBefore w:val="0"/>
        <w:widowControl w:val="0"/>
        <w:numPr>
          <w:ilvl w:val="0"/>
          <w:numId w:val="0"/>
        </w:numPr>
        <w:kinsoku/>
        <w:wordWrap/>
        <w:overflowPunct/>
        <w:topLinePunct w:val="0"/>
        <w:autoSpaceDE/>
        <w:autoSpaceDN/>
        <w:bidi w:val="0"/>
        <w:adjustRightInd/>
        <w:snapToGrid/>
        <w:spacing w:before="100" w:after="0" w:line="320" w:lineRule="exact"/>
        <w:ind w:firstLine="440" w:firstLineChars="200"/>
        <w:jc w:val="both"/>
        <w:textAlignment w:val="auto"/>
        <w:outlineLvl w:val="1"/>
        <w:rPr>
          <w:rFonts w:hint="eastAsia" w:ascii="微软雅黑" w:hAnsi="微软雅黑" w:eastAsia="微软雅黑" w:cs="微软雅黑"/>
          <w:b w:val="0"/>
          <w:bCs/>
          <w:sz w:val="22"/>
          <w:szCs w:val="22"/>
          <w:u w:val="none"/>
          <w:lang w:val="en-US" w:eastAsia="zh-CN"/>
        </w:rPr>
      </w:pPr>
      <w:r>
        <w:rPr>
          <w:rFonts w:hint="eastAsia" w:ascii="微软雅黑" w:hAnsi="微软雅黑" w:eastAsia="微软雅黑" w:cs="微软雅黑"/>
          <w:b w:val="0"/>
          <w:bCs/>
          <w:sz w:val="22"/>
          <w:szCs w:val="22"/>
          <w:u w:val="none"/>
          <w:lang w:val="en-US" w:eastAsia="zh-CN"/>
        </w:rPr>
        <w:t>附件二：参加确认函</w:t>
      </w:r>
    </w:p>
    <w:p>
      <w:pPr>
        <w:pStyle w:val="111"/>
        <w:keepNext/>
        <w:keepLines/>
        <w:pageBreakBefore w:val="0"/>
        <w:widowControl w:val="0"/>
        <w:numPr>
          <w:ilvl w:val="0"/>
          <w:numId w:val="0"/>
        </w:numPr>
        <w:kinsoku/>
        <w:wordWrap/>
        <w:overflowPunct/>
        <w:topLinePunct w:val="0"/>
        <w:autoSpaceDE/>
        <w:autoSpaceDN/>
        <w:bidi w:val="0"/>
        <w:adjustRightInd/>
        <w:snapToGrid/>
        <w:spacing w:before="100" w:after="0" w:line="320" w:lineRule="exact"/>
        <w:ind w:firstLine="440" w:firstLineChars="200"/>
        <w:jc w:val="both"/>
        <w:textAlignment w:val="auto"/>
        <w:outlineLvl w:val="1"/>
        <w:rPr>
          <w:rFonts w:hint="eastAsia" w:ascii="微软雅黑" w:hAnsi="微软雅黑" w:eastAsia="微软雅黑" w:cs="微软雅黑"/>
          <w:b w:val="0"/>
          <w:bCs/>
          <w:sz w:val="22"/>
          <w:szCs w:val="22"/>
          <w:u w:val="none"/>
          <w:lang w:val="en-US" w:eastAsia="zh-CN"/>
        </w:rPr>
      </w:pPr>
      <w:r>
        <w:rPr>
          <w:rFonts w:hint="eastAsia" w:ascii="微软雅黑" w:hAnsi="微软雅黑" w:eastAsia="微软雅黑" w:cs="微软雅黑"/>
          <w:b w:val="0"/>
          <w:bCs/>
          <w:sz w:val="22"/>
          <w:szCs w:val="22"/>
          <w:u w:val="none"/>
          <w:lang w:val="en-US" w:eastAsia="zh-CN"/>
        </w:rPr>
        <w:t>附件三：阳极钢爪头采购技术协议</w:t>
      </w:r>
    </w:p>
    <w:p>
      <w:pPr>
        <w:pStyle w:val="111"/>
        <w:keepNext/>
        <w:keepLines/>
        <w:pageBreakBefore w:val="0"/>
        <w:widowControl w:val="0"/>
        <w:numPr>
          <w:ilvl w:val="0"/>
          <w:numId w:val="0"/>
        </w:numPr>
        <w:kinsoku/>
        <w:wordWrap/>
        <w:overflowPunct/>
        <w:topLinePunct w:val="0"/>
        <w:autoSpaceDE/>
        <w:autoSpaceDN/>
        <w:bidi w:val="0"/>
        <w:adjustRightInd/>
        <w:snapToGrid/>
        <w:spacing w:before="100" w:after="0" w:line="320" w:lineRule="exact"/>
        <w:ind w:firstLine="440" w:firstLineChars="200"/>
        <w:jc w:val="both"/>
        <w:textAlignment w:val="auto"/>
        <w:outlineLvl w:val="1"/>
        <w:rPr>
          <w:rFonts w:hint="eastAsia" w:ascii="微软雅黑" w:hAnsi="微软雅黑" w:eastAsia="微软雅黑" w:cs="微软雅黑"/>
          <w:b w:val="0"/>
          <w:bCs/>
          <w:sz w:val="22"/>
          <w:szCs w:val="22"/>
          <w:u w:val="none"/>
          <w:lang w:val="en-US" w:eastAsia="zh-CN"/>
        </w:rPr>
      </w:pPr>
      <w:r>
        <w:rPr>
          <w:rFonts w:hint="eastAsia" w:ascii="微软雅黑" w:hAnsi="微软雅黑" w:eastAsia="微软雅黑" w:cs="微软雅黑"/>
          <w:b w:val="0"/>
          <w:bCs/>
          <w:sz w:val="22"/>
          <w:szCs w:val="22"/>
          <w:u w:val="none"/>
          <w:lang w:val="en-US" w:eastAsia="zh-CN"/>
        </w:rPr>
        <w:t>附件四：商务/技术偏离表</w:t>
      </w:r>
    </w:p>
    <w:p>
      <w:pPr>
        <w:pStyle w:val="111"/>
        <w:keepNext/>
        <w:keepLines/>
        <w:pageBreakBefore w:val="0"/>
        <w:widowControl w:val="0"/>
        <w:numPr>
          <w:ilvl w:val="0"/>
          <w:numId w:val="0"/>
        </w:numPr>
        <w:kinsoku/>
        <w:wordWrap/>
        <w:overflowPunct/>
        <w:topLinePunct w:val="0"/>
        <w:autoSpaceDE/>
        <w:autoSpaceDN/>
        <w:bidi w:val="0"/>
        <w:adjustRightInd/>
        <w:snapToGrid/>
        <w:spacing w:before="100" w:after="0" w:line="320" w:lineRule="exact"/>
        <w:ind w:firstLine="440" w:firstLineChars="200"/>
        <w:jc w:val="both"/>
        <w:textAlignment w:val="auto"/>
        <w:outlineLvl w:val="1"/>
        <w:rPr>
          <w:rFonts w:hint="eastAsia" w:ascii="微软雅黑" w:hAnsi="微软雅黑" w:eastAsia="微软雅黑" w:cs="微软雅黑"/>
          <w:b w:val="0"/>
          <w:bCs/>
          <w:sz w:val="22"/>
          <w:szCs w:val="22"/>
          <w:u w:val="none"/>
          <w:lang w:val="en-US" w:eastAsia="zh-CN"/>
        </w:rPr>
      </w:pPr>
      <w:r>
        <w:rPr>
          <w:rFonts w:hint="eastAsia" w:ascii="微软雅黑" w:hAnsi="微软雅黑" w:eastAsia="微软雅黑" w:cs="微软雅黑"/>
          <w:b w:val="0"/>
          <w:bCs/>
          <w:sz w:val="22"/>
          <w:szCs w:val="22"/>
          <w:u w:val="none"/>
          <w:lang w:val="en-US" w:eastAsia="zh-CN"/>
        </w:rPr>
        <w:t>附件五：资格证明文件</w:t>
      </w:r>
    </w:p>
    <w:p>
      <w:pPr>
        <w:pStyle w:val="111"/>
        <w:keepNext/>
        <w:keepLines/>
        <w:pageBreakBefore w:val="0"/>
        <w:widowControl w:val="0"/>
        <w:numPr>
          <w:ilvl w:val="0"/>
          <w:numId w:val="0"/>
        </w:numPr>
        <w:kinsoku/>
        <w:wordWrap/>
        <w:overflowPunct/>
        <w:topLinePunct w:val="0"/>
        <w:autoSpaceDE/>
        <w:autoSpaceDN/>
        <w:bidi w:val="0"/>
        <w:adjustRightInd/>
        <w:snapToGrid/>
        <w:spacing w:before="100" w:after="0" w:line="320" w:lineRule="exact"/>
        <w:ind w:firstLine="480" w:firstLineChars="200"/>
        <w:jc w:val="both"/>
        <w:textAlignment w:val="auto"/>
        <w:outlineLvl w:val="1"/>
        <w:rPr>
          <w:rFonts w:hint="eastAsia" w:ascii="微软雅黑" w:hAnsi="微软雅黑" w:eastAsia="微软雅黑" w:cs="微软雅黑"/>
          <w:b w:val="0"/>
          <w:bCs/>
          <w:sz w:val="22"/>
          <w:szCs w:val="22"/>
          <w:u w:val="none"/>
          <w:lang w:val="en-US" w:eastAsia="zh-CN"/>
        </w:rPr>
      </w:pPr>
      <w:r>
        <w:rPr>
          <w:rFonts w:hint="eastAsia" w:ascii="微软雅黑" w:hAnsi="微软雅黑" w:eastAsia="微软雅黑" w:cs="微软雅黑"/>
          <w:color w:val="auto"/>
          <w:kern w:val="0"/>
          <w:sz w:val="24"/>
          <w:szCs w:val="24"/>
          <w:highlight w:val="none"/>
        </w:rPr>
        <w:t>附件六</w:t>
      </w:r>
      <w:r>
        <w:rPr>
          <w:rFonts w:hint="eastAsia" w:ascii="微软雅黑" w:hAnsi="微软雅黑" w:eastAsia="微软雅黑" w:cs="微软雅黑"/>
          <w:color w:val="auto"/>
          <w:kern w:val="0"/>
          <w:sz w:val="24"/>
          <w:szCs w:val="24"/>
          <w:highlight w:val="none"/>
          <w:lang w:eastAsia="zh-CN"/>
        </w:rPr>
        <w:t>：</w:t>
      </w:r>
      <w:r>
        <w:rPr>
          <w:rFonts w:hint="eastAsia" w:ascii="微软雅黑" w:hAnsi="微软雅黑" w:eastAsia="微软雅黑" w:cs="微软雅黑"/>
          <w:color w:val="auto"/>
          <w:kern w:val="0"/>
          <w:sz w:val="24"/>
          <w:szCs w:val="24"/>
          <w:highlight w:val="none"/>
        </w:rPr>
        <w:t>技术评分表</w:t>
      </w:r>
    </w:p>
    <w:p>
      <w:pPr>
        <w:pStyle w:val="111"/>
        <w:keepNext/>
        <w:keepLines/>
        <w:pageBreakBefore w:val="0"/>
        <w:widowControl w:val="0"/>
        <w:numPr>
          <w:ilvl w:val="0"/>
          <w:numId w:val="0"/>
        </w:numPr>
        <w:kinsoku/>
        <w:wordWrap/>
        <w:overflowPunct/>
        <w:topLinePunct w:val="0"/>
        <w:autoSpaceDE/>
        <w:autoSpaceDN/>
        <w:bidi w:val="0"/>
        <w:adjustRightInd/>
        <w:snapToGrid/>
        <w:spacing w:before="100" w:after="0" w:line="320" w:lineRule="exact"/>
        <w:ind w:firstLine="440" w:firstLineChars="200"/>
        <w:jc w:val="both"/>
        <w:textAlignment w:val="auto"/>
        <w:outlineLvl w:val="1"/>
        <w:rPr>
          <w:rFonts w:hint="eastAsia" w:ascii="微软雅黑" w:hAnsi="微软雅黑" w:eastAsia="微软雅黑" w:cs="微软雅黑"/>
          <w:b w:val="0"/>
          <w:bCs/>
          <w:sz w:val="22"/>
          <w:szCs w:val="22"/>
          <w:u w:val="none"/>
          <w:lang w:val="en-US" w:eastAsia="zh-CN"/>
        </w:rPr>
      </w:pPr>
    </w:p>
    <w:p>
      <w:pPr>
        <w:pStyle w:val="2"/>
        <w:ind w:firstLine="4560" w:firstLineChars="1900"/>
        <w:jc w:val="righ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吉利百矿集团有限公司</w:t>
      </w:r>
    </w:p>
    <w:p>
      <w:pPr>
        <w:pStyle w:val="2"/>
        <w:ind w:firstLine="4560" w:firstLineChars="1900"/>
        <w:jc w:val="right"/>
        <w:rPr>
          <w:rFonts w:hint="eastAsia"/>
        </w:rPr>
      </w:pPr>
      <w:r>
        <w:rPr>
          <w:rFonts w:hint="eastAsia" w:ascii="微软雅黑" w:hAnsi="微软雅黑" w:eastAsia="微软雅黑" w:cs="微软雅黑"/>
          <w:szCs w:val="21"/>
          <w:lang w:val="en-US" w:eastAsia="zh-CN"/>
        </w:rPr>
        <w:t>2024年8月9日</w:t>
      </w: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华文细黑">
    <w:altName w:val="微软雅黑"/>
    <w:panose1 w:val="02010600040101010101"/>
    <w:charset w:val="86"/>
    <w:family w:val="auto"/>
    <w:pitch w:val="default"/>
    <w:sig w:usb0="00000000" w:usb1="00000000" w:usb2="00000000" w:usb3="00000000" w:csb0="0004009F" w:csb1="DFD70000"/>
  </w:font>
  <w:font w:name="Microsoft YaHei UI">
    <w:panose1 w:val="020B0503020204020204"/>
    <w:charset w:val="86"/>
    <w:family w:val="swiss"/>
    <w:pitch w:val="default"/>
    <w:sig w:usb0="80000287" w:usb1="2ACF3C50"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jc w:val="center"/>
    </w:pPr>
    <w:r>
      <w:rPr>
        <w:rStyle w:val="93"/>
      </w:rPr>
      <w:fldChar w:fldCharType="begin"/>
    </w:r>
    <w:r>
      <w:rPr>
        <w:rStyle w:val="93"/>
      </w:rPr>
      <w:instrText xml:space="preserve"> PAGE </w:instrText>
    </w:r>
    <w:r>
      <w:rPr>
        <w:rStyle w:val="93"/>
      </w:rPr>
      <w:fldChar w:fldCharType="separate"/>
    </w:r>
    <w:r>
      <w:rPr>
        <w:rStyle w:val="93"/>
      </w:rPr>
      <w:t>1</w:t>
    </w:r>
    <w:r>
      <w:rPr>
        <w:rStyle w:val="93"/>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1CD670"/>
    <w:multiLevelType w:val="singleLevel"/>
    <w:tmpl w:val="AB1CD670"/>
    <w:lvl w:ilvl="0" w:tentative="0">
      <w:start w:val="2"/>
      <w:numFmt w:val="decimal"/>
      <w:suff w:val="space"/>
      <w:lvlText w:val="%1."/>
      <w:lvlJc w:val="left"/>
    </w:lvl>
  </w:abstractNum>
  <w:abstractNum w:abstractNumId="1">
    <w:nsid w:val="BC71E506"/>
    <w:multiLevelType w:val="singleLevel"/>
    <w:tmpl w:val="BC71E506"/>
    <w:lvl w:ilvl="0" w:tentative="0">
      <w:start w:val="8"/>
      <w:numFmt w:val="decimal"/>
      <w:suff w:val="space"/>
      <w:lvlText w:val="%1."/>
      <w:lvlJc w:val="left"/>
    </w:lvl>
  </w:abstractNum>
  <w:abstractNum w:abstractNumId="2">
    <w:nsid w:val="D61FF4E2"/>
    <w:multiLevelType w:val="singleLevel"/>
    <w:tmpl w:val="D61FF4E2"/>
    <w:lvl w:ilvl="0" w:tentative="0">
      <w:start w:val="1"/>
      <w:numFmt w:val="lowerLetter"/>
      <w:lvlText w:val="%1."/>
      <w:lvlJc w:val="left"/>
      <w:pPr>
        <w:ind w:left="425" w:hanging="425"/>
      </w:pPr>
      <w:rPr>
        <w:rFonts w:hint="default"/>
      </w:rPr>
    </w:lvl>
  </w:abstractNum>
  <w:abstractNum w:abstractNumId="3">
    <w:nsid w:val="FFFFFF7C"/>
    <w:multiLevelType w:val="singleLevel"/>
    <w:tmpl w:val="FFFFFF7C"/>
    <w:lvl w:ilvl="0" w:tentative="0">
      <w:start w:val="1"/>
      <w:numFmt w:val="decimal"/>
      <w:pStyle w:val="67"/>
      <w:lvlText w:val="%1."/>
      <w:lvlJc w:val="left"/>
      <w:pPr>
        <w:tabs>
          <w:tab w:val="left" w:pos="2040"/>
        </w:tabs>
        <w:ind w:left="2040" w:leftChars="800" w:hanging="360" w:hangingChars="200"/>
      </w:pPr>
    </w:lvl>
  </w:abstractNum>
  <w:abstractNum w:abstractNumId="4">
    <w:nsid w:val="FFFFFF7D"/>
    <w:multiLevelType w:val="singleLevel"/>
    <w:tmpl w:val="FFFFFF7D"/>
    <w:lvl w:ilvl="0" w:tentative="0">
      <w:start w:val="1"/>
      <w:numFmt w:val="decimal"/>
      <w:pStyle w:val="49"/>
      <w:lvlText w:val="%1."/>
      <w:lvlJc w:val="left"/>
      <w:pPr>
        <w:tabs>
          <w:tab w:val="left" w:pos="1620"/>
        </w:tabs>
        <w:ind w:left="1620" w:leftChars="600" w:hanging="360" w:hangingChars="200"/>
      </w:pPr>
    </w:lvl>
  </w:abstractNum>
  <w:abstractNum w:abstractNumId="5">
    <w:nsid w:val="FFFFFF7E"/>
    <w:multiLevelType w:val="singleLevel"/>
    <w:tmpl w:val="FFFFFF7E"/>
    <w:lvl w:ilvl="0" w:tentative="0">
      <w:start w:val="1"/>
      <w:numFmt w:val="decimal"/>
      <w:pStyle w:val="38"/>
      <w:lvlText w:val="%1."/>
      <w:lvlJc w:val="left"/>
      <w:pPr>
        <w:tabs>
          <w:tab w:val="left" w:pos="1200"/>
        </w:tabs>
        <w:ind w:left="1200" w:leftChars="400" w:hanging="360" w:hangingChars="200"/>
      </w:pPr>
    </w:lvl>
  </w:abstractNum>
  <w:abstractNum w:abstractNumId="6">
    <w:nsid w:val="FFFFFF7F"/>
    <w:multiLevelType w:val="singleLevel"/>
    <w:tmpl w:val="FFFFFF7F"/>
    <w:lvl w:ilvl="0" w:tentative="0">
      <w:start w:val="1"/>
      <w:numFmt w:val="decimal"/>
      <w:pStyle w:val="16"/>
      <w:lvlText w:val="%1."/>
      <w:lvlJc w:val="left"/>
      <w:pPr>
        <w:tabs>
          <w:tab w:val="left" w:pos="780"/>
        </w:tabs>
        <w:ind w:left="780" w:leftChars="200" w:hanging="360" w:hangingChars="200"/>
      </w:pPr>
    </w:lvl>
  </w:abstractNum>
  <w:abstractNum w:abstractNumId="7">
    <w:nsid w:val="FFFFFF80"/>
    <w:multiLevelType w:val="singleLevel"/>
    <w:tmpl w:val="FFFFFF80"/>
    <w:lvl w:ilvl="0" w:tentative="0">
      <w:start w:val="1"/>
      <w:numFmt w:val="bullet"/>
      <w:pStyle w:val="48"/>
      <w:lvlText w:val=""/>
      <w:lvlJc w:val="left"/>
      <w:pPr>
        <w:tabs>
          <w:tab w:val="left" w:pos="2040"/>
        </w:tabs>
        <w:ind w:left="2040" w:leftChars="800" w:hanging="360" w:hangingChars="200"/>
      </w:pPr>
      <w:rPr>
        <w:rFonts w:hint="default" w:ascii="Wingdings" w:hAnsi="Wingdings"/>
      </w:rPr>
    </w:lvl>
  </w:abstractNum>
  <w:abstractNum w:abstractNumId="8">
    <w:nsid w:val="FFFFFF81"/>
    <w:multiLevelType w:val="singleLevel"/>
    <w:tmpl w:val="FFFFFF81"/>
    <w:lvl w:ilvl="0" w:tentative="0">
      <w:start w:val="1"/>
      <w:numFmt w:val="bullet"/>
      <w:pStyle w:val="19"/>
      <w:lvlText w:val=""/>
      <w:lvlJc w:val="left"/>
      <w:pPr>
        <w:tabs>
          <w:tab w:val="left" w:pos="1620"/>
        </w:tabs>
        <w:ind w:left="1620" w:leftChars="600" w:hanging="360" w:hangingChars="200"/>
      </w:pPr>
      <w:rPr>
        <w:rFonts w:hint="default" w:ascii="Wingdings" w:hAnsi="Wingdings"/>
      </w:rPr>
    </w:lvl>
  </w:abstractNum>
  <w:abstractNum w:abstractNumId="9">
    <w:nsid w:val="FFFFFF82"/>
    <w:multiLevelType w:val="singleLevel"/>
    <w:tmpl w:val="FFFFFF82"/>
    <w:lvl w:ilvl="0" w:tentative="0">
      <w:start w:val="1"/>
      <w:numFmt w:val="bullet"/>
      <w:pStyle w:val="35"/>
      <w:lvlText w:val=""/>
      <w:lvlJc w:val="left"/>
      <w:pPr>
        <w:tabs>
          <w:tab w:val="left" w:pos="1200"/>
        </w:tabs>
        <w:ind w:left="1200" w:leftChars="400" w:hanging="360" w:hangingChars="200"/>
      </w:pPr>
      <w:rPr>
        <w:rFonts w:hint="default" w:ascii="Wingdings" w:hAnsi="Wingdings"/>
      </w:rPr>
    </w:lvl>
  </w:abstractNum>
  <w:abstractNum w:abstractNumId="10">
    <w:nsid w:val="FFFFFF83"/>
    <w:multiLevelType w:val="singleLevel"/>
    <w:tmpl w:val="FFFFFF83"/>
    <w:lvl w:ilvl="0" w:tentative="0">
      <w:start w:val="1"/>
      <w:numFmt w:val="bullet"/>
      <w:pStyle w:val="42"/>
      <w:lvlText w:val=""/>
      <w:lvlJc w:val="left"/>
      <w:pPr>
        <w:tabs>
          <w:tab w:val="left" w:pos="780"/>
        </w:tabs>
        <w:ind w:left="780" w:leftChars="200" w:hanging="360" w:hangingChars="200"/>
      </w:pPr>
      <w:rPr>
        <w:rFonts w:hint="default" w:ascii="Wingdings" w:hAnsi="Wingdings"/>
      </w:rPr>
    </w:lvl>
  </w:abstractNum>
  <w:abstractNum w:abstractNumId="11">
    <w:nsid w:val="FFFFFF88"/>
    <w:multiLevelType w:val="singleLevel"/>
    <w:tmpl w:val="FFFFFF88"/>
    <w:lvl w:ilvl="0" w:tentative="0">
      <w:start w:val="1"/>
      <w:numFmt w:val="decimal"/>
      <w:pStyle w:val="22"/>
      <w:lvlText w:val="%1."/>
      <w:lvlJc w:val="left"/>
      <w:pPr>
        <w:tabs>
          <w:tab w:val="left" w:pos="360"/>
        </w:tabs>
        <w:ind w:left="360" w:hanging="360" w:hangingChars="200"/>
      </w:pPr>
    </w:lvl>
  </w:abstractNum>
  <w:abstractNum w:abstractNumId="12">
    <w:nsid w:val="FFFFFF89"/>
    <w:multiLevelType w:val="singleLevel"/>
    <w:tmpl w:val="FFFFFF89"/>
    <w:lvl w:ilvl="0" w:tentative="0">
      <w:start w:val="1"/>
      <w:numFmt w:val="bullet"/>
      <w:pStyle w:val="26"/>
      <w:lvlText w:val=""/>
      <w:lvlJc w:val="left"/>
      <w:pPr>
        <w:tabs>
          <w:tab w:val="left" w:pos="360"/>
        </w:tabs>
        <w:ind w:left="360" w:hanging="360" w:hangingChars="200"/>
      </w:pPr>
      <w:rPr>
        <w:rFonts w:hint="default" w:ascii="Wingdings" w:hAnsi="Wingdings"/>
      </w:r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10"/>
  </w:num>
  <w:num w:numId="8">
    <w:abstractNumId w:val="7"/>
  </w:num>
  <w:num w:numId="9">
    <w:abstractNumId w:val="4"/>
  </w:num>
  <w:num w:numId="10">
    <w:abstractNumId w:val="3"/>
  </w:num>
  <w:num w:numId="11">
    <w:abstractNumId w:val="0"/>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I4YzUzNDE2MGQ2YmNhZTE5ODFhODg5YzNjODM0ZGYifQ=="/>
  </w:docVars>
  <w:rsids>
    <w:rsidRoot w:val="00542476"/>
    <w:rsid w:val="000166B3"/>
    <w:rsid w:val="00034A6C"/>
    <w:rsid w:val="0005453C"/>
    <w:rsid w:val="00063F20"/>
    <w:rsid w:val="0007726A"/>
    <w:rsid w:val="00080C5F"/>
    <w:rsid w:val="000A6B4D"/>
    <w:rsid w:val="000C0923"/>
    <w:rsid w:val="000C0D2C"/>
    <w:rsid w:val="000E7E25"/>
    <w:rsid w:val="00113C49"/>
    <w:rsid w:val="001301D1"/>
    <w:rsid w:val="00156912"/>
    <w:rsid w:val="0017138E"/>
    <w:rsid w:val="00186439"/>
    <w:rsid w:val="001935C7"/>
    <w:rsid w:val="001B600F"/>
    <w:rsid w:val="001F2B11"/>
    <w:rsid w:val="001F56E7"/>
    <w:rsid w:val="001F6C22"/>
    <w:rsid w:val="002461AD"/>
    <w:rsid w:val="002921F7"/>
    <w:rsid w:val="002A56F7"/>
    <w:rsid w:val="002E547A"/>
    <w:rsid w:val="002F083B"/>
    <w:rsid w:val="00315D0E"/>
    <w:rsid w:val="00326015"/>
    <w:rsid w:val="003356EF"/>
    <w:rsid w:val="00350E50"/>
    <w:rsid w:val="00382AE6"/>
    <w:rsid w:val="00382C3A"/>
    <w:rsid w:val="003D142B"/>
    <w:rsid w:val="003F406F"/>
    <w:rsid w:val="00406D7D"/>
    <w:rsid w:val="004342A0"/>
    <w:rsid w:val="00460BAE"/>
    <w:rsid w:val="00467138"/>
    <w:rsid w:val="00474F0F"/>
    <w:rsid w:val="00482EB4"/>
    <w:rsid w:val="00484B3D"/>
    <w:rsid w:val="004A1644"/>
    <w:rsid w:val="004A6400"/>
    <w:rsid w:val="004B36BB"/>
    <w:rsid w:val="004E6068"/>
    <w:rsid w:val="004F0EF6"/>
    <w:rsid w:val="004F4E16"/>
    <w:rsid w:val="004F70CB"/>
    <w:rsid w:val="00507E86"/>
    <w:rsid w:val="00512942"/>
    <w:rsid w:val="005200E3"/>
    <w:rsid w:val="00542476"/>
    <w:rsid w:val="0054496B"/>
    <w:rsid w:val="00544C66"/>
    <w:rsid w:val="00552A3E"/>
    <w:rsid w:val="00564FE1"/>
    <w:rsid w:val="005846A6"/>
    <w:rsid w:val="00593CC0"/>
    <w:rsid w:val="00597437"/>
    <w:rsid w:val="005A3117"/>
    <w:rsid w:val="005B0AC1"/>
    <w:rsid w:val="005B2F4B"/>
    <w:rsid w:val="005C1A7A"/>
    <w:rsid w:val="005C4155"/>
    <w:rsid w:val="005E2746"/>
    <w:rsid w:val="005E7105"/>
    <w:rsid w:val="005F536A"/>
    <w:rsid w:val="0060511F"/>
    <w:rsid w:val="006106AD"/>
    <w:rsid w:val="006106EB"/>
    <w:rsid w:val="00632141"/>
    <w:rsid w:val="0063544A"/>
    <w:rsid w:val="00640F67"/>
    <w:rsid w:val="0065245C"/>
    <w:rsid w:val="0065760C"/>
    <w:rsid w:val="006A2279"/>
    <w:rsid w:val="006A78F8"/>
    <w:rsid w:val="006B0408"/>
    <w:rsid w:val="006B1236"/>
    <w:rsid w:val="006B7585"/>
    <w:rsid w:val="006C5AE7"/>
    <w:rsid w:val="006C659E"/>
    <w:rsid w:val="006F3041"/>
    <w:rsid w:val="006F3487"/>
    <w:rsid w:val="006F50C7"/>
    <w:rsid w:val="006F7872"/>
    <w:rsid w:val="00706E27"/>
    <w:rsid w:val="007432B3"/>
    <w:rsid w:val="007436B9"/>
    <w:rsid w:val="007A7E6E"/>
    <w:rsid w:val="007B7DC5"/>
    <w:rsid w:val="007C07A4"/>
    <w:rsid w:val="007E1814"/>
    <w:rsid w:val="007E48E9"/>
    <w:rsid w:val="0082553C"/>
    <w:rsid w:val="0085749E"/>
    <w:rsid w:val="0086362A"/>
    <w:rsid w:val="008A210B"/>
    <w:rsid w:val="008C5376"/>
    <w:rsid w:val="00907CC5"/>
    <w:rsid w:val="00910142"/>
    <w:rsid w:val="009112D1"/>
    <w:rsid w:val="0092275E"/>
    <w:rsid w:val="00931ACC"/>
    <w:rsid w:val="00941C2A"/>
    <w:rsid w:val="009631E3"/>
    <w:rsid w:val="009704CA"/>
    <w:rsid w:val="00993EEA"/>
    <w:rsid w:val="009965F3"/>
    <w:rsid w:val="009A07AB"/>
    <w:rsid w:val="009E3EF9"/>
    <w:rsid w:val="009F42C8"/>
    <w:rsid w:val="00A1240B"/>
    <w:rsid w:val="00A15635"/>
    <w:rsid w:val="00A209F2"/>
    <w:rsid w:val="00A20FD7"/>
    <w:rsid w:val="00A334A0"/>
    <w:rsid w:val="00A5488A"/>
    <w:rsid w:val="00A65A54"/>
    <w:rsid w:val="00A87612"/>
    <w:rsid w:val="00A945CE"/>
    <w:rsid w:val="00AB275B"/>
    <w:rsid w:val="00AC145A"/>
    <w:rsid w:val="00AC3D21"/>
    <w:rsid w:val="00AE6767"/>
    <w:rsid w:val="00B22EA1"/>
    <w:rsid w:val="00B251FC"/>
    <w:rsid w:val="00B73C2D"/>
    <w:rsid w:val="00B838C7"/>
    <w:rsid w:val="00B9033E"/>
    <w:rsid w:val="00BA5C58"/>
    <w:rsid w:val="00BD66E9"/>
    <w:rsid w:val="00BF211A"/>
    <w:rsid w:val="00BF2CD3"/>
    <w:rsid w:val="00C05F55"/>
    <w:rsid w:val="00C1161A"/>
    <w:rsid w:val="00C35354"/>
    <w:rsid w:val="00C92613"/>
    <w:rsid w:val="00C92E5C"/>
    <w:rsid w:val="00CB1B17"/>
    <w:rsid w:val="00CC2A2E"/>
    <w:rsid w:val="00CD330E"/>
    <w:rsid w:val="00CE193B"/>
    <w:rsid w:val="00CF30D2"/>
    <w:rsid w:val="00D142EA"/>
    <w:rsid w:val="00D27C62"/>
    <w:rsid w:val="00D27D94"/>
    <w:rsid w:val="00D31F55"/>
    <w:rsid w:val="00D561C5"/>
    <w:rsid w:val="00D67604"/>
    <w:rsid w:val="00D754C0"/>
    <w:rsid w:val="00DB6201"/>
    <w:rsid w:val="00DD0143"/>
    <w:rsid w:val="00E03FB3"/>
    <w:rsid w:val="00E05293"/>
    <w:rsid w:val="00E358F4"/>
    <w:rsid w:val="00E6297B"/>
    <w:rsid w:val="00E74E75"/>
    <w:rsid w:val="00E93F05"/>
    <w:rsid w:val="00EB33A8"/>
    <w:rsid w:val="00EC246D"/>
    <w:rsid w:val="00ED355F"/>
    <w:rsid w:val="00EE4D56"/>
    <w:rsid w:val="00EF73BA"/>
    <w:rsid w:val="00F014BD"/>
    <w:rsid w:val="00F0442A"/>
    <w:rsid w:val="00F12E0F"/>
    <w:rsid w:val="00F17823"/>
    <w:rsid w:val="00F25E24"/>
    <w:rsid w:val="00F43CC4"/>
    <w:rsid w:val="00F44633"/>
    <w:rsid w:val="00F53CB0"/>
    <w:rsid w:val="00F63DFD"/>
    <w:rsid w:val="00F6464A"/>
    <w:rsid w:val="00F7175B"/>
    <w:rsid w:val="00F83D44"/>
    <w:rsid w:val="00FA68D1"/>
    <w:rsid w:val="00FC5797"/>
    <w:rsid w:val="00FE2012"/>
    <w:rsid w:val="00FF4A20"/>
    <w:rsid w:val="00FF5BEA"/>
    <w:rsid w:val="07C23630"/>
    <w:rsid w:val="08956104"/>
    <w:rsid w:val="0A4A6139"/>
    <w:rsid w:val="0ACD38EF"/>
    <w:rsid w:val="0D207F12"/>
    <w:rsid w:val="0E9B0D30"/>
    <w:rsid w:val="0F1C2B71"/>
    <w:rsid w:val="0F916077"/>
    <w:rsid w:val="12152500"/>
    <w:rsid w:val="13360672"/>
    <w:rsid w:val="136C3083"/>
    <w:rsid w:val="13E277B8"/>
    <w:rsid w:val="16712EF3"/>
    <w:rsid w:val="19145D4E"/>
    <w:rsid w:val="19F86700"/>
    <w:rsid w:val="1BBB72A7"/>
    <w:rsid w:val="1C50267A"/>
    <w:rsid w:val="1CEE3FE3"/>
    <w:rsid w:val="1D8C348D"/>
    <w:rsid w:val="1DB35742"/>
    <w:rsid w:val="1FD537B9"/>
    <w:rsid w:val="205964F6"/>
    <w:rsid w:val="207B4BC4"/>
    <w:rsid w:val="213D39D3"/>
    <w:rsid w:val="21900E97"/>
    <w:rsid w:val="232B6202"/>
    <w:rsid w:val="23546396"/>
    <w:rsid w:val="23CE570B"/>
    <w:rsid w:val="257A0B3F"/>
    <w:rsid w:val="27B84D6C"/>
    <w:rsid w:val="28911643"/>
    <w:rsid w:val="29702766"/>
    <w:rsid w:val="29E74982"/>
    <w:rsid w:val="2A7B2827"/>
    <w:rsid w:val="2B787786"/>
    <w:rsid w:val="2C633277"/>
    <w:rsid w:val="2E98264D"/>
    <w:rsid w:val="2F401205"/>
    <w:rsid w:val="30006B70"/>
    <w:rsid w:val="32395378"/>
    <w:rsid w:val="328517E3"/>
    <w:rsid w:val="332973CD"/>
    <w:rsid w:val="34DC6710"/>
    <w:rsid w:val="36CB32BE"/>
    <w:rsid w:val="38985EA4"/>
    <w:rsid w:val="391576CB"/>
    <w:rsid w:val="3B764E04"/>
    <w:rsid w:val="3BA92BBA"/>
    <w:rsid w:val="434E2380"/>
    <w:rsid w:val="43BE1126"/>
    <w:rsid w:val="44E43F86"/>
    <w:rsid w:val="455340E3"/>
    <w:rsid w:val="45AB749A"/>
    <w:rsid w:val="45DC0E0E"/>
    <w:rsid w:val="47524AFB"/>
    <w:rsid w:val="47DE680B"/>
    <w:rsid w:val="486907EA"/>
    <w:rsid w:val="49757170"/>
    <w:rsid w:val="4997492D"/>
    <w:rsid w:val="4A407EA2"/>
    <w:rsid w:val="4A6772AF"/>
    <w:rsid w:val="50767232"/>
    <w:rsid w:val="52623C5C"/>
    <w:rsid w:val="53FD4AB7"/>
    <w:rsid w:val="54252581"/>
    <w:rsid w:val="5482097D"/>
    <w:rsid w:val="54CD1EE8"/>
    <w:rsid w:val="55457401"/>
    <w:rsid w:val="563C2499"/>
    <w:rsid w:val="565E1151"/>
    <w:rsid w:val="58D84F8B"/>
    <w:rsid w:val="59271254"/>
    <w:rsid w:val="59CB68F8"/>
    <w:rsid w:val="59CC1AD4"/>
    <w:rsid w:val="5AF57CBF"/>
    <w:rsid w:val="5BCC5075"/>
    <w:rsid w:val="5CDF66C0"/>
    <w:rsid w:val="5D580A2E"/>
    <w:rsid w:val="5D6D4A67"/>
    <w:rsid w:val="5D8E44F5"/>
    <w:rsid w:val="5E6F47BF"/>
    <w:rsid w:val="5E71319A"/>
    <w:rsid w:val="5F8B7DCF"/>
    <w:rsid w:val="5F981853"/>
    <w:rsid w:val="61050D6C"/>
    <w:rsid w:val="61560BC3"/>
    <w:rsid w:val="61BA0143"/>
    <w:rsid w:val="625D2894"/>
    <w:rsid w:val="63B063C6"/>
    <w:rsid w:val="670236C4"/>
    <w:rsid w:val="677A00C4"/>
    <w:rsid w:val="68671A32"/>
    <w:rsid w:val="688F16CB"/>
    <w:rsid w:val="6B894EF1"/>
    <w:rsid w:val="6BD70D79"/>
    <w:rsid w:val="6D166ED7"/>
    <w:rsid w:val="6E4908AE"/>
    <w:rsid w:val="6EB61730"/>
    <w:rsid w:val="6F0967F6"/>
    <w:rsid w:val="706220BB"/>
    <w:rsid w:val="71695998"/>
    <w:rsid w:val="72F06AF8"/>
    <w:rsid w:val="753F5DD9"/>
    <w:rsid w:val="75B85C5E"/>
    <w:rsid w:val="77E86EA5"/>
    <w:rsid w:val="7B2447E2"/>
    <w:rsid w:val="7B3D06D4"/>
    <w:rsid w:val="7BA8314C"/>
    <w:rsid w:val="7BBB427E"/>
    <w:rsid w:val="7D13768D"/>
    <w:rsid w:val="7D40411F"/>
    <w:rsid w:val="7FD50F38"/>
    <w:rsid w:val="7FEC7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name="index 1"/>
    <w:lsdException w:qFormat="1" w:uiPriority="99" w:semiHidden="0" w:name="index 2"/>
    <w:lsdException w:qFormat="1" w:uiPriority="99" w:semiHidden="0" w:name="index 3"/>
    <w:lsdException w:qFormat="1" w:uiPriority="99" w:semiHidden="0" w:name="index 4"/>
    <w:lsdException w:qFormat="1" w:uiPriority="99" w:semiHidden="0" w:name="index 5"/>
    <w:lsdException w:qFormat="1" w:uiPriority="99" w:semiHidden="0" w:name="index 6"/>
    <w:lsdException w:qFormat="1" w:uiPriority="99" w:semiHidden="0" w:name="index 7"/>
    <w:lsdException w:qFormat="1" w:uiPriority="99" w:semiHidden="0" w:name="index 8"/>
    <w:lsdException w:qFormat="1"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iPriority="35" w:name="caption"/>
    <w:lsdException w:qFormat="1" w:uiPriority="99" w:semiHidden="0" w:name="table of figures"/>
    <w:lsdException w:qFormat="1" w:uiPriority="99" w:semiHidden="0" w:name="envelope address"/>
    <w:lsdException w:qFormat="1"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qFormat="1" w:uiPriority="99" w:semiHidden="0" w:name="endnote text"/>
    <w:lsdException w:qFormat="1" w:uiPriority="99" w:semiHidden="0" w:name="table of authorities"/>
    <w:lsdException w:qFormat="1" w:uiPriority="99" w:semiHidden="0" w:name="macro"/>
    <w:lsdException w:qFormat="1" w:uiPriority="99" w:semiHidden="0"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qFormat="1" w:uiPriority="99" w:semiHidden="0" w:name="List 4"/>
    <w:lsdException w:qFormat="1" w:uiPriority="99" w:semiHidden="0" w:name="List 5"/>
    <w:lsdException w:qFormat="1" w:uiPriority="99" w:semiHidden="0" w:name="List Bullet 2"/>
    <w:lsdException w:qFormat="1" w:uiPriority="99" w:semiHidden="0" w:name="List Bullet 3"/>
    <w:lsdException w:qFormat="1" w:uiPriority="99" w:semiHidden="0" w:name="List Bullet 4"/>
    <w:lsdException w:qFormat="1" w:uiPriority="99" w:semiHidden="0" w:name="List Bullet 5"/>
    <w:lsdException w:qFormat="1" w:uiPriority="99"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10" w:semiHidden="0" w:name="Title"/>
    <w:lsdException w:qFormat="1" w:uiPriority="99" w:semiHidden="0" w:name="Closing"/>
    <w:lsdException w:qFormat="1" w:uiPriority="99"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qFormat="1" w:uiPriority="99" w:semiHidden="0" w:name="List Continue 2"/>
    <w:lsdException w:qFormat="1" w:uiPriority="99" w:semiHidden="0" w:name="List Continue 3"/>
    <w:lsdException w:qFormat="1" w:uiPriority="99" w:semiHidden="0" w:name="List Continue 4"/>
    <w:lsdException w:qFormat="1" w:uiPriority="99" w:semiHidden="0" w:name="List Continue 5"/>
    <w:lsdException w:qFormat="1" w:uiPriority="99" w:semiHidden="0" w:name="Message Header"/>
    <w:lsdException w:qFormat="1" w:unhideWhenUsed="0" w:uiPriority="11" w:semiHidden="0" w:name="Subtitle"/>
    <w:lsdException w:qFormat="1" w:uiPriority="99" w:semiHidden="0" w:name="Salutation"/>
    <w:lsdException w:qFormat="1" w:unhideWhenUsed="0" w:uiPriority="0" w:semiHidden="0" w:name="Date"/>
    <w:lsdException w:qFormat="1" w:uiPriority="99" w:semiHidden="0" w:name="Body Text First Indent"/>
    <w:lsdException w:qFormat="1" w:uiPriority="99" w:semiHidden="0" w:name="Body Text First Indent 2"/>
    <w:lsdException w:qFormat="1" w:uiPriority="99" w:semiHidden="0" w:name="Note Heading"/>
    <w:lsdException w:qFormat="1" w:uiPriority="99" w:semiHidden="0" w:name="Body Text 2"/>
    <w:lsdException w:qFormat="1" w:unhideWhenUsed="0" w:uiPriority="0" w:semiHidden="0" w:name="Body Text 3"/>
    <w:lsdException w:qFormat="1" w:uiPriority="0" w:semiHidden="0" w:name="Body Text Indent 2"/>
    <w:lsdException w:qFormat="1" w:unhideWhenUsed="0" w:uiPriority="99"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nhideWhenUsed="0" w:uiPriority="0" w:semiHidden="0" w:name="Plain Text"/>
    <w:lsdException w:qFormat="1" w:uiPriority="99" w:semiHidden="0" w:name="E-mail Signature"/>
    <w:lsdException w:qFormat="1" w:unhideWhenUsed="0" w:uiPriority="0" w:semiHidden="0" w:name="Normal (Web)"/>
    <w:lsdException w:uiPriority="99" w:name="HTML Acronym"/>
    <w:lsdException w:qFormat="1" w:uiPriority="99" w:semiHidden="0"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130"/>
    <w:qFormat/>
    <w:uiPriority w:val="0"/>
    <w:pPr>
      <w:keepNext/>
      <w:keepLines/>
      <w:spacing w:before="340" w:after="330" w:line="578" w:lineRule="auto"/>
      <w:outlineLvl w:val="0"/>
    </w:pPr>
    <w:rPr>
      <w:b/>
      <w:bCs/>
      <w:kern w:val="44"/>
      <w:sz w:val="44"/>
      <w:szCs w:val="44"/>
    </w:rPr>
  </w:style>
  <w:style w:type="paragraph" w:styleId="6">
    <w:name w:val="heading 2"/>
    <w:basedOn w:val="1"/>
    <w:next w:val="1"/>
    <w:link w:val="99"/>
    <w:qFormat/>
    <w:uiPriority w:val="9"/>
    <w:pPr>
      <w:keepNext/>
      <w:keepLines/>
      <w:spacing w:before="260" w:after="260" w:line="416" w:lineRule="auto"/>
      <w:outlineLvl w:val="1"/>
    </w:pPr>
    <w:rPr>
      <w:rFonts w:ascii="Arial" w:hAnsi="Arial" w:eastAsia="黑体"/>
      <w:b/>
      <w:bCs/>
      <w:sz w:val="32"/>
      <w:szCs w:val="32"/>
    </w:rPr>
  </w:style>
  <w:style w:type="paragraph" w:styleId="7">
    <w:name w:val="heading 3"/>
    <w:basedOn w:val="1"/>
    <w:next w:val="1"/>
    <w:link w:val="152"/>
    <w:qFormat/>
    <w:uiPriority w:val="9"/>
    <w:pPr>
      <w:keepNext/>
      <w:keepLines/>
      <w:spacing w:before="260" w:after="260" w:line="416" w:lineRule="auto"/>
      <w:outlineLvl w:val="2"/>
    </w:pPr>
    <w:rPr>
      <w:b/>
      <w:bCs/>
      <w:sz w:val="32"/>
      <w:szCs w:val="32"/>
    </w:rPr>
  </w:style>
  <w:style w:type="paragraph" w:styleId="8">
    <w:name w:val="heading 4"/>
    <w:basedOn w:val="1"/>
    <w:next w:val="1"/>
    <w:link w:val="153"/>
    <w:qFormat/>
    <w:uiPriority w:val="9"/>
    <w:pPr>
      <w:keepNext/>
      <w:keepLines/>
      <w:spacing w:before="280" w:after="290" w:line="376" w:lineRule="auto"/>
      <w:outlineLvl w:val="3"/>
    </w:pPr>
    <w:rPr>
      <w:rFonts w:ascii="Arial" w:hAnsi="Arial" w:eastAsia="黑体"/>
      <w:b/>
      <w:bCs/>
      <w:sz w:val="28"/>
      <w:szCs w:val="28"/>
    </w:rPr>
  </w:style>
  <w:style w:type="paragraph" w:styleId="9">
    <w:name w:val="heading 5"/>
    <w:basedOn w:val="1"/>
    <w:next w:val="1"/>
    <w:link w:val="154"/>
    <w:semiHidden/>
    <w:unhideWhenUsed/>
    <w:qFormat/>
    <w:uiPriority w:val="9"/>
    <w:pPr>
      <w:keepNext/>
      <w:keepLines/>
      <w:spacing w:before="280" w:after="290" w:line="376" w:lineRule="auto"/>
      <w:outlineLvl w:val="4"/>
    </w:pPr>
    <w:rPr>
      <w:rFonts w:eastAsia="仿宋_GB2312"/>
      <w:b/>
      <w:bCs/>
      <w:sz w:val="28"/>
      <w:szCs w:val="28"/>
    </w:rPr>
  </w:style>
  <w:style w:type="paragraph" w:styleId="10">
    <w:name w:val="heading 6"/>
    <w:basedOn w:val="1"/>
    <w:next w:val="1"/>
    <w:link w:val="155"/>
    <w:qFormat/>
    <w:uiPriority w:val="9"/>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11">
    <w:name w:val="heading 7"/>
    <w:basedOn w:val="1"/>
    <w:next w:val="1"/>
    <w:link w:val="156"/>
    <w:qFormat/>
    <w:uiPriority w:val="9"/>
    <w:pPr>
      <w:keepNext/>
      <w:keepLines/>
      <w:widowControl/>
      <w:tabs>
        <w:tab w:val="left" w:pos="2520"/>
      </w:tabs>
      <w:spacing w:before="240" w:after="64" w:line="320" w:lineRule="auto"/>
      <w:ind w:left="1296" w:hanging="1296"/>
      <w:jc w:val="left"/>
      <w:outlineLvl w:val="6"/>
    </w:pPr>
    <w:rPr>
      <w:b/>
      <w:bCs/>
      <w:kern w:val="0"/>
      <w:sz w:val="24"/>
    </w:rPr>
  </w:style>
  <w:style w:type="paragraph" w:styleId="12">
    <w:name w:val="heading 8"/>
    <w:basedOn w:val="1"/>
    <w:next w:val="1"/>
    <w:link w:val="157"/>
    <w:qFormat/>
    <w:uiPriority w:val="9"/>
    <w:pPr>
      <w:keepNext/>
      <w:keepLines/>
      <w:widowControl/>
      <w:tabs>
        <w:tab w:val="left" w:pos="1440"/>
      </w:tabs>
      <w:spacing w:before="240" w:after="64" w:line="320" w:lineRule="auto"/>
      <w:ind w:left="1440" w:hanging="1440"/>
      <w:jc w:val="left"/>
      <w:outlineLvl w:val="7"/>
    </w:pPr>
    <w:rPr>
      <w:rFonts w:ascii="Arial" w:hAnsi="Arial" w:eastAsia="黑体"/>
      <w:kern w:val="0"/>
      <w:sz w:val="24"/>
    </w:rPr>
  </w:style>
  <w:style w:type="paragraph" w:styleId="13">
    <w:name w:val="heading 9"/>
    <w:basedOn w:val="1"/>
    <w:next w:val="1"/>
    <w:link w:val="158"/>
    <w:qFormat/>
    <w:uiPriority w:val="9"/>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92">
    <w:name w:val="Default Paragraph Font"/>
    <w:semiHidden/>
    <w:unhideWhenUsed/>
    <w:qFormat/>
    <w:uiPriority w:val="1"/>
  </w:style>
  <w:style w:type="table" w:default="1" w:styleId="90">
    <w:name w:val="Normal Table"/>
    <w:semiHidden/>
    <w:unhideWhenUsed/>
    <w:qFormat/>
    <w:uiPriority w:val="99"/>
    <w:tblPr>
      <w:tblCellMar>
        <w:top w:w="0" w:type="dxa"/>
        <w:left w:w="108" w:type="dxa"/>
        <w:bottom w:w="0" w:type="dxa"/>
        <w:right w:w="108" w:type="dxa"/>
      </w:tblCellMar>
    </w:tblPr>
  </w:style>
  <w:style w:type="paragraph" w:customStyle="1" w:styleId="2">
    <w:name w:val="Default"/>
    <w:basedOn w:val="3"/>
    <w:next w:val="1"/>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3">
    <w:name w:val="正文（首行缩进两字）"/>
    <w:basedOn w:val="1"/>
    <w:qFormat/>
    <w:uiPriority w:val="0"/>
    <w:rPr>
      <w:szCs w:val="21"/>
    </w:rPr>
  </w:style>
  <w:style w:type="paragraph" w:styleId="4">
    <w:name w:val="macro"/>
    <w:link w:val="166"/>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4">
    <w:name w:val="List 3"/>
    <w:basedOn w:val="1"/>
    <w:unhideWhenUsed/>
    <w:qFormat/>
    <w:uiPriority w:val="99"/>
    <w:pPr>
      <w:ind w:left="100" w:leftChars="400" w:hanging="200" w:hangingChars="200"/>
      <w:contextualSpacing/>
    </w:pPr>
    <w:rPr>
      <w:rFonts w:eastAsia="仿宋_GB2312"/>
      <w:sz w:val="32"/>
      <w:szCs w:val="20"/>
    </w:rPr>
  </w:style>
  <w:style w:type="paragraph" w:styleId="15">
    <w:name w:val="toc 7"/>
    <w:basedOn w:val="1"/>
    <w:next w:val="1"/>
    <w:unhideWhenUsed/>
    <w:qFormat/>
    <w:uiPriority w:val="39"/>
    <w:pPr>
      <w:ind w:left="2520" w:leftChars="1200"/>
    </w:pPr>
    <w:rPr>
      <w:rFonts w:ascii="等线" w:hAnsi="等线" w:eastAsia="等线"/>
      <w:szCs w:val="22"/>
    </w:rPr>
  </w:style>
  <w:style w:type="paragraph" w:styleId="16">
    <w:name w:val="List Number 2"/>
    <w:basedOn w:val="1"/>
    <w:unhideWhenUsed/>
    <w:qFormat/>
    <w:uiPriority w:val="99"/>
    <w:pPr>
      <w:numPr>
        <w:ilvl w:val="0"/>
        <w:numId w:val="1"/>
      </w:numPr>
      <w:contextualSpacing/>
    </w:pPr>
    <w:rPr>
      <w:rFonts w:eastAsia="仿宋_GB2312"/>
      <w:sz w:val="32"/>
      <w:szCs w:val="20"/>
    </w:rPr>
  </w:style>
  <w:style w:type="paragraph" w:styleId="17">
    <w:name w:val="table of authorities"/>
    <w:basedOn w:val="1"/>
    <w:next w:val="1"/>
    <w:unhideWhenUsed/>
    <w:qFormat/>
    <w:uiPriority w:val="99"/>
    <w:pPr>
      <w:ind w:left="420" w:leftChars="200"/>
    </w:pPr>
    <w:rPr>
      <w:rFonts w:eastAsia="仿宋_GB2312"/>
      <w:sz w:val="32"/>
      <w:szCs w:val="20"/>
    </w:rPr>
  </w:style>
  <w:style w:type="paragraph" w:styleId="18">
    <w:name w:val="Note Heading"/>
    <w:basedOn w:val="1"/>
    <w:next w:val="1"/>
    <w:link w:val="195"/>
    <w:unhideWhenUsed/>
    <w:qFormat/>
    <w:uiPriority w:val="99"/>
    <w:pPr>
      <w:jc w:val="center"/>
    </w:pPr>
    <w:rPr>
      <w:rFonts w:eastAsia="仿宋_GB2312"/>
      <w:sz w:val="32"/>
      <w:szCs w:val="20"/>
    </w:rPr>
  </w:style>
  <w:style w:type="paragraph" w:styleId="19">
    <w:name w:val="List Bullet 4"/>
    <w:basedOn w:val="1"/>
    <w:unhideWhenUsed/>
    <w:qFormat/>
    <w:uiPriority w:val="99"/>
    <w:pPr>
      <w:numPr>
        <w:ilvl w:val="0"/>
        <w:numId w:val="2"/>
      </w:numPr>
      <w:contextualSpacing/>
    </w:pPr>
    <w:rPr>
      <w:rFonts w:eastAsia="仿宋_GB2312"/>
      <w:sz w:val="32"/>
      <w:szCs w:val="20"/>
    </w:rPr>
  </w:style>
  <w:style w:type="paragraph" w:styleId="20">
    <w:name w:val="index 8"/>
    <w:basedOn w:val="1"/>
    <w:next w:val="1"/>
    <w:unhideWhenUsed/>
    <w:qFormat/>
    <w:uiPriority w:val="99"/>
    <w:pPr>
      <w:ind w:left="1400" w:leftChars="1400"/>
    </w:pPr>
    <w:rPr>
      <w:rFonts w:eastAsia="仿宋_GB2312"/>
      <w:sz w:val="32"/>
      <w:szCs w:val="20"/>
    </w:rPr>
  </w:style>
  <w:style w:type="paragraph" w:styleId="21">
    <w:name w:val="E-mail Signature"/>
    <w:basedOn w:val="1"/>
    <w:link w:val="162"/>
    <w:unhideWhenUsed/>
    <w:qFormat/>
    <w:uiPriority w:val="99"/>
    <w:rPr>
      <w:rFonts w:eastAsia="仿宋_GB2312"/>
      <w:sz w:val="32"/>
      <w:szCs w:val="20"/>
    </w:rPr>
  </w:style>
  <w:style w:type="paragraph" w:styleId="22">
    <w:name w:val="List Number"/>
    <w:basedOn w:val="1"/>
    <w:unhideWhenUsed/>
    <w:qFormat/>
    <w:uiPriority w:val="99"/>
    <w:pPr>
      <w:numPr>
        <w:ilvl w:val="0"/>
        <w:numId w:val="3"/>
      </w:numPr>
      <w:contextualSpacing/>
    </w:pPr>
    <w:rPr>
      <w:rFonts w:eastAsia="仿宋_GB2312"/>
      <w:sz w:val="32"/>
      <w:szCs w:val="20"/>
    </w:rPr>
  </w:style>
  <w:style w:type="paragraph" w:styleId="23">
    <w:name w:val="Normal Indent"/>
    <w:basedOn w:val="1"/>
    <w:qFormat/>
    <w:uiPriority w:val="99"/>
    <w:pPr>
      <w:ind w:firstLine="420" w:firstLineChars="200"/>
    </w:pPr>
  </w:style>
  <w:style w:type="paragraph" w:styleId="24">
    <w:name w:val="caption"/>
    <w:basedOn w:val="1"/>
    <w:next w:val="1"/>
    <w:semiHidden/>
    <w:unhideWhenUsed/>
    <w:qFormat/>
    <w:uiPriority w:val="35"/>
    <w:rPr>
      <w:rFonts w:ascii="Cambria" w:hAnsi="Cambria" w:eastAsia="黑体"/>
      <w:sz w:val="20"/>
      <w:szCs w:val="20"/>
    </w:rPr>
  </w:style>
  <w:style w:type="paragraph" w:styleId="25">
    <w:name w:val="index 5"/>
    <w:basedOn w:val="1"/>
    <w:next w:val="1"/>
    <w:unhideWhenUsed/>
    <w:qFormat/>
    <w:uiPriority w:val="99"/>
    <w:pPr>
      <w:ind w:left="800" w:leftChars="800"/>
    </w:pPr>
    <w:rPr>
      <w:rFonts w:eastAsia="仿宋_GB2312"/>
      <w:sz w:val="32"/>
      <w:szCs w:val="20"/>
    </w:rPr>
  </w:style>
  <w:style w:type="paragraph" w:styleId="26">
    <w:name w:val="List Bullet"/>
    <w:basedOn w:val="1"/>
    <w:unhideWhenUsed/>
    <w:qFormat/>
    <w:uiPriority w:val="99"/>
    <w:pPr>
      <w:numPr>
        <w:ilvl w:val="0"/>
        <w:numId w:val="4"/>
      </w:numPr>
      <w:contextualSpacing/>
    </w:pPr>
    <w:rPr>
      <w:rFonts w:eastAsia="仿宋_GB2312"/>
      <w:sz w:val="32"/>
      <w:szCs w:val="20"/>
    </w:rPr>
  </w:style>
  <w:style w:type="paragraph" w:styleId="27">
    <w:name w:val="envelope address"/>
    <w:basedOn w:val="1"/>
    <w:unhideWhenUsed/>
    <w:qFormat/>
    <w:uiPriority w:val="99"/>
    <w:pPr>
      <w:framePr w:w="7920" w:h="1980" w:hRule="exact" w:hSpace="180" w:wrap="around" w:vAnchor="margin" w:hAnchor="page" w:xAlign="center" w:yAlign="bottom"/>
      <w:snapToGrid w:val="0"/>
      <w:ind w:left="100" w:leftChars="1400"/>
    </w:pPr>
    <w:rPr>
      <w:rFonts w:ascii="Cambria" w:hAnsi="Cambria"/>
      <w:sz w:val="24"/>
    </w:rPr>
  </w:style>
  <w:style w:type="paragraph" w:styleId="28">
    <w:name w:val="Document Map"/>
    <w:basedOn w:val="1"/>
    <w:link w:val="180"/>
    <w:semiHidden/>
    <w:qFormat/>
    <w:uiPriority w:val="99"/>
    <w:pPr>
      <w:shd w:val="clear" w:color="auto" w:fill="000080"/>
    </w:pPr>
  </w:style>
  <w:style w:type="paragraph" w:styleId="29">
    <w:name w:val="toa heading"/>
    <w:basedOn w:val="1"/>
    <w:next w:val="1"/>
    <w:unhideWhenUsed/>
    <w:qFormat/>
    <w:uiPriority w:val="99"/>
    <w:pPr>
      <w:spacing w:before="120"/>
    </w:pPr>
    <w:rPr>
      <w:rFonts w:ascii="Cambria" w:hAnsi="Cambria"/>
      <w:sz w:val="24"/>
    </w:rPr>
  </w:style>
  <w:style w:type="paragraph" w:styleId="30">
    <w:name w:val="annotation text"/>
    <w:basedOn w:val="1"/>
    <w:link w:val="113"/>
    <w:qFormat/>
    <w:uiPriority w:val="0"/>
    <w:pPr>
      <w:jc w:val="left"/>
    </w:pPr>
  </w:style>
  <w:style w:type="paragraph" w:styleId="31">
    <w:name w:val="index 6"/>
    <w:basedOn w:val="1"/>
    <w:next w:val="1"/>
    <w:unhideWhenUsed/>
    <w:qFormat/>
    <w:uiPriority w:val="99"/>
    <w:pPr>
      <w:ind w:left="1000" w:leftChars="1000"/>
    </w:pPr>
    <w:rPr>
      <w:rFonts w:eastAsia="仿宋_GB2312"/>
      <w:sz w:val="32"/>
      <w:szCs w:val="20"/>
    </w:rPr>
  </w:style>
  <w:style w:type="paragraph" w:styleId="32">
    <w:name w:val="Salutation"/>
    <w:basedOn w:val="1"/>
    <w:next w:val="1"/>
    <w:link w:val="160"/>
    <w:unhideWhenUsed/>
    <w:qFormat/>
    <w:uiPriority w:val="99"/>
    <w:rPr>
      <w:rFonts w:eastAsia="仿宋_GB2312"/>
      <w:sz w:val="32"/>
      <w:szCs w:val="20"/>
    </w:rPr>
  </w:style>
  <w:style w:type="paragraph" w:styleId="33">
    <w:name w:val="Body Text 3"/>
    <w:basedOn w:val="1"/>
    <w:link w:val="139"/>
    <w:qFormat/>
    <w:uiPriority w:val="0"/>
    <w:rPr>
      <w:rFonts w:ascii="宋体"/>
      <w:sz w:val="24"/>
      <w:szCs w:val="20"/>
    </w:rPr>
  </w:style>
  <w:style w:type="paragraph" w:styleId="34">
    <w:name w:val="Closing"/>
    <w:basedOn w:val="1"/>
    <w:link w:val="170"/>
    <w:unhideWhenUsed/>
    <w:qFormat/>
    <w:uiPriority w:val="99"/>
    <w:pPr>
      <w:ind w:left="100" w:leftChars="2100"/>
    </w:pPr>
    <w:rPr>
      <w:rFonts w:eastAsia="仿宋_GB2312"/>
      <w:sz w:val="32"/>
      <w:szCs w:val="20"/>
    </w:rPr>
  </w:style>
  <w:style w:type="paragraph" w:styleId="35">
    <w:name w:val="List Bullet 3"/>
    <w:basedOn w:val="1"/>
    <w:unhideWhenUsed/>
    <w:qFormat/>
    <w:uiPriority w:val="99"/>
    <w:pPr>
      <w:numPr>
        <w:ilvl w:val="0"/>
        <w:numId w:val="5"/>
      </w:numPr>
      <w:contextualSpacing/>
    </w:pPr>
    <w:rPr>
      <w:rFonts w:eastAsia="仿宋_GB2312"/>
      <w:sz w:val="32"/>
      <w:szCs w:val="20"/>
    </w:rPr>
  </w:style>
  <w:style w:type="paragraph" w:styleId="36">
    <w:name w:val="Body Text"/>
    <w:basedOn w:val="1"/>
    <w:link w:val="119"/>
    <w:qFormat/>
    <w:uiPriority w:val="0"/>
    <w:pPr>
      <w:spacing w:after="120"/>
    </w:pPr>
  </w:style>
  <w:style w:type="paragraph" w:styleId="37">
    <w:name w:val="Body Text Indent"/>
    <w:basedOn w:val="1"/>
    <w:link w:val="115"/>
    <w:qFormat/>
    <w:uiPriority w:val="0"/>
    <w:pPr>
      <w:spacing w:after="120"/>
      <w:ind w:left="420" w:leftChars="200"/>
    </w:pPr>
  </w:style>
  <w:style w:type="paragraph" w:styleId="38">
    <w:name w:val="List Number 3"/>
    <w:basedOn w:val="1"/>
    <w:unhideWhenUsed/>
    <w:qFormat/>
    <w:uiPriority w:val="99"/>
    <w:pPr>
      <w:numPr>
        <w:ilvl w:val="0"/>
        <w:numId w:val="6"/>
      </w:numPr>
      <w:contextualSpacing/>
    </w:pPr>
    <w:rPr>
      <w:rFonts w:eastAsia="仿宋_GB2312"/>
      <w:sz w:val="32"/>
      <w:szCs w:val="20"/>
    </w:rPr>
  </w:style>
  <w:style w:type="paragraph" w:styleId="39">
    <w:name w:val="List 2"/>
    <w:basedOn w:val="1"/>
    <w:unhideWhenUsed/>
    <w:qFormat/>
    <w:uiPriority w:val="99"/>
    <w:pPr>
      <w:ind w:left="100" w:leftChars="200" w:hanging="200" w:hangingChars="200"/>
      <w:contextualSpacing/>
    </w:pPr>
    <w:rPr>
      <w:rFonts w:eastAsia="仿宋_GB2312"/>
      <w:sz w:val="32"/>
      <w:szCs w:val="20"/>
    </w:rPr>
  </w:style>
  <w:style w:type="paragraph" w:styleId="40">
    <w:name w:val="List Continue"/>
    <w:basedOn w:val="1"/>
    <w:unhideWhenUsed/>
    <w:qFormat/>
    <w:uiPriority w:val="99"/>
    <w:pPr>
      <w:spacing w:after="120"/>
      <w:ind w:left="420" w:leftChars="200"/>
      <w:contextualSpacing/>
    </w:pPr>
    <w:rPr>
      <w:rFonts w:eastAsia="仿宋_GB2312"/>
      <w:sz w:val="32"/>
      <w:szCs w:val="20"/>
    </w:rPr>
  </w:style>
  <w:style w:type="paragraph" w:styleId="41">
    <w:name w:val="Block Text"/>
    <w:basedOn w:val="1"/>
    <w:unhideWhenUsed/>
    <w:qFormat/>
    <w:uiPriority w:val="99"/>
    <w:pPr>
      <w:spacing w:after="120"/>
      <w:ind w:left="1440" w:leftChars="700" w:right="1440" w:rightChars="700"/>
    </w:pPr>
    <w:rPr>
      <w:rFonts w:eastAsia="仿宋_GB2312"/>
      <w:sz w:val="32"/>
      <w:szCs w:val="20"/>
    </w:rPr>
  </w:style>
  <w:style w:type="paragraph" w:styleId="42">
    <w:name w:val="List Bullet 2"/>
    <w:basedOn w:val="1"/>
    <w:unhideWhenUsed/>
    <w:qFormat/>
    <w:uiPriority w:val="99"/>
    <w:pPr>
      <w:numPr>
        <w:ilvl w:val="0"/>
        <w:numId w:val="7"/>
      </w:numPr>
      <w:contextualSpacing/>
    </w:pPr>
    <w:rPr>
      <w:rFonts w:eastAsia="仿宋_GB2312"/>
      <w:sz w:val="32"/>
      <w:szCs w:val="20"/>
    </w:rPr>
  </w:style>
  <w:style w:type="paragraph" w:styleId="43">
    <w:name w:val="HTML Address"/>
    <w:basedOn w:val="1"/>
    <w:link w:val="146"/>
    <w:unhideWhenUsed/>
    <w:qFormat/>
    <w:uiPriority w:val="99"/>
    <w:rPr>
      <w:rFonts w:eastAsia="仿宋_GB2312"/>
      <w:i/>
      <w:iCs/>
      <w:sz w:val="32"/>
      <w:szCs w:val="20"/>
    </w:rPr>
  </w:style>
  <w:style w:type="paragraph" w:styleId="44">
    <w:name w:val="index 4"/>
    <w:basedOn w:val="1"/>
    <w:next w:val="1"/>
    <w:unhideWhenUsed/>
    <w:qFormat/>
    <w:uiPriority w:val="99"/>
    <w:pPr>
      <w:ind w:left="600" w:leftChars="600"/>
    </w:pPr>
    <w:rPr>
      <w:rFonts w:eastAsia="仿宋_GB2312"/>
      <w:sz w:val="32"/>
      <w:szCs w:val="20"/>
    </w:rPr>
  </w:style>
  <w:style w:type="paragraph" w:styleId="45">
    <w:name w:val="toc 5"/>
    <w:basedOn w:val="1"/>
    <w:next w:val="1"/>
    <w:unhideWhenUsed/>
    <w:qFormat/>
    <w:uiPriority w:val="39"/>
    <w:pPr>
      <w:ind w:left="1680" w:leftChars="800"/>
    </w:pPr>
    <w:rPr>
      <w:rFonts w:ascii="等线" w:hAnsi="等线" w:eastAsia="等线"/>
      <w:szCs w:val="22"/>
    </w:rPr>
  </w:style>
  <w:style w:type="paragraph" w:styleId="46">
    <w:name w:val="toc 3"/>
    <w:basedOn w:val="1"/>
    <w:next w:val="1"/>
    <w:qFormat/>
    <w:uiPriority w:val="39"/>
    <w:pPr>
      <w:ind w:left="840" w:leftChars="400"/>
    </w:pPr>
  </w:style>
  <w:style w:type="paragraph" w:styleId="47">
    <w:name w:val="Plain Text"/>
    <w:basedOn w:val="1"/>
    <w:link w:val="138"/>
    <w:qFormat/>
    <w:uiPriority w:val="0"/>
    <w:rPr>
      <w:rFonts w:ascii="宋体" w:hAnsi="Courier New" w:cs="Courier New" w:eastAsiaTheme="minorEastAsia"/>
      <w:szCs w:val="21"/>
    </w:rPr>
  </w:style>
  <w:style w:type="paragraph" w:styleId="48">
    <w:name w:val="List Bullet 5"/>
    <w:basedOn w:val="1"/>
    <w:unhideWhenUsed/>
    <w:qFormat/>
    <w:uiPriority w:val="99"/>
    <w:pPr>
      <w:numPr>
        <w:ilvl w:val="0"/>
        <w:numId w:val="8"/>
      </w:numPr>
      <w:contextualSpacing/>
    </w:pPr>
    <w:rPr>
      <w:rFonts w:eastAsia="仿宋_GB2312"/>
      <w:sz w:val="32"/>
      <w:szCs w:val="20"/>
    </w:rPr>
  </w:style>
  <w:style w:type="paragraph" w:styleId="49">
    <w:name w:val="List Number 4"/>
    <w:basedOn w:val="1"/>
    <w:unhideWhenUsed/>
    <w:qFormat/>
    <w:uiPriority w:val="99"/>
    <w:pPr>
      <w:numPr>
        <w:ilvl w:val="0"/>
        <w:numId w:val="9"/>
      </w:numPr>
      <w:contextualSpacing/>
    </w:pPr>
    <w:rPr>
      <w:rFonts w:eastAsia="仿宋_GB2312"/>
      <w:sz w:val="32"/>
      <w:szCs w:val="20"/>
    </w:rPr>
  </w:style>
  <w:style w:type="paragraph" w:styleId="50">
    <w:name w:val="toc 8"/>
    <w:basedOn w:val="1"/>
    <w:next w:val="1"/>
    <w:unhideWhenUsed/>
    <w:qFormat/>
    <w:uiPriority w:val="39"/>
    <w:pPr>
      <w:ind w:left="2940" w:leftChars="1400"/>
    </w:pPr>
    <w:rPr>
      <w:rFonts w:ascii="等线" w:hAnsi="等线" w:eastAsia="等线"/>
      <w:szCs w:val="22"/>
    </w:rPr>
  </w:style>
  <w:style w:type="paragraph" w:styleId="51">
    <w:name w:val="index 3"/>
    <w:basedOn w:val="1"/>
    <w:next w:val="1"/>
    <w:unhideWhenUsed/>
    <w:qFormat/>
    <w:uiPriority w:val="99"/>
    <w:pPr>
      <w:ind w:left="400" w:leftChars="400"/>
    </w:pPr>
    <w:rPr>
      <w:rFonts w:eastAsia="仿宋_GB2312"/>
      <w:sz w:val="32"/>
      <w:szCs w:val="20"/>
    </w:rPr>
  </w:style>
  <w:style w:type="paragraph" w:styleId="52">
    <w:name w:val="Date"/>
    <w:basedOn w:val="1"/>
    <w:next w:val="1"/>
    <w:link w:val="141"/>
    <w:qFormat/>
    <w:uiPriority w:val="0"/>
    <w:rPr>
      <w:sz w:val="24"/>
      <w:szCs w:val="20"/>
    </w:rPr>
  </w:style>
  <w:style w:type="paragraph" w:styleId="53">
    <w:name w:val="Body Text Indent 2"/>
    <w:basedOn w:val="1"/>
    <w:link w:val="144"/>
    <w:unhideWhenUsed/>
    <w:qFormat/>
    <w:uiPriority w:val="0"/>
    <w:pPr>
      <w:spacing w:after="120" w:line="480" w:lineRule="auto"/>
      <w:ind w:left="420" w:leftChars="200"/>
    </w:pPr>
    <w:rPr>
      <w:rFonts w:ascii="Calibri" w:hAnsi="Calibri"/>
      <w:szCs w:val="22"/>
      <w:lang w:val="zh-CN" w:eastAsia="zh-CN"/>
    </w:rPr>
  </w:style>
  <w:style w:type="paragraph" w:styleId="54">
    <w:name w:val="endnote text"/>
    <w:basedOn w:val="1"/>
    <w:link w:val="179"/>
    <w:unhideWhenUsed/>
    <w:qFormat/>
    <w:uiPriority w:val="99"/>
    <w:pPr>
      <w:snapToGrid w:val="0"/>
      <w:jc w:val="left"/>
    </w:pPr>
    <w:rPr>
      <w:rFonts w:eastAsia="仿宋_GB2312"/>
      <w:sz w:val="32"/>
      <w:szCs w:val="20"/>
    </w:rPr>
  </w:style>
  <w:style w:type="paragraph" w:styleId="55">
    <w:name w:val="List Continue 5"/>
    <w:basedOn w:val="1"/>
    <w:unhideWhenUsed/>
    <w:qFormat/>
    <w:uiPriority w:val="99"/>
    <w:pPr>
      <w:spacing w:after="120"/>
      <w:ind w:left="2100" w:leftChars="1000"/>
      <w:contextualSpacing/>
    </w:pPr>
    <w:rPr>
      <w:rFonts w:eastAsia="仿宋_GB2312"/>
      <w:sz w:val="32"/>
      <w:szCs w:val="20"/>
    </w:rPr>
  </w:style>
  <w:style w:type="paragraph" w:styleId="56">
    <w:name w:val="Balloon Text"/>
    <w:basedOn w:val="1"/>
    <w:link w:val="133"/>
    <w:qFormat/>
    <w:uiPriority w:val="0"/>
    <w:rPr>
      <w:sz w:val="18"/>
      <w:szCs w:val="18"/>
    </w:rPr>
  </w:style>
  <w:style w:type="paragraph" w:styleId="57">
    <w:name w:val="footer"/>
    <w:basedOn w:val="1"/>
    <w:link w:val="136"/>
    <w:qFormat/>
    <w:uiPriority w:val="0"/>
    <w:pPr>
      <w:tabs>
        <w:tab w:val="center" w:pos="4153"/>
        <w:tab w:val="right" w:pos="8306"/>
      </w:tabs>
      <w:snapToGrid w:val="0"/>
      <w:jc w:val="left"/>
    </w:pPr>
    <w:rPr>
      <w:sz w:val="18"/>
      <w:szCs w:val="18"/>
    </w:rPr>
  </w:style>
  <w:style w:type="paragraph" w:styleId="58">
    <w:name w:val="envelope return"/>
    <w:basedOn w:val="1"/>
    <w:unhideWhenUsed/>
    <w:qFormat/>
    <w:uiPriority w:val="99"/>
    <w:pPr>
      <w:snapToGrid w:val="0"/>
    </w:pPr>
    <w:rPr>
      <w:rFonts w:ascii="Cambria" w:hAnsi="Cambria"/>
      <w:sz w:val="32"/>
      <w:szCs w:val="20"/>
    </w:rPr>
  </w:style>
  <w:style w:type="paragraph" w:styleId="59">
    <w:name w:val="header"/>
    <w:basedOn w:val="1"/>
    <w:link w:val="137"/>
    <w:qFormat/>
    <w:uiPriority w:val="0"/>
    <w:pPr>
      <w:pBdr>
        <w:bottom w:val="single" w:color="auto" w:sz="6" w:space="1"/>
      </w:pBdr>
      <w:tabs>
        <w:tab w:val="center" w:pos="4153"/>
        <w:tab w:val="right" w:pos="8306"/>
      </w:tabs>
      <w:snapToGrid w:val="0"/>
      <w:jc w:val="center"/>
    </w:pPr>
    <w:rPr>
      <w:sz w:val="18"/>
      <w:szCs w:val="18"/>
    </w:rPr>
  </w:style>
  <w:style w:type="paragraph" w:styleId="60">
    <w:name w:val="Signature"/>
    <w:basedOn w:val="1"/>
    <w:link w:val="176"/>
    <w:unhideWhenUsed/>
    <w:qFormat/>
    <w:uiPriority w:val="99"/>
    <w:pPr>
      <w:ind w:left="100" w:leftChars="2100"/>
    </w:pPr>
    <w:rPr>
      <w:rFonts w:eastAsia="仿宋_GB2312"/>
      <w:sz w:val="32"/>
      <w:szCs w:val="20"/>
    </w:rPr>
  </w:style>
  <w:style w:type="paragraph" w:styleId="61">
    <w:name w:val="toc 1"/>
    <w:basedOn w:val="1"/>
    <w:next w:val="1"/>
    <w:qFormat/>
    <w:uiPriority w:val="39"/>
    <w:pPr>
      <w:tabs>
        <w:tab w:val="right" w:leader="dot" w:pos="8296"/>
      </w:tabs>
      <w:jc w:val="center"/>
    </w:pPr>
    <w:rPr>
      <w:b/>
      <w:bCs/>
      <w:sz w:val="24"/>
    </w:rPr>
  </w:style>
  <w:style w:type="paragraph" w:styleId="62">
    <w:name w:val="List Continue 4"/>
    <w:basedOn w:val="1"/>
    <w:unhideWhenUsed/>
    <w:qFormat/>
    <w:uiPriority w:val="99"/>
    <w:pPr>
      <w:spacing w:after="120"/>
      <w:ind w:left="1680" w:leftChars="800"/>
      <w:contextualSpacing/>
    </w:pPr>
    <w:rPr>
      <w:rFonts w:eastAsia="仿宋_GB2312"/>
      <w:sz w:val="32"/>
      <w:szCs w:val="20"/>
    </w:rPr>
  </w:style>
  <w:style w:type="paragraph" w:styleId="63">
    <w:name w:val="toc 4"/>
    <w:basedOn w:val="1"/>
    <w:next w:val="1"/>
    <w:unhideWhenUsed/>
    <w:qFormat/>
    <w:uiPriority w:val="39"/>
    <w:pPr>
      <w:ind w:left="1260" w:leftChars="600"/>
    </w:pPr>
    <w:rPr>
      <w:rFonts w:ascii="等线" w:hAnsi="等线" w:eastAsia="等线"/>
      <w:szCs w:val="22"/>
    </w:rPr>
  </w:style>
  <w:style w:type="paragraph" w:styleId="64">
    <w:name w:val="index heading"/>
    <w:basedOn w:val="1"/>
    <w:next w:val="65"/>
    <w:unhideWhenUsed/>
    <w:qFormat/>
    <w:uiPriority w:val="99"/>
    <w:rPr>
      <w:rFonts w:ascii="Cambria" w:hAnsi="Cambria"/>
      <w:b/>
      <w:bCs/>
      <w:sz w:val="32"/>
      <w:szCs w:val="20"/>
    </w:rPr>
  </w:style>
  <w:style w:type="paragraph" w:styleId="65">
    <w:name w:val="index 1"/>
    <w:basedOn w:val="1"/>
    <w:next w:val="1"/>
    <w:semiHidden/>
    <w:qFormat/>
    <w:uiPriority w:val="99"/>
    <w:pPr>
      <w:spacing w:line="220" w:lineRule="exact"/>
      <w:jc w:val="center"/>
    </w:pPr>
    <w:rPr>
      <w:rFonts w:ascii="仿宋_GB2312" w:eastAsia="仿宋_GB2312"/>
      <w:szCs w:val="21"/>
    </w:rPr>
  </w:style>
  <w:style w:type="paragraph" w:styleId="66">
    <w:name w:val="Subtitle"/>
    <w:basedOn w:val="1"/>
    <w:next w:val="1"/>
    <w:link w:val="164"/>
    <w:qFormat/>
    <w:uiPriority w:val="11"/>
    <w:pPr>
      <w:spacing w:before="240" w:after="60" w:line="312" w:lineRule="auto"/>
      <w:jc w:val="center"/>
      <w:outlineLvl w:val="1"/>
    </w:pPr>
    <w:rPr>
      <w:rFonts w:ascii="Cambria" w:hAnsi="Cambria"/>
      <w:b/>
      <w:bCs/>
      <w:kern w:val="28"/>
      <w:sz w:val="32"/>
      <w:szCs w:val="32"/>
    </w:rPr>
  </w:style>
  <w:style w:type="paragraph" w:styleId="67">
    <w:name w:val="List Number 5"/>
    <w:basedOn w:val="1"/>
    <w:unhideWhenUsed/>
    <w:qFormat/>
    <w:uiPriority w:val="99"/>
    <w:pPr>
      <w:numPr>
        <w:ilvl w:val="0"/>
        <w:numId w:val="10"/>
      </w:numPr>
      <w:contextualSpacing/>
    </w:pPr>
    <w:rPr>
      <w:rFonts w:eastAsia="仿宋_GB2312"/>
      <w:sz w:val="32"/>
      <w:szCs w:val="20"/>
    </w:rPr>
  </w:style>
  <w:style w:type="paragraph" w:styleId="68">
    <w:name w:val="List"/>
    <w:basedOn w:val="1"/>
    <w:unhideWhenUsed/>
    <w:qFormat/>
    <w:uiPriority w:val="99"/>
    <w:pPr>
      <w:ind w:left="200" w:hanging="200" w:hangingChars="200"/>
      <w:contextualSpacing/>
    </w:pPr>
    <w:rPr>
      <w:rFonts w:eastAsia="仿宋_GB2312"/>
      <w:sz w:val="32"/>
      <w:szCs w:val="20"/>
    </w:rPr>
  </w:style>
  <w:style w:type="paragraph" w:styleId="69">
    <w:name w:val="footnote text"/>
    <w:basedOn w:val="1"/>
    <w:link w:val="168"/>
    <w:unhideWhenUsed/>
    <w:qFormat/>
    <w:uiPriority w:val="99"/>
    <w:pPr>
      <w:snapToGrid w:val="0"/>
      <w:jc w:val="left"/>
    </w:pPr>
    <w:rPr>
      <w:rFonts w:eastAsia="仿宋_GB2312"/>
      <w:sz w:val="18"/>
      <w:szCs w:val="18"/>
    </w:rPr>
  </w:style>
  <w:style w:type="paragraph" w:styleId="70">
    <w:name w:val="toc 6"/>
    <w:basedOn w:val="1"/>
    <w:next w:val="1"/>
    <w:unhideWhenUsed/>
    <w:qFormat/>
    <w:uiPriority w:val="39"/>
    <w:pPr>
      <w:ind w:left="2100" w:leftChars="1000"/>
    </w:pPr>
    <w:rPr>
      <w:rFonts w:ascii="等线" w:hAnsi="等线" w:eastAsia="等线"/>
      <w:szCs w:val="22"/>
    </w:rPr>
  </w:style>
  <w:style w:type="paragraph" w:styleId="71">
    <w:name w:val="List 5"/>
    <w:basedOn w:val="1"/>
    <w:unhideWhenUsed/>
    <w:qFormat/>
    <w:uiPriority w:val="99"/>
    <w:pPr>
      <w:ind w:left="100" w:leftChars="800" w:hanging="200" w:hangingChars="200"/>
      <w:contextualSpacing/>
    </w:pPr>
    <w:rPr>
      <w:rFonts w:eastAsia="仿宋_GB2312"/>
      <w:sz w:val="32"/>
      <w:szCs w:val="20"/>
    </w:rPr>
  </w:style>
  <w:style w:type="paragraph" w:styleId="72">
    <w:name w:val="Body Text Indent 3"/>
    <w:basedOn w:val="1"/>
    <w:link w:val="193"/>
    <w:qFormat/>
    <w:uiPriority w:val="99"/>
    <w:pPr>
      <w:spacing w:after="120"/>
      <w:ind w:left="420" w:leftChars="200"/>
    </w:pPr>
    <w:rPr>
      <w:sz w:val="16"/>
      <w:szCs w:val="16"/>
    </w:rPr>
  </w:style>
  <w:style w:type="paragraph" w:styleId="73">
    <w:name w:val="index 7"/>
    <w:basedOn w:val="1"/>
    <w:next w:val="1"/>
    <w:unhideWhenUsed/>
    <w:qFormat/>
    <w:uiPriority w:val="99"/>
    <w:pPr>
      <w:ind w:left="1200" w:leftChars="1200"/>
    </w:pPr>
    <w:rPr>
      <w:rFonts w:eastAsia="仿宋_GB2312"/>
      <w:sz w:val="32"/>
      <w:szCs w:val="20"/>
    </w:rPr>
  </w:style>
  <w:style w:type="paragraph" w:styleId="74">
    <w:name w:val="index 9"/>
    <w:basedOn w:val="1"/>
    <w:next w:val="1"/>
    <w:unhideWhenUsed/>
    <w:qFormat/>
    <w:uiPriority w:val="99"/>
    <w:pPr>
      <w:ind w:left="1600" w:leftChars="1600"/>
    </w:pPr>
    <w:rPr>
      <w:rFonts w:eastAsia="仿宋_GB2312"/>
      <w:sz w:val="32"/>
      <w:szCs w:val="20"/>
    </w:rPr>
  </w:style>
  <w:style w:type="paragraph" w:styleId="75">
    <w:name w:val="table of figures"/>
    <w:basedOn w:val="1"/>
    <w:next w:val="1"/>
    <w:unhideWhenUsed/>
    <w:qFormat/>
    <w:uiPriority w:val="99"/>
    <w:pPr>
      <w:ind w:left="200" w:leftChars="200" w:hanging="200" w:hangingChars="200"/>
    </w:pPr>
    <w:rPr>
      <w:rFonts w:eastAsia="仿宋_GB2312"/>
      <w:sz w:val="32"/>
      <w:szCs w:val="20"/>
    </w:rPr>
  </w:style>
  <w:style w:type="paragraph" w:styleId="76">
    <w:name w:val="toc 2"/>
    <w:basedOn w:val="1"/>
    <w:next w:val="1"/>
    <w:qFormat/>
    <w:uiPriority w:val="39"/>
    <w:pPr>
      <w:ind w:left="420" w:leftChars="200"/>
    </w:pPr>
  </w:style>
  <w:style w:type="paragraph" w:styleId="77">
    <w:name w:val="toc 9"/>
    <w:basedOn w:val="1"/>
    <w:next w:val="1"/>
    <w:unhideWhenUsed/>
    <w:qFormat/>
    <w:uiPriority w:val="39"/>
    <w:pPr>
      <w:ind w:left="3360" w:leftChars="1600"/>
    </w:pPr>
    <w:rPr>
      <w:rFonts w:ascii="等线" w:hAnsi="等线" w:eastAsia="等线"/>
      <w:szCs w:val="22"/>
    </w:rPr>
  </w:style>
  <w:style w:type="paragraph" w:styleId="78">
    <w:name w:val="Body Text 2"/>
    <w:basedOn w:val="1"/>
    <w:link w:val="192"/>
    <w:unhideWhenUsed/>
    <w:qFormat/>
    <w:uiPriority w:val="99"/>
    <w:pPr>
      <w:spacing w:after="120" w:line="480" w:lineRule="auto"/>
    </w:pPr>
    <w:rPr>
      <w:rFonts w:eastAsia="仿宋_GB2312"/>
      <w:sz w:val="32"/>
      <w:szCs w:val="20"/>
    </w:rPr>
  </w:style>
  <w:style w:type="paragraph" w:styleId="79">
    <w:name w:val="List 4"/>
    <w:basedOn w:val="1"/>
    <w:unhideWhenUsed/>
    <w:qFormat/>
    <w:uiPriority w:val="99"/>
    <w:pPr>
      <w:ind w:left="100" w:leftChars="600" w:hanging="200" w:hangingChars="200"/>
      <w:contextualSpacing/>
    </w:pPr>
    <w:rPr>
      <w:rFonts w:eastAsia="仿宋_GB2312"/>
      <w:sz w:val="32"/>
      <w:szCs w:val="20"/>
    </w:rPr>
  </w:style>
  <w:style w:type="paragraph" w:styleId="80">
    <w:name w:val="List Continue 2"/>
    <w:basedOn w:val="1"/>
    <w:unhideWhenUsed/>
    <w:qFormat/>
    <w:uiPriority w:val="99"/>
    <w:pPr>
      <w:spacing w:after="120"/>
      <w:ind w:left="840" w:leftChars="400"/>
      <w:contextualSpacing/>
    </w:pPr>
    <w:rPr>
      <w:rFonts w:eastAsia="仿宋_GB2312"/>
      <w:sz w:val="32"/>
      <w:szCs w:val="20"/>
    </w:rPr>
  </w:style>
  <w:style w:type="paragraph" w:styleId="81">
    <w:name w:val="Message Header"/>
    <w:basedOn w:val="1"/>
    <w:link w:val="183"/>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82">
    <w:name w:val="HTML Preformatted"/>
    <w:basedOn w:val="1"/>
    <w:link w:val="148"/>
    <w:unhideWhenUsed/>
    <w:qFormat/>
    <w:uiPriority w:val="99"/>
    <w:rPr>
      <w:rFonts w:ascii="Courier New" w:hAnsi="Courier New" w:eastAsia="仿宋_GB2312" w:cs="Courier New"/>
      <w:sz w:val="20"/>
      <w:szCs w:val="20"/>
    </w:rPr>
  </w:style>
  <w:style w:type="paragraph" w:styleId="83">
    <w:name w:val="Normal (Web)"/>
    <w:basedOn w:val="1"/>
    <w:qFormat/>
    <w:uiPriority w:val="0"/>
    <w:pPr>
      <w:widowControl/>
      <w:spacing w:before="100" w:beforeAutospacing="1" w:after="100" w:afterAutospacing="1"/>
      <w:jc w:val="left"/>
    </w:pPr>
    <w:rPr>
      <w:rFonts w:ascii="宋体" w:hAnsi="宋体"/>
      <w:kern w:val="0"/>
      <w:sz w:val="24"/>
    </w:rPr>
  </w:style>
  <w:style w:type="paragraph" w:styleId="84">
    <w:name w:val="List Continue 3"/>
    <w:basedOn w:val="1"/>
    <w:unhideWhenUsed/>
    <w:qFormat/>
    <w:uiPriority w:val="99"/>
    <w:pPr>
      <w:spacing w:after="120"/>
      <w:ind w:left="1260" w:leftChars="600"/>
      <w:contextualSpacing/>
    </w:pPr>
    <w:rPr>
      <w:rFonts w:eastAsia="仿宋_GB2312"/>
      <w:sz w:val="32"/>
      <w:szCs w:val="20"/>
    </w:rPr>
  </w:style>
  <w:style w:type="paragraph" w:styleId="85">
    <w:name w:val="index 2"/>
    <w:basedOn w:val="1"/>
    <w:next w:val="1"/>
    <w:unhideWhenUsed/>
    <w:qFormat/>
    <w:uiPriority w:val="99"/>
    <w:pPr>
      <w:ind w:left="200" w:leftChars="200"/>
    </w:pPr>
    <w:rPr>
      <w:rFonts w:eastAsia="仿宋_GB2312"/>
      <w:sz w:val="32"/>
      <w:szCs w:val="20"/>
    </w:rPr>
  </w:style>
  <w:style w:type="paragraph" w:styleId="86">
    <w:name w:val="Title"/>
    <w:basedOn w:val="1"/>
    <w:link w:val="150"/>
    <w:qFormat/>
    <w:uiPriority w:val="10"/>
    <w:pPr>
      <w:adjustRightInd w:val="0"/>
      <w:spacing w:before="240" w:after="60" w:line="420" w:lineRule="atLeast"/>
      <w:jc w:val="center"/>
      <w:textAlignment w:val="baseline"/>
      <w:outlineLvl w:val="0"/>
    </w:pPr>
    <w:rPr>
      <w:rFonts w:ascii="Arial" w:hAnsi="Arial"/>
      <w:b/>
      <w:kern w:val="0"/>
      <w:sz w:val="32"/>
      <w:szCs w:val="20"/>
    </w:rPr>
  </w:style>
  <w:style w:type="paragraph" w:styleId="87">
    <w:name w:val="annotation subject"/>
    <w:basedOn w:val="30"/>
    <w:next w:val="30"/>
    <w:link w:val="127"/>
    <w:qFormat/>
    <w:uiPriority w:val="0"/>
    <w:rPr>
      <w:b/>
      <w:bCs/>
    </w:rPr>
  </w:style>
  <w:style w:type="paragraph" w:styleId="88">
    <w:name w:val="Body Text First Indent"/>
    <w:basedOn w:val="36"/>
    <w:link w:val="188"/>
    <w:unhideWhenUsed/>
    <w:qFormat/>
    <w:uiPriority w:val="99"/>
    <w:pPr>
      <w:ind w:firstLine="420" w:firstLineChars="100"/>
    </w:pPr>
    <w:rPr>
      <w:rFonts w:eastAsia="仿宋_GB2312"/>
      <w:sz w:val="32"/>
      <w:szCs w:val="20"/>
    </w:rPr>
  </w:style>
  <w:style w:type="paragraph" w:styleId="89">
    <w:name w:val="Body Text First Indent 2"/>
    <w:basedOn w:val="37"/>
    <w:link w:val="190"/>
    <w:unhideWhenUsed/>
    <w:qFormat/>
    <w:uiPriority w:val="99"/>
    <w:pPr>
      <w:ind w:firstLine="420" w:firstLineChars="200"/>
    </w:pPr>
    <w:rPr>
      <w:rFonts w:eastAsia="仿宋_GB2312"/>
      <w:sz w:val="32"/>
      <w:szCs w:val="20"/>
    </w:rPr>
  </w:style>
  <w:style w:type="table" w:styleId="91">
    <w:name w:val="Table Grid"/>
    <w:basedOn w:val="90"/>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3">
    <w:name w:val="page number"/>
    <w:basedOn w:val="92"/>
    <w:qFormat/>
    <w:uiPriority w:val="0"/>
  </w:style>
  <w:style w:type="character" w:styleId="94">
    <w:name w:val="FollowedHyperlink"/>
    <w:qFormat/>
    <w:uiPriority w:val="0"/>
    <w:rPr>
      <w:color w:val="800080"/>
      <w:u w:val="single"/>
    </w:rPr>
  </w:style>
  <w:style w:type="character" w:styleId="95">
    <w:name w:val="Hyperlink"/>
    <w:qFormat/>
    <w:uiPriority w:val="99"/>
    <w:rPr>
      <w:color w:val="0000FF"/>
      <w:u w:val="single"/>
    </w:rPr>
  </w:style>
  <w:style w:type="character" w:styleId="96">
    <w:name w:val="annotation reference"/>
    <w:qFormat/>
    <w:uiPriority w:val="0"/>
    <w:rPr>
      <w:sz w:val="21"/>
      <w:szCs w:val="21"/>
    </w:rPr>
  </w:style>
  <w:style w:type="paragraph" w:customStyle="1" w:styleId="97">
    <w:name w:val="四级标题"/>
    <w:basedOn w:val="52"/>
    <w:qFormat/>
    <w:uiPriority w:val="0"/>
    <w:rPr>
      <w:rFonts w:eastAsia="黑体"/>
      <w:szCs w:val="22"/>
    </w:rPr>
  </w:style>
  <w:style w:type="character" w:customStyle="1" w:styleId="98">
    <w:name w:val="标题 1 字符"/>
    <w:basedOn w:val="92"/>
    <w:qFormat/>
    <w:uiPriority w:val="9"/>
    <w:rPr>
      <w:rFonts w:ascii="Times New Roman" w:hAnsi="Times New Roman" w:eastAsia="宋体" w:cs="Times New Roman"/>
      <w:b/>
      <w:bCs/>
      <w:kern w:val="44"/>
      <w:sz w:val="44"/>
      <w:szCs w:val="44"/>
    </w:rPr>
  </w:style>
  <w:style w:type="character" w:customStyle="1" w:styleId="99">
    <w:name w:val="标题 2 字符"/>
    <w:basedOn w:val="92"/>
    <w:link w:val="6"/>
    <w:qFormat/>
    <w:uiPriority w:val="9"/>
    <w:rPr>
      <w:rFonts w:ascii="Arial" w:hAnsi="Arial" w:eastAsia="黑体" w:cs="Times New Roman"/>
      <w:b/>
      <w:bCs/>
      <w:sz w:val="32"/>
      <w:szCs w:val="32"/>
    </w:rPr>
  </w:style>
  <w:style w:type="character" w:customStyle="1" w:styleId="100">
    <w:name w:val="标题 3 字符"/>
    <w:basedOn w:val="92"/>
    <w:semiHidden/>
    <w:qFormat/>
    <w:uiPriority w:val="9"/>
    <w:rPr>
      <w:rFonts w:ascii="Times New Roman" w:hAnsi="Times New Roman" w:eastAsia="宋体" w:cs="Times New Roman"/>
      <w:b/>
      <w:bCs/>
      <w:sz w:val="32"/>
      <w:szCs w:val="32"/>
    </w:rPr>
  </w:style>
  <w:style w:type="character" w:customStyle="1" w:styleId="101">
    <w:name w:val="标题 4 字符"/>
    <w:basedOn w:val="92"/>
    <w:semiHidden/>
    <w:qFormat/>
    <w:uiPriority w:val="9"/>
    <w:rPr>
      <w:rFonts w:asciiTheme="majorHAnsi" w:hAnsiTheme="majorHAnsi" w:eastAsiaTheme="majorEastAsia" w:cstheme="majorBidi"/>
      <w:b/>
      <w:bCs/>
      <w:sz w:val="28"/>
      <w:szCs w:val="28"/>
    </w:rPr>
  </w:style>
  <w:style w:type="character" w:customStyle="1" w:styleId="102">
    <w:name w:val="标题 5 字符"/>
    <w:basedOn w:val="92"/>
    <w:semiHidden/>
    <w:qFormat/>
    <w:uiPriority w:val="0"/>
    <w:rPr>
      <w:rFonts w:ascii="Times New Roman" w:hAnsi="Times New Roman" w:eastAsia="宋体" w:cs="Times New Roman"/>
      <w:b/>
      <w:bCs/>
      <w:sz w:val="28"/>
      <w:szCs w:val="28"/>
    </w:rPr>
  </w:style>
  <w:style w:type="character" w:customStyle="1" w:styleId="103">
    <w:name w:val="标题 6 字符"/>
    <w:basedOn w:val="92"/>
    <w:semiHidden/>
    <w:qFormat/>
    <w:uiPriority w:val="9"/>
    <w:rPr>
      <w:rFonts w:asciiTheme="majorHAnsi" w:hAnsiTheme="majorHAnsi" w:eastAsiaTheme="majorEastAsia" w:cstheme="majorBidi"/>
      <w:b/>
      <w:bCs/>
      <w:sz w:val="24"/>
      <w:szCs w:val="24"/>
    </w:rPr>
  </w:style>
  <w:style w:type="character" w:customStyle="1" w:styleId="104">
    <w:name w:val="标题 7 字符"/>
    <w:basedOn w:val="92"/>
    <w:semiHidden/>
    <w:qFormat/>
    <w:uiPriority w:val="9"/>
    <w:rPr>
      <w:rFonts w:ascii="Times New Roman" w:hAnsi="Times New Roman" w:eastAsia="宋体" w:cs="Times New Roman"/>
      <w:b/>
      <w:bCs/>
      <w:sz w:val="24"/>
      <w:szCs w:val="24"/>
    </w:rPr>
  </w:style>
  <w:style w:type="character" w:customStyle="1" w:styleId="105">
    <w:name w:val="标题 8 字符"/>
    <w:basedOn w:val="92"/>
    <w:semiHidden/>
    <w:qFormat/>
    <w:uiPriority w:val="9"/>
    <w:rPr>
      <w:rFonts w:asciiTheme="majorHAnsi" w:hAnsiTheme="majorHAnsi" w:eastAsiaTheme="majorEastAsia" w:cstheme="majorBidi"/>
      <w:sz w:val="24"/>
      <w:szCs w:val="24"/>
    </w:rPr>
  </w:style>
  <w:style w:type="character" w:customStyle="1" w:styleId="106">
    <w:name w:val="标题 9 字符"/>
    <w:basedOn w:val="92"/>
    <w:semiHidden/>
    <w:qFormat/>
    <w:uiPriority w:val="9"/>
    <w:rPr>
      <w:rFonts w:asciiTheme="majorHAnsi" w:hAnsiTheme="majorHAnsi" w:eastAsiaTheme="majorEastAsia" w:cstheme="majorBidi"/>
      <w:szCs w:val="21"/>
    </w:rPr>
  </w:style>
  <w:style w:type="character" w:customStyle="1" w:styleId="107">
    <w:name w:val="页眉 字符"/>
    <w:basedOn w:val="92"/>
    <w:semiHidden/>
    <w:qFormat/>
    <w:uiPriority w:val="99"/>
    <w:rPr>
      <w:rFonts w:ascii="Times New Roman" w:hAnsi="Times New Roman" w:eastAsia="宋体" w:cs="Times New Roman"/>
      <w:sz w:val="18"/>
      <w:szCs w:val="18"/>
    </w:rPr>
  </w:style>
  <w:style w:type="character" w:customStyle="1" w:styleId="108">
    <w:name w:val="页脚 字符"/>
    <w:basedOn w:val="92"/>
    <w:semiHidden/>
    <w:qFormat/>
    <w:uiPriority w:val="99"/>
    <w:rPr>
      <w:rFonts w:ascii="Times New Roman" w:hAnsi="Times New Roman" w:eastAsia="宋体" w:cs="Times New Roman"/>
      <w:sz w:val="18"/>
      <w:szCs w:val="18"/>
    </w:rPr>
  </w:style>
  <w:style w:type="character" w:customStyle="1" w:styleId="109">
    <w:name w:val="正文文本 3 字符"/>
    <w:basedOn w:val="92"/>
    <w:semiHidden/>
    <w:qFormat/>
    <w:uiPriority w:val="99"/>
    <w:rPr>
      <w:rFonts w:ascii="Times New Roman" w:hAnsi="Times New Roman" w:eastAsia="宋体" w:cs="Times New Roman"/>
      <w:sz w:val="16"/>
      <w:szCs w:val="16"/>
    </w:rPr>
  </w:style>
  <w:style w:type="paragraph" w:customStyle="1" w:styleId="110">
    <w:name w:val="样式 标题 3 + (中文) 黑体 小四 非加粗 段前: 7.8 磅 段后: 0 磅 行距: 固定值 20 磅"/>
    <w:basedOn w:val="7"/>
    <w:qFormat/>
    <w:uiPriority w:val="0"/>
    <w:pPr>
      <w:spacing w:before="0" w:after="0" w:line="400" w:lineRule="exact"/>
    </w:pPr>
    <w:rPr>
      <w:rFonts w:eastAsia="黑体" w:cs="宋体"/>
      <w:b w:val="0"/>
      <w:bCs w:val="0"/>
      <w:sz w:val="24"/>
      <w:szCs w:val="20"/>
    </w:rPr>
  </w:style>
  <w:style w:type="paragraph" w:customStyle="1" w:styleId="111">
    <w:name w:val="样式 标题 2 + Times New Roman 四号 非加粗 段前: 5 磅 段后: 0 磅 行距: 固定值 20..."/>
    <w:basedOn w:val="6"/>
    <w:qFormat/>
    <w:uiPriority w:val="0"/>
    <w:pPr>
      <w:spacing w:before="100" w:after="0" w:line="400" w:lineRule="exact"/>
    </w:pPr>
    <w:rPr>
      <w:rFonts w:ascii="Times New Roman" w:hAnsi="Times New Roman" w:cs="宋体"/>
      <w:b w:val="0"/>
      <w:bCs w:val="0"/>
      <w:sz w:val="28"/>
      <w:szCs w:val="20"/>
    </w:rPr>
  </w:style>
  <w:style w:type="paragraph" w:customStyle="1" w:styleId="112">
    <w:name w:val="样式 标题 1 + 黑体 三号 非加粗 居中 段前: 6 磅 段后: 6 磅 行距: 固定值 20 磅"/>
    <w:basedOn w:val="5"/>
    <w:qFormat/>
    <w:uiPriority w:val="0"/>
    <w:pPr>
      <w:spacing w:before="120" w:after="120" w:line="400" w:lineRule="exact"/>
      <w:jc w:val="center"/>
    </w:pPr>
    <w:rPr>
      <w:rFonts w:ascii="黑体" w:hAnsi="黑体" w:eastAsia="黑体" w:cs="宋体"/>
      <w:b w:val="0"/>
      <w:bCs w:val="0"/>
      <w:sz w:val="32"/>
      <w:szCs w:val="20"/>
    </w:rPr>
  </w:style>
  <w:style w:type="character" w:customStyle="1" w:styleId="113">
    <w:name w:val="批注文字 字符"/>
    <w:basedOn w:val="92"/>
    <w:link w:val="30"/>
    <w:qFormat/>
    <w:uiPriority w:val="0"/>
    <w:rPr>
      <w:rFonts w:ascii="Times New Roman" w:hAnsi="Times New Roman" w:eastAsia="宋体" w:cs="Times New Roman"/>
      <w:szCs w:val="24"/>
    </w:rPr>
  </w:style>
  <w:style w:type="character" w:customStyle="1" w:styleId="114">
    <w:name w:val="标题 字符"/>
    <w:basedOn w:val="92"/>
    <w:qFormat/>
    <w:uiPriority w:val="10"/>
    <w:rPr>
      <w:rFonts w:asciiTheme="majorHAnsi" w:hAnsiTheme="majorHAnsi" w:eastAsiaTheme="majorEastAsia" w:cstheme="majorBidi"/>
      <w:b/>
      <w:bCs/>
      <w:sz w:val="32"/>
      <w:szCs w:val="32"/>
    </w:rPr>
  </w:style>
  <w:style w:type="character" w:customStyle="1" w:styleId="115">
    <w:name w:val="正文文本缩进 字符"/>
    <w:basedOn w:val="92"/>
    <w:link w:val="37"/>
    <w:qFormat/>
    <w:uiPriority w:val="0"/>
    <w:rPr>
      <w:rFonts w:ascii="Times New Roman" w:hAnsi="Times New Roman" w:eastAsia="宋体" w:cs="Times New Roman"/>
      <w:szCs w:val="24"/>
    </w:rPr>
  </w:style>
  <w:style w:type="character" w:customStyle="1" w:styleId="116">
    <w:name w:val="正文文本缩进 3 字符"/>
    <w:basedOn w:val="92"/>
    <w:semiHidden/>
    <w:qFormat/>
    <w:uiPriority w:val="99"/>
    <w:rPr>
      <w:rFonts w:ascii="Times New Roman" w:hAnsi="Times New Roman" w:eastAsia="宋体" w:cs="Times New Roman"/>
      <w:sz w:val="16"/>
      <w:szCs w:val="16"/>
    </w:rPr>
  </w:style>
  <w:style w:type="paragraph" w:customStyle="1" w:styleId="117">
    <w:name w:val="1"/>
    <w:basedOn w:val="1"/>
    <w:qFormat/>
    <w:uiPriority w:val="0"/>
  </w:style>
  <w:style w:type="character" w:customStyle="1" w:styleId="118">
    <w:name w:val="font161"/>
    <w:qFormat/>
    <w:uiPriority w:val="0"/>
    <w:rPr>
      <w:b/>
      <w:bCs/>
      <w:sz w:val="32"/>
      <w:szCs w:val="32"/>
    </w:rPr>
  </w:style>
  <w:style w:type="character" w:customStyle="1" w:styleId="119">
    <w:name w:val="正文文本 字符"/>
    <w:basedOn w:val="92"/>
    <w:link w:val="36"/>
    <w:qFormat/>
    <w:uiPriority w:val="0"/>
    <w:rPr>
      <w:rFonts w:ascii="Times New Roman" w:hAnsi="Times New Roman" w:eastAsia="宋体" w:cs="Times New Roman"/>
      <w:szCs w:val="24"/>
    </w:rPr>
  </w:style>
  <w:style w:type="paragraph" w:customStyle="1" w:styleId="12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character" w:customStyle="1" w:styleId="121">
    <w:name w:val="日期 字符"/>
    <w:basedOn w:val="92"/>
    <w:semiHidden/>
    <w:qFormat/>
    <w:uiPriority w:val="99"/>
    <w:rPr>
      <w:rFonts w:ascii="Times New Roman" w:hAnsi="Times New Roman" w:eastAsia="宋体" w:cs="Times New Roman"/>
      <w:szCs w:val="24"/>
    </w:rPr>
  </w:style>
  <w:style w:type="paragraph" w:customStyle="1" w:styleId="122">
    <w:name w:val="表格"/>
    <w:basedOn w:val="1"/>
    <w:qFormat/>
    <w:uiPriority w:val="0"/>
    <w:pPr>
      <w:jc w:val="center"/>
      <w:textAlignment w:val="center"/>
    </w:pPr>
    <w:rPr>
      <w:rFonts w:ascii="华文细黑" w:hAnsi="华文细黑"/>
      <w:kern w:val="0"/>
      <w:szCs w:val="20"/>
    </w:rPr>
  </w:style>
  <w:style w:type="paragraph" w:customStyle="1" w:styleId="123">
    <w:name w:val="表格文字"/>
    <w:basedOn w:val="1"/>
    <w:qFormat/>
    <w:uiPriority w:val="0"/>
    <w:pPr>
      <w:adjustRightInd w:val="0"/>
      <w:spacing w:line="420" w:lineRule="atLeast"/>
      <w:jc w:val="left"/>
      <w:textAlignment w:val="baseline"/>
    </w:pPr>
    <w:rPr>
      <w:kern w:val="0"/>
      <w:szCs w:val="20"/>
    </w:rPr>
  </w:style>
  <w:style w:type="character" w:customStyle="1" w:styleId="124">
    <w:name w:val="批注框文本 字符"/>
    <w:basedOn w:val="92"/>
    <w:semiHidden/>
    <w:qFormat/>
    <w:uiPriority w:val="99"/>
    <w:rPr>
      <w:rFonts w:ascii="Times New Roman" w:hAnsi="Times New Roman" w:eastAsia="宋体" w:cs="Times New Roman"/>
      <w:sz w:val="18"/>
      <w:szCs w:val="18"/>
    </w:rPr>
  </w:style>
  <w:style w:type="character" w:customStyle="1" w:styleId="125">
    <w:name w:val="文档结构图 字符"/>
    <w:basedOn w:val="92"/>
    <w:semiHidden/>
    <w:qFormat/>
    <w:uiPriority w:val="99"/>
    <w:rPr>
      <w:rFonts w:ascii="Microsoft YaHei UI" w:hAnsi="Times New Roman" w:eastAsia="Microsoft YaHei UI" w:cs="Times New Roman"/>
      <w:sz w:val="18"/>
      <w:szCs w:val="18"/>
    </w:rPr>
  </w:style>
  <w:style w:type="paragraph" w:customStyle="1" w:styleId="126">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27">
    <w:name w:val="批注主题 字符"/>
    <w:basedOn w:val="113"/>
    <w:link w:val="87"/>
    <w:qFormat/>
    <w:uiPriority w:val="0"/>
    <w:rPr>
      <w:rFonts w:ascii="Times New Roman" w:hAnsi="Times New Roman" w:eastAsia="宋体" w:cs="Times New Roman"/>
      <w:b/>
      <w:bCs/>
      <w:szCs w:val="24"/>
    </w:rPr>
  </w:style>
  <w:style w:type="paragraph" w:customStyle="1" w:styleId="128">
    <w:name w:val="样式 11.5 磅 居中 行距: 固定值 22 磅"/>
    <w:basedOn w:val="1"/>
    <w:qFormat/>
    <w:uiPriority w:val="0"/>
    <w:pPr>
      <w:spacing w:line="440" w:lineRule="exact"/>
      <w:jc w:val="center"/>
    </w:pPr>
    <w:rPr>
      <w:rFonts w:cs="宋体"/>
      <w:sz w:val="23"/>
      <w:szCs w:val="20"/>
    </w:rPr>
  </w:style>
  <w:style w:type="paragraph" w:customStyle="1" w:styleId="129">
    <w:name w:val="样式 居中 行距: 固定值 22 磅1"/>
    <w:basedOn w:val="1"/>
    <w:qFormat/>
    <w:uiPriority w:val="0"/>
    <w:pPr>
      <w:spacing w:line="440" w:lineRule="exact"/>
      <w:jc w:val="center"/>
    </w:pPr>
    <w:rPr>
      <w:rFonts w:cs="宋体"/>
      <w:szCs w:val="20"/>
    </w:rPr>
  </w:style>
  <w:style w:type="character" w:customStyle="1" w:styleId="130">
    <w:name w:val="标题 1 字符1"/>
    <w:link w:val="5"/>
    <w:qFormat/>
    <w:uiPriority w:val="0"/>
    <w:rPr>
      <w:rFonts w:ascii="Times New Roman" w:hAnsi="Times New Roman" w:eastAsia="宋体" w:cs="Times New Roman"/>
      <w:b/>
      <w:bCs/>
      <w:kern w:val="44"/>
      <w:sz w:val="44"/>
      <w:szCs w:val="44"/>
    </w:rPr>
  </w:style>
  <w:style w:type="character" w:customStyle="1" w:styleId="131">
    <w:name w:val="批注主题 Char"/>
    <w:qFormat/>
    <w:uiPriority w:val="0"/>
    <w:rPr>
      <w:rFonts w:ascii="Times New Roman" w:hAnsi="Times New Roman" w:eastAsia="仿宋_GB2312"/>
      <w:b/>
      <w:bCs/>
      <w:kern w:val="2"/>
      <w:sz w:val="32"/>
    </w:rPr>
  </w:style>
  <w:style w:type="character" w:customStyle="1" w:styleId="132">
    <w:name w:val="批注文字 Char"/>
    <w:qFormat/>
    <w:uiPriority w:val="0"/>
    <w:rPr>
      <w:rFonts w:ascii="Times New Roman" w:hAnsi="Times New Roman" w:eastAsia="仿宋_GB2312"/>
      <w:kern w:val="2"/>
      <w:sz w:val="32"/>
    </w:rPr>
  </w:style>
  <w:style w:type="character" w:customStyle="1" w:styleId="133">
    <w:name w:val="批注框文本 字符1"/>
    <w:link w:val="56"/>
    <w:qFormat/>
    <w:uiPriority w:val="0"/>
    <w:rPr>
      <w:rFonts w:ascii="Times New Roman" w:hAnsi="Times New Roman" w:eastAsia="宋体" w:cs="Times New Roman"/>
      <w:sz w:val="18"/>
      <w:szCs w:val="18"/>
    </w:rPr>
  </w:style>
  <w:style w:type="character" w:customStyle="1" w:styleId="134">
    <w:name w:val="正文文本 Char"/>
    <w:qFormat/>
    <w:uiPriority w:val="0"/>
    <w:rPr>
      <w:rFonts w:ascii="Times New Roman" w:hAnsi="Times New Roman"/>
      <w:kern w:val="2"/>
      <w:sz w:val="21"/>
      <w:szCs w:val="24"/>
    </w:rPr>
  </w:style>
  <w:style w:type="character" w:customStyle="1" w:styleId="135">
    <w:name w:val="正文文本缩进 Char"/>
    <w:qFormat/>
    <w:uiPriority w:val="0"/>
    <w:rPr>
      <w:rFonts w:ascii="Times New Roman" w:hAnsi="Times New Roman" w:eastAsia="仿宋_GB2312" w:cs="Times New Roman"/>
      <w:sz w:val="30"/>
      <w:szCs w:val="20"/>
    </w:rPr>
  </w:style>
  <w:style w:type="character" w:customStyle="1" w:styleId="136">
    <w:name w:val="页脚 字符1"/>
    <w:link w:val="57"/>
    <w:qFormat/>
    <w:uiPriority w:val="0"/>
    <w:rPr>
      <w:rFonts w:ascii="Times New Roman" w:hAnsi="Times New Roman" w:eastAsia="宋体" w:cs="Times New Roman"/>
      <w:sz w:val="18"/>
      <w:szCs w:val="18"/>
    </w:rPr>
  </w:style>
  <w:style w:type="character" w:customStyle="1" w:styleId="137">
    <w:name w:val="页眉 字符1"/>
    <w:link w:val="59"/>
    <w:qFormat/>
    <w:uiPriority w:val="0"/>
    <w:rPr>
      <w:rFonts w:ascii="Times New Roman" w:hAnsi="Times New Roman" w:eastAsia="宋体" w:cs="Times New Roman"/>
      <w:sz w:val="18"/>
      <w:szCs w:val="18"/>
    </w:rPr>
  </w:style>
  <w:style w:type="character" w:customStyle="1" w:styleId="138">
    <w:name w:val="纯文本 字符1"/>
    <w:link w:val="47"/>
    <w:qFormat/>
    <w:uiPriority w:val="0"/>
    <w:rPr>
      <w:rFonts w:ascii="宋体" w:hAnsi="Courier New" w:cs="Courier New"/>
      <w:szCs w:val="21"/>
    </w:rPr>
  </w:style>
  <w:style w:type="character" w:customStyle="1" w:styleId="139">
    <w:name w:val="正文文本 3 字符1"/>
    <w:link w:val="33"/>
    <w:qFormat/>
    <w:uiPriority w:val="0"/>
    <w:rPr>
      <w:rFonts w:ascii="宋体" w:hAnsi="Times New Roman" w:eastAsia="宋体" w:cs="Times New Roman"/>
      <w:sz w:val="24"/>
      <w:szCs w:val="20"/>
    </w:rPr>
  </w:style>
  <w:style w:type="character" w:customStyle="1" w:styleId="140">
    <w:name w:val="纯文本 字符"/>
    <w:basedOn w:val="92"/>
    <w:qFormat/>
    <w:uiPriority w:val="0"/>
    <w:rPr>
      <w:rFonts w:hAnsi="Courier New" w:cs="Courier New" w:asciiTheme="minorEastAsia"/>
      <w:szCs w:val="24"/>
    </w:rPr>
  </w:style>
  <w:style w:type="character" w:customStyle="1" w:styleId="141">
    <w:name w:val="日期 字符1"/>
    <w:link w:val="52"/>
    <w:qFormat/>
    <w:uiPriority w:val="0"/>
    <w:rPr>
      <w:rFonts w:ascii="Times New Roman" w:hAnsi="Times New Roman" w:eastAsia="宋体" w:cs="Times New Roman"/>
      <w:sz w:val="24"/>
      <w:szCs w:val="20"/>
    </w:rPr>
  </w:style>
  <w:style w:type="character" w:customStyle="1" w:styleId="142">
    <w:name w:val="日期 Char1"/>
    <w:qFormat/>
    <w:locked/>
    <w:uiPriority w:val="0"/>
    <w:rPr>
      <w:rFonts w:ascii="Times New Roman" w:hAnsi="Times New Roman" w:eastAsia="仿宋_GB2312"/>
      <w:sz w:val="28"/>
    </w:rPr>
  </w:style>
  <w:style w:type="character" w:customStyle="1" w:styleId="143">
    <w:name w:val="正文文本缩进 2 字符"/>
    <w:basedOn w:val="92"/>
    <w:qFormat/>
    <w:uiPriority w:val="0"/>
    <w:rPr>
      <w:rFonts w:ascii="Times New Roman" w:hAnsi="Times New Roman" w:eastAsia="宋体" w:cs="Times New Roman"/>
      <w:szCs w:val="24"/>
    </w:rPr>
  </w:style>
  <w:style w:type="character" w:customStyle="1" w:styleId="144">
    <w:name w:val="正文文本缩进 2 字符1"/>
    <w:link w:val="53"/>
    <w:qFormat/>
    <w:uiPriority w:val="0"/>
    <w:rPr>
      <w:rFonts w:ascii="Calibri" w:hAnsi="Calibri" w:eastAsia="宋体" w:cs="Times New Roman"/>
      <w:lang w:val="zh-CN" w:eastAsia="zh-CN"/>
    </w:rPr>
  </w:style>
  <w:style w:type="character" w:customStyle="1" w:styleId="145">
    <w:name w:val="HTML 地址 字符"/>
    <w:basedOn w:val="92"/>
    <w:qFormat/>
    <w:uiPriority w:val="0"/>
    <w:rPr>
      <w:rFonts w:ascii="Times New Roman" w:hAnsi="Times New Roman" w:eastAsia="宋体" w:cs="Times New Roman"/>
      <w:i/>
      <w:iCs/>
      <w:szCs w:val="24"/>
    </w:rPr>
  </w:style>
  <w:style w:type="character" w:customStyle="1" w:styleId="146">
    <w:name w:val="HTML 地址 字符1"/>
    <w:link w:val="43"/>
    <w:qFormat/>
    <w:uiPriority w:val="99"/>
    <w:rPr>
      <w:rFonts w:ascii="Times New Roman" w:hAnsi="Times New Roman" w:eastAsia="仿宋_GB2312" w:cs="Times New Roman"/>
      <w:i/>
      <w:iCs/>
      <w:sz w:val="32"/>
      <w:szCs w:val="20"/>
    </w:rPr>
  </w:style>
  <w:style w:type="character" w:customStyle="1" w:styleId="147">
    <w:name w:val="HTML 预设格式 字符"/>
    <w:basedOn w:val="92"/>
    <w:qFormat/>
    <w:uiPriority w:val="0"/>
    <w:rPr>
      <w:rFonts w:ascii="Courier New" w:hAnsi="Courier New" w:eastAsia="宋体" w:cs="Courier New"/>
      <w:sz w:val="20"/>
      <w:szCs w:val="20"/>
    </w:rPr>
  </w:style>
  <w:style w:type="character" w:customStyle="1" w:styleId="148">
    <w:name w:val="HTML 预设格式 字符1"/>
    <w:link w:val="82"/>
    <w:qFormat/>
    <w:uiPriority w:val="99"/>
    <w:rPr>
      <w:rFonts w:ascii="Courier New" w:hAnsi="Courier New" w:eastAsia="仿宋_GB2312" w:cs="Courier New"/>
      <w:sz w:val="20"/>
      <w:szCs w:val="20"/>
    </w:rPr>
  </w:style>
  <w:style w:type="paragraph" w:customStyle="1" w:styleId="149">
    <w:name w:val="TOC Heading"/>
    <w:basedOn w:val="5"/>
    <w:next w:val="1"/>
    <w:semiHidden/>
    <w:unhideWhenUsed/>
    <w:qFormat/>
    <w:uiPriority w:val="39"/>
    <w:pPr>
      <w:outlineLvl w:val="9"/>
    </w:pPr>
    <w:rPr>
      <w:rFonts w:eastAsia="仿宋_GB2312"/>
    </w:rPr>
  </w:style>
  <w:style w:type="character" w:customStyle="1" w:styleId="150">
    <w:name w:val="标题 字符1"/>
    <w:link w:val="86"/>
    <w:qFormat/>
    <w:uiPriority w:val="10"/>
    <w:rPr>
      <w:rFonts w:ascii="Arial" w:hAnsi="Arial" w:eastAsia="宋体" w:cs="Times New Roman"/>
      <w:b/>
      <w:kern w:val="0"/>
      <w:sz w:val="32"/>
      <w:szCs w:val="20"/>
    </w:rPr>
  </w:style>
  <w:style w:type="character" w:customStyle="1" w:styleId="151">
    <w:name w:val="标题 2 Char"/>
    <w:semiHidden/>
    <w:qFormat/>
    <w:uiPriority w:val="9"/>
    <w:rPr>
      <w:rFonts w:ascii="Cambria" w:hAnsi="Cambria" w:eastAsia="宋体" w:cs="Times New Roman"/>
      <w:b/>
      <w:bCs/>
      <w:kern w:val="2"/>
      <w:sz w:val="32"/>
      <w:szCs w:val="32"/>
    </w:rPr>
  </w:style>
  <w:style w:type="character" w:customStyle="1" w:styleId="152">
    <w:name w:val="标题 3 字符1"/>
    <w:link w:val="7"/>
    <w:qFormat/>
    <w:uiPriority w:val="9"/>
    <w:rPr>
      <w:rFonts w:ascii="Times New Roman" w:hAnsi="Times New Roman" w:eastAsia="宋体" w:cs="Times New Roman"/>
      <w:b/>
      <w:bCs/>
      <w:sz w:val="32"/>
      <w:szCs w:val="32"/>
    </w:rPr>
  </w:style>
  <w:style w:type="character" w:customStyle="1" w:styleId="153">
    <w:name w:val="标题 4 字符1"/>
    <w:link w:val="8"/>
    <w:qFormat/>
    <w:uiPriority w:val="9"/>
    <w:rPr>
      <w:rFonts w:ascii="Arial" w:hAnsi="Arial" w:eastAsia="黑体" w:cs="Times New Roman"/>
      <w:b/>
      <w:bCs/>
      <w:sz w:val="28"/>
      <w:szCs w:val="28"/>
    </w:rPr>
  </w:style>
  <w:style w:type="character" w:customStyle="1" w:styleId="154">
    <w:name w:val="标题 5 字符1"/>
    <w:link w:val="9"/>
    <w:semiHidden/>
    <w:qFormat/>
    <w:uiPriority w:val="9"/>
    <w:rPr>
      <w:rFonts w:ascii="Times New Roman" w:hAnsi="Times New Roman" w:eastAsia="仿宋_GB2312" w:cs="Times New Roman"/>
      <w:b/>
      <w:bCs/>
      <w:sz w:val="28"/>
      <w:szCs w:val="28"/>
    </w:rPr>
  </w:style>
  <w:style w:type="character" w:customStyle="1" w:styleId="155">
    <w:name w:val="标题 6 字符1"/>
    <w:link w:val="10"/>
    <w:qFormat/>
    <w:uiPriority w:val="9"/>
    <w:rPr>
      <w:rFonts w:ascii="Arial" w:hAnsi="Arial" w:eastAsia="黑体" w:cs="Times New Roman"/>
      <w:b/>
      <w:bCs/>
      <w:kern w:val="0"/>
      <w:sz w:val="24"/>
      <w:szCs w:val="24"/>
    </w:rPr>
  </w:style>
  <w:style w:type="character" w:customStyle="1" w:styleId="156">
    <w:name w:val="标题 7 字符1"/>
    <w:link w:val="11"/>
    <w:qFormat/>
    <w:uiPriority w:val="9"/>
    <w:rPr>
      <w:rFonts w:ascii="Times New Roman" w:hAnsi="Times New Roman" w:eastAsia="宋体" w:cs="Times New Roman"/>
      <w:b/>
      <w:bCs/>
      <w:kern w:val="0"/>
      <w:sz w:val="24"/>
      <w:szCs w:val="24"/>
    </w:rPr>
  </w:style>
  <w:style w:type="character" w:customStyle="1" w:styleId="157">
    <w:name w:val="标题 8 字符1"/>
    <w:link w:val="12"/>
    <w:qFormat/>
    <w:uiPriority w:val="9"/>
    <w:rPr>
      <w:rFonts w:ascii="Arial" w:hAnsi="Arial" w:eastAsia="黑体" w:cs="Times New Roman"/>
      <w:kern w:val="0"/>
      <w:sz w:val="24"/>
      <w:szCs w:val="24"/>
    </w:rPr>
  </w:style>
  <w:style w:type="character" w:customStyle="1" w:styleId="158">
    <w:name w:val="标题 9 字符1"/>
    <w:link w:val="13"/>
    <w:qFormat/>
    <w:uiPriority w:val="9"/>
    <w:rPr>
      <w:rFonts w:ascii="Arial" w:hAnsi="Arial" w:eastAsia="黑体" w:cs="Times New Roman"/>
      <w:kern w:val="0"/>
      <w:szCs w:val="21"/>
    </w:rPr>
  </w:style>
  <w:style w:type="character" w:customStyle="1" w:styleId="159">
    <w:name w:val="称呼 字符"/>
    <w:basedOn w:val="92"/>
    <w:qFormat/>
    <w:uiPriority w:val="0"/>
    <w:rPr>
      <w:rFonts w:ascii="Times New Roman" w:hAnsi="Times New Roman" w:eastAsia="宋体" w:cs="Times New Roman"/>
      <w:szCs w:val="24"/>
    </w:rPr>
  </w:style>
  <w:style w:type="character" w:customStyle="1" w:styleId="160">
    <w:name w:val="称呼 字符1"/>
    <w:link w:val="32"/>
    <w:qFormat/>
    <w:uiPriority w:val="99"/>
    <w:rPr>
      <w:rFonts w:ascii="Times New Roman" w:hAnsi="Times New Roman" w:eastAsia="仿宋_GB2312" w:cs="Times New Roman"/>
      <w:sz w:val="32"/>
      <w:szCs w:val="20"/>
    </w:rPr>
  </w:style>
  <w:style w:type="character" w:customStyle="1" w:styleId="161">
    <w:name w:val="电子邮件签名 字符"/>
    <w:basedOn w:val="92"/>
    <w:qFormat/>
    <w:uiPriority w:val="0"/>
    <w:rPr>
      <w:rFonts w:ascii="Times New Roman" w:hAnsi="Times New Roman" w:eastAsia="宋体" w:cs="Times New Roman"/>
      <w:szCs w:val="24"/>
    </w:rPr>
  </w:style>
  <w:style w:type="character" w:customStyle="1" w:styleId="162">
    <w:name w:val="电子邮件签名 字符1"/>
    <w:link w:val="21"/>
    <w:qFormat/>
    <w:uiPriority w:val="99"/>
    <w:rPr>
      <w:rFonts w:ascii="Times New Roman" w:hAnsi="Times New Roman" w:eastAsia="仿宋_GB2312" w:cs="Times New Roman"/>
      <w:sz w:val="32"/>
      <w:szCs w:val="20"/>
    </w:rPr>
  </w:style>
  <w:style w:type="character" w:customStyle="1" w:styleId="163">
    <w:name w:val="副标题 字符"/>
    <w:basedOn w:val="92"/>
    <w:qFormat/>
    <w:uiPriority w:val="0"/>
    <w:rPr>
      <w:b/>
      <w:bCs/>
      <w:kern w:val="28"/>
      <w:sz w:val="32"/>
      <w:szCs w:val="32"/>
    </w:rPr>
  </w:style>
  <w:style w:type="character" w:customStyle="1" w:styleId="164">
    <w:name w:val="副标题 字符1"/>
    <w:link w:val="66"/>
    <w:qFormat/>
    <w:uiPriority w:val="11"/>
    <w:rPr>
      <w:rFonts w:ascii="Cambria" w:hAnsi="Cambria" w:eastAsia="宋体" w:cs="Times New Roman"/>
      <w:b/>
      <w:bCs/>
      <w:kern w:val="28"/>
      <w:sz w:val="32"/>
      <w:szCs w:val="32"/>
    </w:rPr>
  </w:style>
  <w:style w:type="character" w:customStyle="1" w:styleId="165">
    <w:name w:val="宏文本 字符"/>
    <w:basedOn w:val="92"/>
    <w:qFormat/>
    <w:uiPriority w:val="0"/>
    <w:rPr>
      <w:rFonts w:ascii="Courier New" w:hAnsi="Courier New" w:eastAsia="宋体" w:cs="Courier New"/>
      <w:sz w:val="24"/>
      <w:szCs w:val="24"/>
    </w:rPr>
  </w:style>
  <w:style w:type="character" w:customStyle="1" w:styleId="166">
    <w:name w:val="宏文本 字符1"/>
    <w:link w:val="4"/>
    <w:qFormat/>
    <w:uiPriority w:val="99"/>
    <w:rPr>
      <w:rFonts w:ascii="Courier New" w:hAnsi="Courier New" w:eastAsia="宋体" w:cs="Courier New"/>
      <w:sz w:val="24"/>
      <w:szCs w:val="24"/>
    </w:rPr>
  </w:style>
  <w:style w:type="character" w:customStyle="1" w:styleId="167">
    <w:name w:val="脚注文本 字符"/>
    <w:basedOn w:val="92"/>
    <w:qFormat/>
    <w:uiPriority w:val="0"/>
    <w:rPr>
      <w:rFonts w:ascii="Times New Roman" w:hAnsi="Times New Roman" w:eastAsia="宋体" w:cs="Times New Roman"/>
      <w:sz w:val="18"/>
      <w:szCs w:val="18"/>
    </w:rPr>
  </w:style>
  <w:style w:type="character" w:customStyle="1" w:styleId="168">
    <w:name w:val="脚注文本 字符1"/>
    <w:link w:val="69"/>
    <w:qFormat/>
    <w:uiPriority w:val="99"/>
    <w:rPr>
      <w:rFonts w:ascii="Times New Roman" w:hAnsi="Times New Roman" w:eastAsia="仿宋_GB2312" w:cs="Times New Roman"/>
      <w:sz w:val="18"/>
      <w:szCs w:val="18"/>
    </w:rPr>
  </w:style>
  <w:style w:type="character" w:customStyle="1" w:styleId="169">
    <w:name w:val="结束语 字符"/>
    <w:basedOn w:val="92"/>
    <w:qFormat/>
    <w:uiPriority w:val="0"/>
    <w:rPr>
      <w:rFonts w:ascii="Times New Roman" w:hAnsi="Times New Roman" w:eastAsia="宋体" w:cs="Times New Roman"/>
      <w:szCs w:val="24"/>
    </w:rPr>
  </w:style>
  <w:style w:type="character" w:customStyle="1" w:styleId="170">
    <w:name w:val="结束语 字符1"/>
    <w:link w:val="34"/>
    <w:qFormat/>
    <w:uiPriority w:val="99"/>
    <w:rPr>
      <w:rFonts w:ascii="Times New Roman" w:hAnsi="Times New Roman" w:eastAsia="仿宋_GB2312" w:cs="Times New Roman"/>
      <w:sz w:val="32"/>
      <w:szCs w:val="20"/>
    </w:rPr>
  </w:style>
  <w:style w:type="paragraph" w:styleId="171">
    <w:name w:val="List Paragraph"/>
    <w:basedOn w:val="1"/>
    <w:qFormat/>
    <w:uiPriority w:val="34"/>
    <w:pPr>
      <w:ind w:firstLine="420" w:firstLineChars="200"/>
    </w:pPr>
    <w:rPr>
      <w:rFonts w:eastAsia="仿宋_GB2312"/>
      <w:sz w:val="32"/>
      <w:szCs w:val="20"/>
    </w:rPr>
  </w:style>
  <w:style w:type="paragraph" w:styleId="172">
    <w:name w:val="Intense Quote"/>
    <w:basedOn w:val="1"/>
    <w:next w:val="1"/>
    <w:link w:val="174"/>
    <w:qFormat/>
    <w:uiPriority w:val="30"/>
    <w:pPr>
      <w:pBdr>
        <w:bottom w:val="single" w:color="4F81BD" w:sz="4" w:space="4"/>
      </w:pBdr>
      <w:spacing w:before="200" w:after="280"/>
      <w:ind w:left="936" w:right="936"/>
    </w:pPr>
    <w:rPr>
      <w:rFonts w:eastAsia="仿宋_GB2312"/>
      <w:b/>
      <w:bCs/>
      <w:i/>
      <w:iCs/>
      <w:color w:val="4F81BD"/>
      <w:sz w:val="32"/>
      <w:szCs w:val="20"/>
    </w:rPr>
  </w:style>
  <w:style w:type="character" w:customStyle="1" w:styleId="173">
    <w:name w:val="明显引用 字符"/>
    <w:basedOn w:val="92"/>
    <w:qFormat/>
    <w:uiPriority w:val="30"/>
    <w:rPr>
      <w:rFonts w:ascii="Times New Roman" w:hAnsi="Times New Roman" w:eastAsia="宋体" w:cs="Times New Roman"/>
      <w:i/>
      <w:iCs/>
      <w:color w:val="5B9BD5" w:themeColor="accent1"/>
      <w:szCs w:val="24"/>
      <w14:textFill>
        <w14:solidFill>
          <w14:schemeClr w14:val="accent1"/>
        </w14:solidFill>
      </w14:textFill>
    </w:rPr>
  </w:style>
  <w:style w:type="character" w:customStyle="1" w:styleId="174">
    <w:name w:val="明显引用 字符1"/>
    <w:link w:val="172"/>
    <w:qFormat/>
    <w:uiPriority w:val="30"/>
    <w:rPr>
      <w:rFonts w:ascii="Times New Roman" w:hAnsi="Times New Roman" w:eastAsia="仿宋_GB2312" w:cs="Times New Roman"/>
      <w:b/>
      <w:bCs/>
      <w:i/>
      <w:iCs/>
      <w:color w:val="4F81BD"/>
      <w:sz w:val="32"/>
      <w:szCs w:val="20"/>
    </w:rPr>
  </w:style>
  <w:style w:type="character" w:customStyle="1" w:styleId="175">
    <w:name w:val="签名 字符"/>
    <w:basedOn w:val="92"/>
    <w:qFormat/>
    <w:uiPriority w:val="0"/>
    <w:rPr>
      <w:rFonts w:ascii="Times New Roman" w:hAnsi="Times New Roman" w:eastAsia="宋体" w:cs="Times New Roman"/>
      <w:szCs w:val="24"/>
    </w:rPr>
  </w:style>
  <w:style w:type="character" w:customStyle="1" w:styleId="176">
    <w:name w:val="签名 字符1"/>
    <w:link w:val="60"/>
    <w:qFormat/>
    <w:uiPriority w:val="99"/>
    <w:rPr>
      <w:rFonts w:ascii="Times New Roman" w:hAnsi="Times New Roman" w:eastAsia="仿宋_GB2312" w:cs="Times New Roman"/>
      <w:sz w:val="32"/>
      <w:szCs w:val="20"/>
    </w:rPr>
  </w:style>
  <w:style w:type="paragraph" w:customStyle="1" w:styleId="177">
    <w:name w:val="Bibliography"/>
    <w:basedOn w:val="1"/>
    <w:next w:val="1"/>
    <w:semiHidden/>
    <w:unhideWhenUsed/>
    <w:qFormat/>
    <w:uiPriority w:val="37"/>
    <w:rPr>
      <w:rFonts w:eastAsia="仿宋_GB2312"/>
      <w:sz w:val="32"/>
      <w:szCs w:val="20"/>
    </w:rPr>
  </w:style>
  <w:style w:type="character" w:customStyle="1" w:styleId="178">
    <w:name w:val="尾注文本 字符"/>
    <w:basedOn w:val="92"/>
    <w:qFormat/>
    <w:uiPriority w:val="0"/>
    <w:rPr>
      <w:rFonts w:ascii="Times New Roman" w:hAnsi="Times New Roman" w:eastAsia="宋体" w:cs="Times New Roman"/>
      <w:szCs w:val="24"/>
    </w:rPr>
  </w:style>
  <w:style w:type="character" w:customStyle="1" w:styleId="179">
    <w:name w:val="尾注文本 字符1"/>
    <w:link w:val="54"/>
    <w:qFormat/>
    <w:uiPriority w:val="99"/>
    <w:rPr>
      <w:rFonts w:ascii="Times New Roman" w:hAnsi="Times New Roman" w:eastAsia="仿宋_GB2312" w:cs="Times New Roman"/>
      <w:sz w:val="32"/>
      <w:szCs w:val="20"/>
    </w:rPr>
  </w:style>
  <w:style w:type="character" w:customStyle="1" w:styleId="180">
    <w:name w:val="文档结构图 字符1"/>
    <w:link w:val="28"/>
    <w:semiHidden/>
    <w:qFormat/>
    <w:uiPriority w:val="99"/>
    <w:rPr>
      <w:rFonts w:ascii="Times New Roman" w:hAnsi="Times New Roman" w:eastAsia="宋体" w:cs="Times New Roman"/>
      <w:szCs w:val="24"/>
      <w:shd w:val="clear" w:color="auto" w:fill="000080"/>
    </w:rPr>
  </w:style>
  <w:style w:type="paragraph" w:styleId="181">
    <w:name w:val="No Spacing"/>
    <w:qFormat/>
    <w:uiPriority w:val="1"/>
    <w:pPr>
      <w:widowControl w:val="0"/>
      <w:jc w:val="both"/>
    </w:pPr>
    <w:rPr>
      <w:rFonts w:ascii="Times New Roman" w:hAnsi="Times New Roman" w:eastAsia="仿宋_GB2312" w:cs="Times New Roman"/>
      <w:kern w:val="2"/>
      <w:sz w:val="32"/>
      <w:szCs w:val="20"/>
      <w:lang w:val="en-US" w:eastAsia="zh-CN" w:bidi="ar-SA"/>
    </w:rPr>
  </w:style>
  <w:style w:type="character" w:customStyle="1" w:styleId="182">
    <w:name w:val="信息标题 字符"/>
    <w:basedOn w:val="92"/>
    <w:qFormat/>
    <w:uiPriority w:val="0"/>
    <w:rPr>
      <w:rFonts w:asciiTheme="majorHAnsi" w:hAnsiTheme="majorHAnsi" w:eastAsiaTheme="majorEastAsia" w:cstheme="majorBidi"/>
      <w:sz w:val="24"/>
      <w:szCs w:val="24"/>
      <w:shd w:val="pct20" w:color="auto" w:fill="auto"/>
    </w:rPr>
  </w:style>
  <w:style w:type="character" w:customStyle="1" w:styleId="183">
    <w:name w:val="信息标题 字符1"/>
    <w:link w:val="81"/>
    <w:qFormat/>
    <w:uiPriority w:val="99"/>
    <w:rPr>
      <w:rFonts w:ascii="Cambria" w:hAnsi="Cambria" w:eastAsia="宋体" w:cs="Times New Roman"/>
      <w:sz w:val="24"/>
      <w:szCs w:val="24"/>
      <w:shd w:val="pct20" w:color="auto" w:fill="auto"/>
    </w:rPr>
  </w:style>
  <w:style w:type="paragraph" w:styleId="184">
    <w:name w:val="Quote"/>
    <w:basedOn w:val="1"/>
    <w:next w:val="1"/>
    <w:link w:val="186"/>
    <w:qFormat/>
    <w:uiPriority w:val="29"/>
    <w:rPr>
      <w:rFonts w:eastAsia="仿宋_GB2312"/>
      <w:i/>
      <w:iCs/>
      <w:color w:val="000000"/>
      <w:sz w:val="32"/>
      <w:szCs w:val="20"/>
    </w:rPr>
  </w:style>
  <w:style w:type="character" w:customStyle="1" w:styleId="185">
    <w:name w:val="引用 字符"/>
    <w:basedOn w:val="92"/>
    <w:qFormat/>
    <w:uiPriority w:val="29"/>
    <w:rPr>
      <w:rFonts w:ascii="Times New Roman" w:hAnsi="Times New Roman" w:eastAsia="宋体" w:cs="Times New Roman"/>
      <w:i/>
      <w:iCs/>
      <w:color w:val="404040" w:themeColor="text1" w:themeTint="BF"/>
      <w:szCs w:val="24"/>
      <w14:textFill>
        <w14:solidFill>
          <w14:schemeClr w14:val="tx1">
            <w14:lumMod w14:val="75000"/>
            <w14:lumOff w14:val="25000"/>
          </w14:schemeClr>
        </w14:solidFill>
      </w14:textFill>
    </w:rPr>
  </w:style>
  <w:style w:type="character" w:customStyle="1" w:styleId="186">
    <w:name w:val="引用 字符1"/>
    <w:link w:val="184"/>
    <w:qFormat/>
    <w:uiPriority w:val="29"/>
    <w:rPr>
      <w:rFonts w:ascii="Times New Roman" w:hAnsi="Times New Roman" w:eastAsia="仿宋_GB2312" w:cs="Times New Roman"/>
      <w:i/>
      <w:iCs/>
      <w:color w:val="000000"/>
      <w:sz w:val="32"/>
      <w:szCs w:val="20"/>
    </w:rPr>
  </w:style>
  <w:style w:type="character" w:customStyle="1" w:styleId="187">
    <w:name w:val="正文首行缩进 字符"/>
    <w:basedOn w:val="119"/>
    <w:qFormat/>
    <w:uiPriority w:val="0"/>
    <w:rPr>
      <w:rFonts w:ascii="Times New Roman" w:hAnsi="Times New Roman" w:eastAsia="宋体" w:cs="Times New Roman"/>
      <w:szCs w:val="24"/>
    </w:rPr>
  </w:style>
  <w:style w:type="character" w:customStyle="1" w:styleId="188">
    <w:name w:val="正文首行缩进 字符1"/>
    <w:link w:val="88"/>
    <w:qFormat/>
    <w:uiPriority w:val="99"/>
    <w:rPr>
      <w:rFonts w:ascii="Times New Roman" w:hAnsi="Times New Roman" w:eastAsia="仿宋_GB2312" w:cs="Times New Roman"/>
      <w:sz w:val="32"/>
      <w:szCs w:val="20"/>
    </w:rPr>
  </w:style>
  <w:style w:type="character" w:customStyle="1" w:styleId="189">
    <w:name w:val="正文首行缩进 2 字符"/>
    <w:basedOn w:val="115"/>
    <w:qFormat/>
    <w:uiPriority w:val="0"/>
    <w:rPr>
      <w:rFonts w:ascii="Times New Roman" w:hAnsi="Times New Roman" w:eastAsia="宋体" w:cs="Times New Roman"/>
      <w:szCs w:val="24"/>
    </w:rPr>
  </w:style>
  <w:style w:type="character" w:customStyle="1" w:styleId="190">
    <w:name w:val="正文首行缩进 2 字符1"/>
    <w:link w:val="89"/>
    <w:qFormat/>
    <w:uiPriority w:val="99"/>
    <w:rPr>
      <w:rFonts w:ascii="Times New Roman" w:hAnsi="Times New Roman" w:eastAsia="仿宋_GB2312" w:cs="Times New Roman"/>
      <w:sz w:val="32"/>
      <w:szCs w:val="20"/>
    </w:rPr>
  </w:style>
  <w:style w:type="character" w:customStyle="1" w:styleId="191">
    <w:name w:val="正文文本 2 字符"/>
    <w:basedOn w:val="92"/>
    <w:qFormat/>
    <w:uiPriority w:val="0"/>
    <w:rPr>
      <w:rFonts w:ascii="Times New Roman" w:hAnsi="Times New Roman" w:eastAsia="宋体" w:cs="Times New Roman"/>
      <w:szCs w:val="24"/>
    </w:rPr>
  </w:style>
  <w:style w:type="character" w:customStyle="1" w:styleId="192">
    <w:name w:val="正文文本 2 字符1"/>
    <w:link w:val="78"/>
    <w:qFormat/>
    <w:uiPriority w:val="99"/>
    <w:rPr>
      <w:rFonts w:ascii="Times New Roman" w:hAnsi="Times New Roman" w:eastAsia="仿宋_GB2312" w:cs="Times New Roman"/>
      <w:sz w:val="32"/>
      <w:szCs w:val="20"/>
    </w:rPr>
  </w:style>
  <w:style w:type="character" w:customStyle="1" w:styleId="193">
    <w:name w:val="正文文本缩进 3 字符1"/>
    <w:link w:val="72"/>
    <w:qFormat/>
    <w:uiPriority w:val="99"/>
    <w:rPr>
      <w:rFonts w:ascii="Times New Roman" w:hAnsi="Times New Roman" w:eastAsia="宋体" w:cs="Times New Roman"/>
      <w:sz w:val="16"/>
      <w:szCs w:val="16"/>
    </w:rPr>
  </w:style>
  <w:style w:type="character" w:customStyle="1" w:styleId="194">
    <w:name w:val="注释标题 字符"/>
    <w:basedOn w:val="92"/>
    <w:qFormat/>
    <w:uiPriority w:val="0"/>
    <w:rPr>
      <w:rFonts w:ascii="Times New Roman" w:hAnsi="Times New Roman" w:eastAsia="宋体" w:cs="Times New Roman"/>
      <w:szCs w:val="24"/>
    </w:rPr>
  </w:style>
  <w:style w:type="character" w:customStyle="1" w:styleId="195">
    <w:name w:val="注释标题 字符1"/>
    <w:link w:val="18"/>
    <w:qFormat/>
    <w:uiPriority w:val="99"/>
    <w:rPr>
      <w:rFonts w:ascii="Times New Roman" w:hAnsi="Times New Roman" w:eastAsia="仿宋_GB2312" w:cs="Times New Roman"/>
      <w:sz w:val="32"/>
      <w:szCs w:val="20"/>
    </w:rPr>
  </w:style>
  <w:style w:type="paragraph" w:customStyle="1" w:styleId="196">
    <w:name w:val="正文 A"/>
    <w:basedOn w:val="1"/>
    <w:qFormat/>
    <w:uiPriority w:val="0"/>
    <w:rPr>
      <w:rFonts w:eastAsia="Arial Unicode MS" w:cs="Arial Unicode MS"/>
      <w:color w:val="000000"/>
      <w:szCs w:val="21"/>
    </w:rPr>
  </w:style>
  <w:style w:type="character" w:customStyle="1" w:styleId="197">
    <w:name w:val="font21"/>
    <w:basedOn w:val="92"/>
    <w:qFormat/>
    <w:uiPriority w:val="0"/>
    <w:rPr>
      <w:rFonts w:hint="eastAsia" w:ascii="仿宋" w:hAnsi="仿宋" w:eastAsia="仿宋" w:cs="仿宋"/>
      <w:b/>
      <w:bCs/>
      <w:color w:val="000000"/>
      <w:sz w:val="20"/>
      <w:szCs w:val="20"/>
      <w:u w:val="none"/>
    </w:rPr>
  </w:style>
  <w:style w:type="paragraph" w:customStyle="1" w:styleId="198">
    <w:name w:val="样式1"/>
    <w:basedOn w:val="1"/>
    <w:qFormat/>
    <w:uiPriority w:val="0"/>
    <w:rPr>
      <w:b/>
      <w:color w:val="538135"/>
      <w:sz w:val="28"/>
    </w:rPr>
  </w:style>
  <w:style w:type="character" w:customStyle="1" w:styleId="199">
    <w:name w:val="font31"/>
    <w:basedOn w:val="92"/>
    <w:qFormat/>
    <w:uiPriority w:val="0"/>
    <w:rPr>
      <w:rFonts w:hint="default" w:ascii="Tahoma" w:hAnsi="Tahoma" w:eastAsia="Tahoma" w:cs="Tahoma"/>
      <w:color w:val="3B3B3B"/>
      <w:sz w:val="24"/>
      <w:szCs w:val="24"/>
      <w:u w:val="none"/>
    </w:rPr>
  </w:style>
  <w:style w:type="character" w:customStyle="1" w:styleId="200">
    <w:name w:val="font71"/>
    <w:basedOn w:val="92"/>
    <w:qFormat/>
    <w:uiPriority w:val="0"/>
    <w:rPr>
      <w:rFonts w:hint="eastAsia" w:ascii="宋体" w:hAnsi="宋体" w:eastAsia="宋体" w:cs="宋体"/>
      <w:color w:val="FF0000"/>
      <w:sz w:val="24"/>
      <w:szCs w:val="24"/>
      <w:u w:val="none"/>
    </w:rPr>
  </w:style>
  <w:style w:type="character" w:customStyle="1" w:styleId="201">
    <w:name w:val="font41"/>
    <w:basedOn w:val="92"/>
    <w:qFormat/>
    <w:uiPriority w:val="0"/>
    <w:rPr>
      <w:rFonts w:hint="eastAsia" w:ascii="宋体" w:hAnsi="宋体" w:eastAsia="宋体" w:cs="宋体"/>
      <w:color w:val="3B3B3B"/>
      <w:sz w:val="24"/>
      <w:szCs w:val="24"/>
      <w:u w:val="none"/>
    </w:rPr>
  </w:style>
  <w:style w:type="character" w:customStyle="1" w:styleId="202">
    <w:name w:val="font51"/>
    <w:basedOn w:val="92"/>
    <w:qFormat/>
    <w:uiPriority w:val="0"/>
    <w:rPr>
      <w:rFonts w:hint="eastAsia" w:ascii="宋体" w:hAnsi="宋体" w:eastAsia="宋体" w:cs="宋体"/>
      <w:color w:val="3B3B3B"/>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5F67F-F113-4E33-A20B-154D52B0601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2113</Words>
  <Characters>2897</Characters>
  <Lines>8</Lines>
  <Paragraphs>2</Paragraphs>
  <TotalTime>6</TotalTime>
  <ScaleCrop>false</ScaleCrop>
  <LinksUpToDate>false</LinksUpToDate>
  <CharactersWithSpaces>2935</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2020-02-26T05:27:00Z</dcterms:created>
  <dc:creator>葛绍邦(Shaobang Ge)</dc:creator>
  <cp:lastModifiedBy>婪涂涂</cp:lastModifiedBy>
  <dcterms:modified xsi:type="dcterms:W3CDTF">2024-08-09T06:56:42Z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220CF02160434EE89FE4D22CE802C8C6</vt:lpwstr>
  </property>
</Properties>
</file>