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color w:val="auto"/>
          <w:sz w:val="44"/>
          <w:szCs w:val="44"/>
          <w:u w:val="none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广西田林百矿铝业有限公司2024年反击式破碎机项修物资采购项目</w:t>
      </w: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u w:val="none"/>
        </w:rPr>
        <w:t>招标公告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类（注：新用户时请选择此类别，否则无法报名）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项目名称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/>
          <w:lang w:eastAsia="zh-CN"/>
        </w:rPr>
        <w:t>广西田林百矿铝业有限公司2024年反击式破碎机项修物资采购项目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2.项目概况与招标范围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广西田林百矿铝业有限公司位于广西田林县旧州镇工业园区，占地面积约800亩。建成规模：年产30万吨原铝铝水。现就广西田林百矿铝业有限公司2024年反击式破碎机项修物资采购项目进行招标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2.2招标范围：</w:t>
      </w:r>
    </w:p>
    <w:tbl>
      <w:tblPr>
        <w:tblStyle w:val="14"/>
        <w:tblW w:w="9520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39"/>
        <w:gridCol w:w="1197"/>
        <w:gridCol w:w="3003"/>
        <w:gridCol w:w="748"/>
        <w:gridCol w:w="790"/>
        <w:gridCol w:w="2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田林铝厂阳极组装车间反击式破碎机项修物资清单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型号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 要求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主轴转子总成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含主轴、转子、板锤、楔块、皮带轮、轴承、螺杆。材料；轴，40Cr:转子，#45钢；板锤、ZGMn13: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破碎机生产厂家：河南黎明重工科技股份有限公司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破碎机型号：PFW1214III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反击板总成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含夹板、挡块、大小反击板、弹簧、拉杆、调整机构、配套螺杆。材料：大小反击板，ZGMn13:弹簧，优质弹簧钢；其他#45钢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耐磨含螺栓、螺母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</w:tbl>
    <w:p>
      <w:pPr>
        <w:spacing w:line="440" w:lineRule="exact"/>
        <w:jc w:val="left"/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2.3交货期：合同签订后30天内到货。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3.投标人资格要求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本次招标要求投标人具备以下资质。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3.1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trike/>
          <w:dstrike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 xml:space="preserve">3.3 </w:t>
      </w:r>
      <w:r>
        <w:rPr>
          <w:rFonts w:hint="eastAsia" w:ascii="微软雅黑" w:hAnsi="微软雅黑" w:eastAsia="微软雅黑" w:cs="微软雅黑"/>
          <w:bCs/>
          <w:strike w:val="0"/>
          <w:color w:val="auto"/>
          <w:sz w:val="24"/>
          <w:szCs w:val="24"/>
          <w:highlight w:val="none"/>
          <w:lang w:val="en-US" w:eastAsia="zh-CN"/>
        </w:rPr>
        <w:t>投标人须具备机械设备生产制造能力或经营、销售范围。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trike w:val="0"/>
          <w:dstrike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3.4</w:t>
      </w:r>
      <w:r>
        <w:rPr>
          <w:rFonts w:hint="eastAsia" w:ascii="微软雅黑" w:hAnsi="微软雅黑" w:eastAsia="微软雅黑" w:cs="微软雅黑"/>
          <w:bCs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trike w:val="0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微软雅黑" w:hAnsi="微软雅黑" w:eastAsia="微软雅黑" w:cs="微软雅黑"/>
          <w:bCs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在近3年内不少于3个破碎机配件业绩（其中至少有2个为反击式破碎机配件业绩）</w:t>
      </w:r>
      <w:r>
        <w:rPr>
          <w:rFonts w:hint="eastAsia" w:ascii="微软雅黑" w:hAnsi="微软雅黑" w:eastAsia="微软雅黑" w:cs="微软雅黑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（业绩须附列表及对应列表的合同原件扫描件。合同原件扫描件含首尾页、供货设备规格型号的供货清单、签字盖章页，否则按无效业绩处理）</w:t>
      </w:r>
      <w:r>
        <w:rPr>
          <w:rFonts w:hint="eastAsia" w:ascii="微软雅黑" w:hAnsi="微软雅黑" w:eastAsia="微软雅黑" w:cs="微软雅黑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3.6近年来有较好业绩且无不良商业行为。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3.7具有良好的商业信誉和健全的财务会计制度。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3.8本次招标不接受联合体投标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4.投标报名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4.1报名方式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4.1.1 *凡有意参加报名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的投标人，请至吉利控股集团招标采购平台（glzb.geely.com）注册报名，可在平台网站首页点击“下载供应商服务手册”查看《吉利电子采购招标平台操作手册（供应商端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》,投标人根据手册要求进行注册，认证完成后为注册成功后。供应商根据公告项目名称，按照报名要求上传资料。未按照此方式报名的，视作无效报名。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4.1.2 *报名截止时间：20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</w:rPr>
        <w:t>（未在招标网上注册过的供应商，因注册后需要审核，请至少提前一天进行注册）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4.2报名资料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报名资料于报名截止时间前上传至吉利控股集团招标采购平台，报名资料包含但不限于以下内容：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a、三证合一的营业执照副本；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、类似项目业绩证明及证明材料（提供合同扫描件，涉及机密部分可隐去）；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企业概况及履约能力说明；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、经第三方审计的近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年财务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审计报告或税务系统下载的企业年度财务报表（申报系统上导出的资产负债表、利润表/损益表、现金流量表）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4.3提交材料要求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a、合同请扫描成一份PDF文件，严禁将合同分成一张张图片上传；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b、请提供合同原件扫描件、合同扫描件需体现合作对象、合作时间、服务内容等信息（价格部分可隐藏）；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c、合同扫描件请命名：与XXXX公司合作合同（合同内容：XXX），如：与田田碳素合作合同（合同内容：xxx供货）；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1、请供应商务必按照要求提交业绩材料，如因供应商提交的材料不符合要求而造成供应商被淘汰，招标方不承担任何责任。以上资料扫描命名打包，报名资料需在报名截止时间前上传，逾期报名无效。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2、投标人若主动放弃投标（含未提交资料、未缴保证金、主动放弃等），需在投标截止前向招标人提供书面声明放弃文件，表明意愿及原因，并加盖公章。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5.招标文件的获取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5.1报名截止后，对所有报名单位进行资格初审，初审合格后购买招标文件；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5.2招标文件每套售价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元，售后不退；同时将汇款凭证、公司开票信息、发票收件地址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收件人名字、联系电话，并备注清楚发票类型( 普票或专票)发送至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邮箱Qing.Liang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@geely.com。“（注：必须公对公转账，不能以个人名义汇款，缴纳标书费15日内必须把材料发送指定邮箱，逾期，将不开具增值税专用发票）。</w:t>
      </w:r>
    </w:p>
    <w:p>
      <w:pPr>
        <w:snapToGrid w:val="0"/>
        <w:spacing w:line="440" w:lineRule="exact"/>
        <w:ind w:firstLine="480" w:firstLineChars="200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5.3 标书费请汇至：（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汇款时备注：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u w:val="single"/>
          <w:lang w:eastAsia="zh-CN"/>
        </w:rPr>
        <w:t>广西田林百矿铝业有限公司2024年反击式破碎机项修物资采购项目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u w:val="single"/>
        </w:rPr>
        <w:t>标书费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）</w:t>
      </w:r>
    </w:p>
    <w:p>
      <w:pPr>
        <w:snapToGrid w:val="0"/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  <w:t>开户户名：吉利百矿集团有限公司</w:t>
      </w:r>
    </w:p>
    <w:p>
      <w:pPr>
        <w:snapToGrid w:val="0"/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  <w:t>开户银行：中国建设银行股份有限公司百色分行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  <w:t>开户账号：45001676101059000168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6.发布公告的媒介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本次招标公告只在吉利控股集团招标采购平台glzb.geely.com上发布，其他媒体转载无效。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7.联系方式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招标人：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广西田林百矿铝业有限公司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 xml:space="preserve">招标组织单位：吉利百矿集团有限公司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招标组织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地址：广西百色市右江区东增路188号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开标地址：广西百色市右江区东增路188号吉利百矿集团有限公司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邮编：533000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陆  星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 xml:space="preserve">  手机号：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18778635522  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E-mail :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Xing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.L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u02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@geely.com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技术：吴  迪  手机号：18007763937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E-mail :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Di.Wu04@geely.com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注：无论投标结果如何，投标人自行承担所有与参加投标活动有关的全部费用。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投诉、举报电话：0571-28098168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（吉利科技供应链管理部）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举报邮箱：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geelytech.bid@geely.com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。</w:t>
      </w:r>
    </w:p>
    <w:p>
      <w:pPr>
        <w:spacing w:line="440" w:lineRule="exac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</w:p>
    <w:p>
      <w:pPr>
        <w:widowControl/>
        <w:spacing w:line="440" w:lineRule="exact"/>
        <w:ind w:left="6550" w:leftChars="1445" w:hanging="3516" w:hangingChars="1465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    </w:t>
      </w:r>
    </w:p>
    <w:p>
      <w:pPr>
        <w:widowControl/>
        <w:spacing w:line="440" w:lineRule="exact"/>
        <w:ind w:left="6550" w:leftChars="1445" w:hanging="3516" w:hangingChars="1465"/>
        <w:jc w:val="center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招标组织单位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val="single"/>
        </w:rPr>
        <w:t xml:space="preserve">吉利百矿集团有限公司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 xml:space="preserve"> </w:t>
      </w:r>
    </w:p>
    <w:p>
      <w:pPr>
        <w:widowControl/>
        <w:spacing w:line="440" w:lineRule="exact"/>
        <w:ind w:left="6550" w:leftChars="1445" w:right="480" w:hanging="3516" w:hangingChars="1465"/>
        <w:jc w:val="center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val="single"/>
        </w:rPr>
        <w:t>20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val="singl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91" w:bottom="1134" w:left="1191" w:header="567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8205"/>
        <w:tab w:val="clear" w:pos="4153"/>
      </w:tabs>
      <w:jc w:val="both"/>
      <w:rPr>
        <w:rFonts w:hint="eastAsia" w:eastAsiaTheme="minorEastAsia"/>
        <w:lang w:eastAsia="zh-CN"/>
      </w:rPr>
    </w:pPr>
    <w:r>
      <w:drawing>
        <wp:inline distT="0" distB="0" distL="114300" distR="114300">
          <wp:extent cx="1309370" cy="313055"/>
          <wp:effectExtent l="0" t="0" r="5080" b="11430"/>
          <wp:docPr id="4" name="图片 4" descr="吉利科技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吉利科技集团logo"/>
                  <pic:cNvPicPr>
                    <a:picLocks noChangeAspect="1"/>
                  </pic:cNvPicPr>
                </pic:nvPicPr>
                <pic:blipFill>
                  <a:blip r:embed="rId1"/>
                  <a:srcRect l="10886" t="33305" r="10717" b="33390"/>
                  <a:stretch>
                    <a:fillRect/>
                  </a:stretch>
                </pic:blipFill>
                <pic:spPr>
                  <a:xfrm>
                    <a:off x="0" y="0"/>
                    <a:ext cx="1309370" cy="31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02082"/>
    <w:multiLevelType w:val="singleLevel"/>
    <w:tmpl w:val="F79020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0ZWYwZTAwY2RiZjYyNDE5MzRhYzAwMzBiZDgyMTA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06E1A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4E2A89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047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17C7E"/>
    <w:rsid w:val="00E20D3B"/>
    <w:rsid w:val="00E265CB"/>
    <w:rsid w:val="00E36C66"/>
    <w:rsid w:val="00E85FBB"/>
    <w:rsid w:val="00E97291"/>
    <w:rsid w:val="00EA6CA2"/>
    <w:rsid w:val="00EE522C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396826"/>
    <w:rsid w:val="04600059"/>
    <w:rsid w:val="04A671C5"/>
    <w:rsid w:val="087A446C"/>
    <w:rsid w:val="0A9A7D8A"/>
    <w:rsid w:val="0AC260D6"/>
    <w:rsid w:val="0B465678"/>
    <w:rsid w:val="0B7E2411"/>
    <w:rsid w:val="0DD07265"/>
    <w:rsid w:val="0E7122B2"/>
    <w:rsid w:val="0ED02F14"/>
    <w:rsid w:val="114C7B15"/>
    <w:rsid w:val="12502230"/>
    <w:rsid w:val="1314413D"/>
    <w:rsid w:val="14A669A9"/>
    <w:rsid w:val="15B505C2"/>
    <w:rsid w:val="15CE0721"/>
    <w:rsid w:val="17D02B6F"/>
    <w:rsid w:val="18DB533F"/>
    <w:rsid w:val="18F7675C"/>
    <w:rsid w:val="1BA60FD9"/>
    <w:rsid w:val="1BD22569"/>
    <w:rsid w:val="1C277E43"/>
    <w:rsid w:val="1D3A00CA"/>
    <w:rsid w:val="1E206DBE"/>
    <w:rsid w:val="1F152731"/>
    <w:rsid w:val="22987976"/>
    <w:rsid w:val="22E91FFA"/>
    <w:rsid w:val="233A33D9"/>
    <w:rsid w:val="23E6478B"/>
    <w:rsid w:val="25292B82"/>
    <w:rsid w:val="27281EA0"/>
    <w:rsid w:val="2C3E0850"/>
    <w:rsid w:val="2F9A4D8D"/>
    <w:rsid w:val="303066AD"/>
    <w:rsid w:val="30447842"/>
    <w:rsid w:val="33D36FFF"/>
    <w:rsid w:val="34D71BED"/>
    <w:rsid w:val="37FD0026"/>
    <w:rsid w:val="38253AD2"/>
    <w:rsid w:val="399860E8"/>
    <w:rsid w:val="39E17C5F"/>
    <w:rsid w:val="39E87992"/>
    <w:rsid w:val="3B7F1E50"/>
    <w:rsid w:val="3DB12360"/>
    <w:rsid w:val="3EB80EE1"/>
    <w:rsid w:val="4067193A"/>
    <w:rsid w:val="41A62D15"/>
    <w:rsid w:val="477E03FD"/>
    <w:rsid w:val="47BE53A8"/>
    <w:rsid w:val="47CE7E31"/>
    <w:rsid w:val="488857CC"/>
    <w:rsid w:val="4B164100"/>
    <w:rsid w:val="4C856301"/>
    <w:rsid w:val="4E811FC4"/>
    <w:rsid w:val="516E0D49"/>
    <w:rsid w:val="519F44C8"/>
    <w:rsid w:val="52503D8F"/>
    <w:rsid w:val="52810F3F"/>
    <w:rsid w:val="566B67D7"/>
    <w:rsid w:val="567B71C2"/>
    <w:rsid w:val="56C775B9"/>
    <w:rsid w:val="580A5FB8"/>
    <w:rsid w:val="589E3C7E"/>
    <w:rsid w:val="599625F6"/>
    <w:rsid w:val="5ADA626D"/>
    <w:rsid w:val="5B6D486F"/>
    <w:rsid w:val="5B8278D4"/>
    <w:rsid w:val="622B7052"/>
    <w:rsid w:val="631635CA"/>
    <w:rsid w:val="642B3FDC"/>
    <w:rsid w:val="672E3AB8"/>
    <w:rsid w:val="67B1426D"/>
    <w:rsid w:val="67E56D04"/>
    <w:rsid w:val="6C426482"/>
    <w:rsid w:val="6C973763"/>
    <w:rsid w:val="6FCB55FD"/>
    <w:rsid w:val="760503EB"/>
    <w:rsid w:val="76485D4C"/>
    <w:rsid w:val="780E728B"/>
    <w:rsid w:val="79C21DD2"/>
    <w:rsid w:val="7E6D63D7"/>
    <w:rsid w:val="7EC0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（首行缩进两字）"/>
    <w:basedOn w:val="1"/>
    <w:qFormat/>
    <w:uiPriority w:val="0"/>
    <w:rPr>
      <w:szCs w:val="21"/>
    </w:rPr>
  </w:style>
  <w:style w:type="paragraph" w:styleId="4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7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5"/>
    <w:semiHidden/>
    <w:unhideWhenUsed/>
    <w:qFormat/>
    <w:uiPriority w:val="99"/>
    <w:rPr>
      <w:color w:val="0000FF"/>
      <w:u w:val="non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2">
    <w:name w:val="日期 Char"/>
    <w:basedOn w:val="15"/>
    <w:link w:val="8"/>
    <w:semiHidden/>
    <w:qFormat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文字 Char"/>
    <w:basedOn w:val="15"/>
    <w:link w:val="5"/>
    <w:semiHidden/>
    <w:qFormat/>
    <w:uiPriority w:val="99"/>
  </w:style>
  <w:style w:type="character" w:customStyle="1" w:styleId="25">
    <w:name w:val="批注框文本 Char"/>
    <w:basedOn w:val="15"/>
    <w:link w:val="9"/>
    <w:semiHidden/>
    <w:qFormat/>
    <w:uiPriority w:val="99"/>
    <w:rPr>
      <w:sz w:val="18"/>
      <w:szCs w:val="18"/>
    </w:rPr>
  </w:style>
  <w:style w:type="character" w:customStyle="1" w:styleId="26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4336</Words>
  <Characters>5361</Characters>
  <Lines>13</Lines>
  <Paragraphs>3</Paragraphs>
  <TotalTime>1</TotalTime>
  <ScaleCrop>false</ScaleCrop>
  <LinksUpToDate>false</LinksUpToDate>
  <CharactersWithSpaces>5845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小妹~上花菜~</cp:lastModifiedBy>
  <cp:lastPrinted>2023-08-21T10:06:00Z</cp:lastPrinted>
  <dcterms:modified xsi:type="dcterms:W3CDTF">2024-08-05T08:55:49Z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C5D59CAB82EF41AE81C3770BA415E43F_13</vt:lpwstr>
  </property>
</Properties>
</file>