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广西百矿铝业有限公司2024年12T真空抬包项修备件采购项目招标公告</w:t>
      </w:r>
    </w:p>
    <w:p>
      <w:pPr>
        <w:spacing w:line="440" w:lineRule="exact"/>
        <w:rPr>
          <w:rFonts w:hint="eastAsia" w:ascii="微软雅黑" w:hAnsi="微软雅黑" w:eastAsia="微软雅黑" w:cs="微软雅黑"/>
          <w:b/>
          <w:sz w:val="24"/>
          <w:szCs w:val="24"/>
        </w:rPr>
      </w:pPr>
    </w:p>
    <w:p>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生产辅料</w:t>
      </w:r>
      <w:r>
        <w:rPr>
          <w:rFonts w:hint="eastAsia" w:ascii="微软雅黑" w:hAnsi="微软雅黑" w:eastAsia="微软雅黑" w:cs="微软雅黑"/>
          <w:b/>
          <w:sz w:val="24"/>
          <w:szCs w:val="24"/>
          <w:lang w:eastAsia="zh-CN"/>
        </w:rPr>
        <w:t>类</w:t>
      </w:r>
      <w:r>
        <w:rPr>
          <w:rFonts w:hint="eastAsia" w:ascii="微软雅黑" w:hAnsi="微软雅黑" w:eastAsia="微软雅黑" w:cs="微软雅黑"/>
          <w:b/>
          <w:sz w:val="24"/>
          <w:szCs w:val="24"/>
        </w:rPr>
        <w:t>（注：新用户时请选择此类别，否则无法报名）</w:t>
      </w:r>
    </w:p>
    <w:p>
      <w:pPr>
        <w:numPr>
          <w:ilvl w:val="0"/>
          <w:numId w:val="0"/>
        </w:numPr>
        <w:spacing w:line="440" w:lineRule="exact"/>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项目名称：</w:t>
      </w:r>
      <w:r>
        <w:rPr>
          <w:rFonts w:hint="eastAsia" w:ascii="微软雅黑" w:hAnsi="微软雅黑" w:eastAsia="微软雅黑" w:cs="微软雅黑"/>
          <w:bCs/>
          <w:color w:val="auto"/>
          <w:sz w:val="24"/>
          <w:szCs w:val="24"/>
          <w:lang w:val="en-US" w:eastAsia="zh-CN"/>
        </w:rPr>
        <w:t>广西百矿铝业有限公司2024年12T真空抬包项修备件采购项目</w:t>
      </w:r>
    </w:p>
    <w:p>
      <w:pPr>
        <w:numPr>
          <w:ilvl w:val="0"/>
          <w:numId w:val="0"/>
        </w:num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项目概况与招标范围</w:t>
      </w:r>
    </w:p>
    <w:p>
      <w:pPr>
        <w:keepNext w:val="0"/>
        <w:keepLines w:val="0"/>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2.1项目概况：</w:t>
      </w:r>
    </w:p>
    <w:p>
      <w:pPr>
        <w:pStyle w:val="16"/>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color w:val="auto"/>
          <w:sz w:val="24"/>
          <w:szCs w:val="24"/>
        </w:rPr>
        <w:t>田阳铝厂</w:t>
      </w:r>
      <w:r>
        <w:rPr>
          <w:rFonts w:hint="eastAsia" w:ascii="微软雅黑" w:hAnsi="微软雅黑" w:eastAsia="微软雅黑" w:cs="微软雅黑"/>
          <w:bCs/>
          <w:color w:val="auto"/>
          <w:sz w:val="24"/>
          <w:szCs w:val="24"/>
          <w:lang w:val="en-US" w:eastAsia="zh-CN"/>
        </w:rPr>
        <w:t>因生产需要，</w:t>
      </w:r>
      <w:r>
        <w:rPr>
          <w:rFonts w:hint="eastAsia" w:ascii="微软雅黑" w:hAnsi="微软雅黑" w:eastAsia="微软雅黑" w:cs="微软雅黑"/>
          <w:color w:val="000000" w:themeColor="text1"/>
          <w:sz w:val="24"/>
          <w:highlight w:val="none"/>
          <w:shd w:val="clear" w:color="auto" w:fill="FFFFFF"/>
          <w14:textFill>
            <w14:solidFill>
              <w14:schemeClr w14:val="tx1"/>
            </w14:solidFill>
          </w14:textFill>
        </w:rPr>
        <w:t>现拟对</w:t>
      </w:r>
      <w:r>
        <w:rPr>
          <w:rFonts w:hint="eastAsia" w:ascii="微软雅黑" w:hAnsi="微软雅黑" w:eastAsia="微软雅黑" w:cs="微软雅黑"/>
          <w:bCs/>
          <w:color w:val="auto"/>
          <w:sz w:val="24"/>
          <w:szCs w:val="24"/>
          <w:lang w:val="en-US" w:eastAsia="zh-CN"/>
        </w:rPr>
        <w:t>12T真空抬包项修备件</w:t>
      </w:r>
      <w:r>
        <w:rPr>
          <w:rFonts w:hint="eastAsia" w:ascii="微软雅黑" w:hAnsi="微软雅黑" w:eastAsia="微软雅黑" w:cs="微软雅黑"/>
          <w:color w:val="auto"/>
          <w:sz w:val="24"/>
          <w:szCs w:val="24"/>
          <w:lang w:val="en-US" w:eastAsia="zh-CN"/>
        </w:rPr>
        <w:t>进行招标，欢迎有实力的公司参与此次招标活动。</w:t>
      </w:r>
    </w:p>
    <w:p>
      <w:pPr>
        <w:spacing w:line="440" w:lineRule="exac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2.2招标范围：</w:t>
      </w:r>
    </w:p>
    <w:tbl>
      <w:tblPr>
        <w:tblStyle w:val="10"/>
        <w:tblpPr w:leftFromText="180" w:rightFromText="180" w:vertAnchor="text" w:horzAnchor="page" w:tblpX="467" w:tblpY="438"/>
        <w:tblOverlap w:val="never"/>
        <w:tblW w:w="10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220"/>
        <w:gridCol w:w="2170"/>
        <w:gridCol w:w="1770"/>
        <w:gridCol w:w="760"/>
        <w:gridCol w:w="760"/>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名称</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规格型号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b/>
                <w:bCs/>
                <w:i w:val="0"/>
                <w:iCs w:val="0"/>
                <w:color w:val="0000FF"/>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材质要求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12T抬包吊环</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SHF-ZKB-12T.7-3（包含吊环和销轴）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35CrMo</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抬包厂家为：沈阳市汇丰机械厂（备件不限生产厂家）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12T抬包吊臂1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SHF-ZKB-12T.5.0 （减速机侧）</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25#钢</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抬包厂家为：沈阳市汇丰机械厂（备件不限生产厂家）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12T抬包吊臂2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SHF-ZKB-12T.4.0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25#钢</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抬包厂家为：沈阳市汇丰机械厂（备件不限生产厂家）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12T抬包涡轮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SHF-ZKB-12T.13-1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蜗轮外圈:</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ZCuAL10Fe3</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轮芯:ZG300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抬包厂家为：沈阳市汇丰机械厂（备件不限生产厂家）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12T抬包蜗杆</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SHF-ZKB-12T.13-5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45#钢</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抬包厂家为：沈阳市汇丰机械厂（备件不限生产厂家）</w:t>
            </w:r>
          </w:p>
        </w:tc>
      </w:tr>
    </w:tbl>
    <w:p>
      <w:pPr>
        <w:spacing w:line="440" w:lineRule="exact"/>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2.3 收货地点</w:t>
      </w:r>
    </w:p>
    <w:p>
      <w:pPr>
        <w:spacing w:line="440" w:lineRule="exact"/>
        <w:ind w:firstLine="480" w:firstLineChars="200"/>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color w:val="auto"/>
          <w:sz w:val="24"/>
          <w:szCs w:val="24"/>
        </w:rPr>
        <w:t>交货地点：</w:t>
      </w:r>
      <w:r>
        <w:rPr>
          <w:rFonts w:hint="eastAsia" w:ascii="微软雅黑" w:hAnsi="微软雅黑" w:eastAsia="微软雅黑" w:cs="微软雅黑"/>
          <w:b w:val="0"/>
          <w:bCs/>
          <w:color w:val="auto"/>
          <w:sz w:val="24"/>
          <w:szCs w:val="24"/>
          <w:lang w:eastAsia="zh-CN"/>
        </w:rPr>
        <w:t>广西百矿铝业有限公司</w:t>
      </w:r>
      <w:r>
        <w:rPr>
          <w:rFonts w:hint="eastAsia" w:ascii="微软雅黑" w:hAnsi="微软雅黑" w:eastAsia="微软雅黑" w:cs="微软雅黑"/>
          <w:b w:val="0"/>
          <w:bCs/>
          <w:color w:val="auto"/>
          <w:kern w:val="0"/>
          <w:sz w:val="24"/>
          <w:szCs w:val="24"/>
          <w:lang w:eastAsia="zh-CN"/>
        </w:rPr>
        <w:t>厂区内</w:t>
      </w:r>
      <w:r>
        <w:rPr>
          <w:rFonts w:hint="eastAsia" w:ascii="微软雅黑" w:hAnsi="微软雅黑" w:eastAsia="微软雅黑" w:cs="微软雅黑"/>
          <w:b w:val="0"/>
          <w:bCs/>
          <w:color w:val="auto"/>
          <w:kern w:val="10"/>
          <w:sz w:val="24"/>
          <w:szCs w:val="24"/>
          <w:lang w:val="en-US" w:eastAsia="zh-CN"/>
        </w:rPr>
        <w:t>。</w:t>
      </w:r>
    </w:p>
    <w:p>
      <w:pPr>
        <w:spacing w:line="440" w:lineRule="exact"/>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2.4 交货时间</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 w:val="0"/>
          <w:bCs/>
          <w:strike w:val="0"/>
          <w:dstrike w:val="0"/>
          <w:color w:val="auto"/>
          <w:sz w:val="24"/>
          <w:szCs w:val="24"/>
          <w:highlight w:val="none"/>
          <w:lang w:val="en-US" w:eastAsia="zh-CN"/>
        </w:rPr>
        <w:t>供货周期：</w:t>
      </w:r>
      <w:r>
        <w:rPr>
          <w:rFonts w:hint="eastAsia" w:ascii="微软雅黑" w:hAnsi="微软雅黑" w:eastAsia="微软雅黑" w:cs="微软雅黑"/>
          <w:bCs/>
          <w:color w:val="auto"/>
          <w:sz w:val="24"/>
          <w:szCs w:val="24"/>
          <w:lang w:val="en-US" w:eastAsia="zh-CN"/>
        </w:rPr>
        <w:t>合同签订生效后60天内交货完毕。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2.5供货要求</w:t>
      </w:r>
      <w:r>
        <w:rPr>
          <w:rFonts w:hint="eastAsia" w:ascii="微软雅黑" w:hAnsi="微软雅黑" w:eastAsia="微软雅黑" w:cs="微软雅黑"/>
          <w:b w:val="0"/>
          <w:bCs/>
          <w:color w:val="auto"/>
          <w:sz w:val="24"/>
          <w:szCs w:val="24"/>
        </w:rPr>
        <w:t>：</w:t>
      </w:r>
    </w:p>
    <w:p>
      <w:pPr>
        <w:pStyle w:val="31"/>
        <w:keepNext w:val="0"/>
        <w:keepLines w:val="0"/>
        <w:pageBreakBefore w:val="0"/>
        <w:widowControl w:val="0"/>
        <w:numPr>
          <w:ilvl w:val="0"/>
          <w:numId w:val="0"/>
        </w:numPr>
        <w:kinsoku/>
        <w:wordWrap/>
        <w:overflowPunct/>
        <w:topLinePunct w:val="0"/>
        <w:bidi w:val="0"/>
        <w:spacing w:line="440" w:lineRule="exact"/>
        <w:ind w:firstLine="420" w:firstLineChars="0"/>
        <w:jc w:val="both"/>
        <w:rPr>
          <w:rFonts w:hint="eastAsia" w:ascii="微软雅黑" w:hAnsi="微软雅黑" w:eastAsia="微软雅黑" w:cs="微软雅黑"/>
          <w:color w:val="auto"/>
          <w:sz w:val="24"/>
          <w:szCs w:val="24"/>
          <w:vertAlign w:val="baseline"/>
          <w:lang w:val="en-US" w:eastAsia="zh-CN"/>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vertAlign w:val="baseline"/>
          <w:lang w:val="en-US" w:eastAsia="zh-CN"/>
        </w:rPr>
        <w:t>真空抬包真空抬包吊环、吊环轴、吊臂、蜗轮、蜗杆等备件需要由投标方到现场对备件进行测绘。</w:t>
      </w:r>
    </w:p>
    <w:p>
      <w:pPr>
        <w:pStyle w:val="31"/>
        <w:keepNext w:val="0"/>
        <w:keepLines w:val="0"/>
        <w:pageBreakBefore w:val="0"/>
        <w:widowControl w:val="0"/>
        <w:numPr>
          <w:ilvl w:val="0"/>
          <w:numId w:val="0"/>
        </w:numPr>
        <w:kinsoku/>
        <w:wordWrap/>
        <w:overflowPunct/>
        <w:topLinePunct w:val="0"/>
        <w:bidi w:val="0"/>
        <w:spacing w:line="440" w:lineRule="exact"/>
        <w:ind w:firstLine="420" w:firstLineChars="0"/>
        <w:jc w:val="both"/>
        <w:rPr>
          <w:rFonts w:hint="eastAsia" w:ascii="微软雅黑" w:hAnsi="微软雅黑" w:eastAsia="微软雅黑" w:cs="微软雅黑"/>
          <w:color w:val="auto"/>
          <w:sz w:val="24"/>
          <w:szCs w:val="24"/>
          <w:vertAlign w:val="baseline"/>
          <w:lang w:val="en-US" w:eastAsia="zh-CN"/>
        </w:rPr>
      </w:pPr>
      <w:r>
        <w:rPr>
          <w:rFonts w:hint="eastAsia" w:ascii="微软雅黑" w:hAnsi="微软雅黑" w:eastAsia="微软雅黑" w:cs="微软雅黑"/>
          <w:color w:val="auto"/>
          <w:sz w:val="24"/>
          <w:szCs w:val="24"/>
          <w:lang w:val="en-US" w:eastAsia="zh-CN"/>
        </w:rPr>
        <w:t>2、投标方到现场对备件进行测绘的图纸经招标方确认后才可以安排生产</w:t>
      </w:r>
      <w:r>
        <w:rPr>
          <w:rFonts w:hint="eastAsia" w:ascii="微软雅黑" w:hAnsi="微软雅黑" w:eastAsia="微软雅黑" w:cs="微软雅黑"/>
          <w:color w:val="auto"/>
          <w:sz w:val="24"/>
          <w:szCs w:val="24"/>
          <w:vertAlign w:val="baseline"/>
          <w:lang w:val="en-US" w:eastAsia="zh-CN"/>
        </w:rPr>
        <w:t>。</w:t>
      </w:r>
    </w:p>
    <w:p>
      <w:pPr>
        <w:pStyle w:val="16"/>
        <w:keepNext w:val="0"/>
        <w:keepLines w:val="0"/>
        <w:pageBreakBefore w:val="0"/>
        <w:kinsoku/>
        <w:wordWrap/>
        <w:overflowPunct/>
        <w:topLinePunct w:val="0"/>
        <w:bidi w:val="0"/>
        <w:spacing w:line="440" w:lineRule="exact"/>
        <w:ind w:firstLine="420" w:firstLineChars="0"/>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color w:val="auto"/>
          <w:sz w:val="24"/>
          <w:szCs w:val="24"/>
          <w:vertAlign w:val="baseline"/>
          <w:lang w:val="en-US" w:eastAsia="zh-CN"/>
        </w:rPr>
        <w:t>3、吊环、吊环轴、吊臂、蜗轮、蜗杆等备件要求与原厂12Ｔ抬包匹配，能与原备件互换（结构尺寸相同），吊环、吊环轴、吊臂提供探伤检测报告。</w:t>
      </w:r>
    </w:p>
    <w:p>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3.投标人资格要求</w:t>
      </w:r>
    </w:p>
    <w:p>
      <w:pPr>
        <w:pStyle w:val="9"/>
        <w:widowControl/>
        <w:spacing w:before="0" w:beforeAutospacing="0" w:after="0" w:afterAutospacing="0" w:line="460" w:lineRule="exact"/>
        <w:ind w:firstLine="480" w:firstLineChars="200"/>
        <w:rPr>
          <w:rFonts w:ascii="微软雅黑" w:hAnsi="微软雅黑" w:eastAsia="微软雅黑" w:cs="华文仿宋"/>
          <w:bCs/>
          <w:color w:val="000000" w:themeColor="text1"/>
          <w:kern w:val="2"/>
          <w:szCs w:val="24"/>
          <w14:textFill>
            <w14:solidFill>
              <w14:schemeClr w14:val="tx1"/>
            </w14:solidFill>
          </w14:textFill>
        </w:rPr>
      </w:pPr>
      <w:r>
        <w:rPr>
          <w:rFonts w:hint="eastAsia" w:ascii="微软雅黑" w:hAnsi="微软雅黑" w:eastAsia="微软雅黑" w:cs="华文仿宋"/>
          <w:bCs/>
          <w:color w:val="000000" w:themeColor="text1"/>
          <w:kern w:val="2"/>
          <w:szCs w:val="24"/>
          <w14:textFill>
            <w14:solidFill>
              <w14:schemeClr w14:val="tx1"/>
            </w14:solidFill>
          </w14:textFill>
        </w:rPr>
        <w:t>本次招标要求投标人具备以下资质。</w:t>
      </w:r>
    </w:p>
    <w:p>
      <w:pPr>
        <w:pStyle w:val="9"/>
        <w:shd w:val="clear" w:color="auto" w:fill="FFFFFF"/>
        <w:spacing w:before="0" w:beforeAutospacing="0" w:after="0" w:afterAutospacing="0" w:line="440" w:lineRule="exact"/>
        <w:ind w:firstLine="480" w:firstLineChars="200"/>
        <w:rPr>
          <w:rFonts w:ascii="微软雅黑" w:hAnsi="微软雅黑" w:eastAsia="微软雅黑" w:cs="华文仿宋"/>
          <w:bCs/>
          <w:kern w:val="2"/>
          <w:szCs w:val="24"/>
        </w:rPr>
      </w:pPr>
      <w:r>
        <w:rPr>
          <w:rFonts w:hint="eastAsia" w:ascii="微软雅黑" w:hAnsi="微软雅黑" w:eastAsia="微软雅黑" w:cs="华文仿宋"/>
          <w:bCs/>
          <w:kern w:val="2"/>
          <w:szCs w:val="24"/>
        </w:rPr>
        <w:t>3.1在中国境内注册，有独立法人资格和承担民事责任的能力。</w:t>
      </w:r>
    </w:p>
    <w:p>
      <w:pPr>
        <w:pStyle w:val="9"/>
        <w:shd w:val="clear" w:color="auto" w:fill="FFFFFF"/>
        <w:spacing w:before="0" w:beforeAutospacing="0" w:after="0" w:afterAutospacing="0" w:line="440" w:lineRule="exact"/>
        <w:ind w:firstLine="480" w:firstLineChars="200"/>
        <w:rPr>
          <w:rFonts w:ascii="微软雅黑" w:hAnsi="微软雅黑" w:eastAsia="微软雅黑" w:cs="华文仿宋"/>
          <w:bCs/>
          <w:color w:val="auto"/>
          <w:kern w:val="2"/>
          <w:szCs w:val="24"/>
        </w:rPr>
      </w:pPr>
      <w:r>
        <w:rPr>
          <w:rFonts w:hint="eastAsia" w:ascii="微软雅黑" w:hAnsi="微软雅黑" w:eastAsia="微软雅黑" w:cs="华文仿宋"/>
          <w:bCs/>
          <w:kern w:val="2"/>
          <w:szCs w:val="24"/>
        </w:rPr>
        <w:t>3.2</w:t>
      </w:r>
      <w:r>
        <w:rPr>
          <w:rFonts w:hint="eastAsia" w:ascii="微软雅黑" w:hAnsi="微软雅黑" w:eastAsia="微软雅黑" w:cs="华文仿宋"/>
          <w:bCs/>
          <w:color w:val="auto"/>
          <w:kern w:val="2"/>
          <w:szCs w:val="24"/>
        </w:rPr>
        <w:t>允许在中国注册的外国独资或中外合资、合作企业和国外公司参加投标，货源不限于中华人民共和国境内。</w:t>
      </w:r>
    </w:p>
    <w:p>
      <w:pPr>
        <w:pStyle w:val="9"/>
        <w:shd w:val="clear" w:color="auto" w:fill="FFFFFF"/>
        <w:spacing w:before="0" w:beforeAutospacing="0" w:after="0" w:afterAutospacing="0" w:line="4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华文仿宋"/>
          <w:bCs/>
          <w:color w:val="auto"/>
          <w:kern w:val="2"/>
          <w:szCs w:val="24"/>
        </w:rPr>
        <w:t>3.3遵守中华人民共和国有</w:t>
      </w:r>
      <w:r>
        <w:rPr>
          <w:rFonts w:hint="eastAsia" w:ascii="微软雅黑" w:hAnsi="微软雅黑" w:eastAsia="微软雅黑" w:cs="华文仿宋"/>
          <w:bCs/>
          <w:kern w:val="2"/>
          <w:szCs w:val="24"/>
        </w:rPr>
        <w:t>关法律、法规和条例</w:t>
      </w:r>
      <w:r>
        <w:rPr>
          <w:rFonts w:hint="eastAsia" w:ascii="微软雅黑" w:hAnsi="微软雅黑" w:eastAsia="微软雅黑" w:cs="微软雅黑"/>
          <w:bCs/>
          <w:color w:val="auto"/>
          <w:sz w:val="24"/>
          <w:szCs w:val="24"/>
          <w:highlight w:val="none"/>
        </w:rPr>
        <w:t>。</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华文仿宋"/>
          <w:bCs/>
          <w:color w:val="auto"/>
          <w:kern w:val="2"/>
          <w:sz w:val="24"/>
          <w:szCs w:val="24"/>
          <w:lang w:val="en-US" w:eastAsia="zh-CN" w:bidi="ar-SA"/>
        </w:rPr>
      </w:pPr>
      <w:r>
        <w:rPr>
          <w:rFonts w:hint="eastAsia" w:ascii="微软雅黑" w:hAnsi="微软雅黑" w:eastAsia="微软雅黑" w:cs="微软雅黑"/>
          <w:bCs/>
          <w:color w:val="auto"/>
          <w:sz w:val="24"/>
          <w:szCs w:val="24"/>
          <w:highlight w:val="none"/>
          <w:lang w:val="en-US" w:eastAsia="zh-CN"/>
        </w:rPr>
        <w:t>3</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val="en-US" w:eastAsia="zh-CN"/>
        </w:rPr>
        <w:t>4</w:t>
      </w:r>
      <w:r>
        <w:rPr>
          <w:rFonts w:hint="eastAsia" w:ascii="微软雅黑" w:hAnsi="微软雅黑" w:eastAsia="微软雅黑" w:cs="华文仿宋"/>
          <w:bCs/>
          <w:strike w:val="0"/>
          <w:dstrike w:val="0"/>
          <w:color w:val="auto"/>
          <w:kern w:val="2"/>
          <w:sz w:val="24"/>
          <w:szCs w:val="24"/>
          <w:u w:val="none"/>
          <w:lang w:val="en-US" w:eastAsia="zh-CN" w:bidi="ar-SA"/>
        </w:rPr>
        <w:t>具备生产机械制造能力。</w:t>
      </w:r>
    </w:p>
    <w:p>
      <w:pPr>
        <w:pStyle w:val="9"/>
        <w:shd w:val="clear" w:color="auto" w:fill="FFFFFF"/>
        <w:spacing w:before="0" w:beforeAutospacing="0" w:after="0" w:afterAutospacing="0" w:line="440" w:lineRule="exact"/>
        <w:ind w:firstLine="480" w:firstLineChars="200"/>
        <w:rPr>
          <w:rFonts w:hint="eastAsia"/>
          <w:b/>
          <w:bCs/>
          <w:strike w:val="0"/>
          <w:color w:val="auto"/>
          <w:lang w:eastAsia="zh-CN"/>
        </w:rPr>
      </w:pPr>
      <w:r>
        <w:rPr>
          <w:rFonts w:hint="eastAsia" w:ascii="微软雅黑" w:hAnsi="微软雅黑" w:eastAsia="微软雅黑" w:cs="华文仿宋"/>
          <w:bCs/>
          <w:strike w:val="0"/>
          <w:dstrike w:val="0"/>
          <w:color w:val="auto"/>
          <w:kern w:val="2"/>
          <w:sz w:val="24"/>
          <w:szCs w:val="24"/>
          <w:lang w:val="en-US" w:eastAsia="zh-CN" w:bidi="ar-SA"/>
        </w:rPr>
        <w:t xml:space="preserve">3.5 </w:t>
      </w:r>
      <w:r>
        <w:rPr>
          <w:rFonts w:hint="eastAsia" w:ascii="微软雅黑" w:hAnsi="微软雅黑" w:eastAsia="微软雅黑" w:cs="华文仿宋"/>
          <w:bCs/>
          <w:strike w:val="0"/>
          <w:dstrike w:val="0"/>
          <w:color w:val="auto"/>
          <w:kern w:val="2"/>
          <w:sz w:val="24"/>
          <w:szCs w:val="24"/>
          <w:u w:val="none"/>
          <w:lang w:val="en-US" w:eastAsia="zh-CN" w:bidi="ar-SA"/>
        </w:rPr>
        <w:t>3年内至少有2项</w:t>
      </w:r>
      <w:r>
        <w:rPr>
          <w:rFonts w:hint="eastAsia" w:ascii="微软雅黑" w:hAnsi="微软雅黑" w:eastAsia="微软雅黑" w:cs="微软雅黑"/>
          <w:b w:val="0"/>
          <w:bCs/>
          <w:color w:val="auto"/>
          <w:kern w:val="0"/>
          <w:sz w:val="24"/>
          <w:szCs w:val="24"/>
          <w:lang w:val="en-US" w:eastAsia="zh-CN"/>
        </w:rPr>
        <w:t>真空抬包或其备件</w:t>
      </w:r>
      <w:r>
        <w:rPr>
          <w:rFonts w:hint="eastAsia" w:ascii="微软雅黑" w:hAnsi="微软雅黑" w:eastAsia="微软雅黑" w:cs="华文仿宋"/>
          <w:bCs/>
          <w:strike w:val="0"/>
          <w:dstrike w:val="0"/>
          <w:color w:val="auto"/>
          <w:kern w:val="2"/>
          <w:sz w:val="24"/>
          <w:szCs w:val="24"/>
          <w:u w:val="none"/>
          <w:lang w:val="en-US" w:eastAsia="zh-CN" w:bidi="ar-SA"/>
        </w:rPr>
        <w:t>的供货业绩</w:t>
      </w:r>
      <w:r>
        <w:rPr>
          <w:rFonts w:hint="eastAsia" w:ascii="微软雅黑" w:hAnsi="微软雅黑" w:eastAsia="微软雅黑" w:cs="华文仿宋"/>
          <w:bCs/>
          <w:strike w:val="0"/>
          <w:dstrike w:val="0"/>
          <w:color w:val="auto"/>
          <w:kern w:val="2"/>
          <w:sz w:val="24"/>
          <w:szCs w:val="24"/>
          <w:lang w:val="en-US" w:eastAsia="zh-CN" w:bidi="ar-SA"/>
        </w:rPr>
        <w:t>（业绩须附列表及对应列表的合同原件扫描件。合同原件扫描件含首尾页、供货设备规格型号的供货清单、签字盖章页，否则按无效业绩处理）</w:t>
      </w:r>
      <w:r>
        <w:rPr>
          <w:rFonts w:hint="eastAsia" w:ascii="微软雅黑" w:hAnsi="微软雅黑" w:eastAsia="微软雅黑" w:cs="华文仿宋"/>
          <w:bCs/>
          <w:strike w:val="0"/>
          <w:color w:val="auto"/>
          <w:kern w:val="2"/>
          <w:sz w:val="24"/>
          <w:szCs w:val="24"/>
          <w:lang w:val="en-US" w:eastAsia="zh-CN" w:bidi="ar-SA"/>
        </w:rPr>
        <w:t>。</w:t>
      </w:r>
    </w:p>
    <w:p>
      <w:pPr>
        <w:pStyle w:val="9"/>
        <w:shd w:val="clear" w:color="auto" w:fill="FFFFFF"/>
        <w:spacing w:before="0" w:beforeAutospacing="0" w:after="0" w:afterAutospacing="0" w:line="440" w:lineRule="exact"/>
        <w:ind w:firstLine="480" w:firstLineChars="200"/>
        <w:rPr>
          <w:rFonts w:ascii="微软雅黑" w:hAnsi="微软雅黑" w:eastAsia="微软雅黑" w:cs="华文仿宋"/>
          <w:bCs/>
          <w:kern w:val="2"/>
          <w:szCs w:val="24"/>
        </w:rPr>
      </w:pPr>
      <w:r>
        <w:rPr>
          <w:rFonts w:hint="eastAsia" w:ascii="微软雅黑" w:hAnsi="微软雅黑" w:eastAsia="微软雅黑" w:cs="华文仿宋"/>
          <w:bCs/>
          <w:kern w:val="2"/>
          <w:szCs w:val="24"/>
        </w:rPr>
        <w:t>3.</w:t>
      </w:r>
      <w:r>
        <w:rPr>
          <w:rFonts w:hint="eastAsia" w:ascii="微软雅黑" w:hAnsi="微软雅黑" w:eastAsia="微软雅黑" w:cs="华文仿宋"/>
          <w:bCs/>
          <w:kern w:val="2"/>
          <w:szCs w:val="24"/>
          <w:lang w:val="en-US" w:eastAsia="zh-CN"/>
        </w:rPr>
        <w:t>6</w:t>
      </w:r>
      <w:r>
        <w:rPr>
          <w:rFonts w:hint="eastAsia" w:ascii="微软雅黑" w:hAnsi="微软雅黑" w:eastAsia="微软雅黑" w:cs="华文仿宋"/>
          <w:bCs/>
          <w:kern w:val="2"/>
          <w:szCs w:val="24"/>
        </w:rPr>
        <w:t>招标方会对投标企业资质进行评估。</w:t>
      </w:r>
    </w:p>
    <w:p>
      <w:pPr>
        <w:pStyle w:val="9"/>
        <w:shd w:val="clear" w:color="auto" w:fill="FFFFFF"/>
        <w:spacing w:before="0" w:beforeAutospacing="0" w:after="0" w:afterAutospacing="0" w:line="440" w:lineRule="exact"/>
        <w:ind w:firstLine="480" w:firstLineChars="200"/>
        <w:rPr>
          <w:rFonts w:ascii="微软雅黑" w:hAnsi="微软雅黑" w:eastAsia="微软雅黑" w:cs="华文仿宋"/>
          <w:bCs/>
          <w:kern w:val="2"/>
          <w:szCs w:val="24"/>
        </w:rPr>
      </w:pPr>
      <w:r>
        <w:rPr>
          <w:rFonts w:hint="eastAsia" w:ascii="微软雅黑" w:hAnsi="微软雅黑" w:eastAsia="微软雅黑" w:cs="华文仿宋"/>
          <w:bCs/>
          <w:kern w:val="2"/>
          <w:szCs w:val="24"/>
        </w:rPr>
        <w:t>3.</w:t>
      </w:r>
      <w:r>
        <w:rPr>
          <w:rFonts w:hint="eastAsia" w:ascii="微软雅黑" w:hAnsi="微软雅黑" w:eastAsia="微软雅黑" w:cs="华文仿宋"/>
          <w:bCs/>
          <w:kern w:val="2"/>
          <w:szCs w:val="24"/>
          <w:lang w:val="en-US" w:eastAsia="zh-CN"/>
        </w:rPr>
        <w:t>7</w:t>
      </w:r>
      <w:r>
        <w:rPr>
          <w:rFonts w:hint="eastAsia" w:ascii="微软雅黑" w:hAnsi="微软雅黑" w:eastAsia="微软雅黑" w:cs="华文仿宋"/>
          <w:bCs/>
          <w:kern w:val="2"/>
          <w:szCs w:val="24"/>
        </w:rPr>
        <w:t>近年来有较好业绩且无不良商业行为。</w:t>
      </w:r>
    </w:p>
    <w:p>
      <w:pPr>
        <w:pStyle w:val="9"/>
        <w:shd w:val="clear" w:color="auto" w:fill="FFFFFF"/>
        <w:spacing w:before="0" w:beforeAutospacing="0" w:after="0" w:afterAutospacing="0" w:line="440" w:lineRule="exact"/>
        <w:ind w:firstLine="480" w:firstLineChars="200"/>
        <w:rPr>
          <w:rFonts w:ascii="微软雅黑" w:hAnsi="微软雅黑" w:eastAsia="微软雅黑" w:cs="华文仿宋"/>
          <w:bCs/>
          <w:kern w:val="2"/>
          <w:szCs w:val="24"/>
        </w:rPr>
      </w:pPr>
      <w:r>
        <w:rPr>
          <w:rFonts w:hint="eastAsia" w:ascii="微软雅黑" w:hAnsi="微软雅黑" w:eastAsia="微软雅黑" w:cs="华文仿宋"/>
          <w:bCs/>
          <w:kern w:val="2"/>
          <w:szCs w:val="24"/>
        </w:rPr>
        <w:t>3.</w:t>
      </w:r>
      <w:r>
        <w:rPr>
          <w:rFonts w:hint="eastAsia" w:ascii="微软雅黑" w:hAnsi="微软雅黑" w:eastAsia="微软雅黑" w:cs="华文仿宋"/>
          <w:bCs/>
          <w:kern w:val="2"/>
          <w:szCs w:val="24"/>
          <w:lang w:val="en-US" w:eastAsia="zh-CN"/>
        </w:rPr>
        <w:t>8</w:t>
      </w:r>
      <w:r>
        <w:rPr>
          <w:rFonts w:hint="eastAsia" w:ascii="微软雅黑" w:hAnsi="微软雅黑" w:eastAsia="微软雅黑" w:cs="华文仿宋"/>
          <w:bCs/>
          <w:kern w:val="2"/>
          <w:szCs w:val="24"/>
        </w:rPr>
        <w:t>具有良好的商业信誉和健全的财务会计制度。</w:t>
      </w:r>
    </w:p>
    <w:p>
      <w:pPr>
        <w:pStyle w:val="9"/>
        <w:shd w:val="clear" w:color="auto" w:fill="FFFFFF"/>
        <w:spacing w:before="0" w:beforeAutospacing="0" w:after="0" w:afterAutospacing="0" w:line="440" w:lineRule="exact"/>
        <w:ind w:firstLine="480" w:firstLineChars="200"/>
        <w:rPr>
          <w:rFonts w:ascii="微软雅黑" w:hAnsi="微软雅黑" w:eastAsia="微软雅黑" w:cs="华文仿宋"/>
          <w:bCs/>
          <w:kern w:val="2"/>
          <w:szCs w:val="24"/>
        </w:rPr>
      </w:pPr>
      <w:r>
        <w:rPr>
          <w:rFonts w:hint="eastAsia" w:ascii="微软雅黑" w:hAnsi="微软雅黑" w:eastAsia="微软雅黑" w:cs="华文仿宋"/>
          <w:bCs/>
          <w:kern w:val="2"/>
          <w:szCs w:val="24"/>
        </w:rPr>
        <w:t>3.</w:t>
      </w:r>
      <w:r>
        <w:rPr>
          <w:rFonts w:hint="eastAsia" w:ascii="微软雅黑" w:hAnsi="微软雅黑" w:eastAsia="微软雅黑" w:cs="华文仿宋"/>
          <w:bCs/>
          <w:kern w:val="2"/>
          <w:szCs w:val="24"/>
          <w:lang w:val="en-US" w:eastAsia="zh-CN"/>
        </w:rPr>
        <w:t>9</w:t>
      </w:r>
      <w:r>
        <w:rPr>
          <w:rFonts w:hint="eastAsia" w:ascii="微软雅黑" w:hAnsi="微软雅黑" w:eastAsia="微软雅黑" w:cs="华文仿宋"/>
          <w:bCs/>
          <w:kern w:val="2"/>
          <w:szCs w:val="24"/>
        </w:rPr>
        <w:t>本次招标不接受联合体投标。</w:t>
      </w:r>
    </w:p>
    <w:p>
      <w:pPr>
        <w:snapToGrid w:val="0"/>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4.投标报名</w:t>
      </w:r>
    </w:p>
    <w:p>
      <w:pPr>
        <w:snapToGrid w:val="0"/>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4.1报名方式</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4.1.1 *凡有意参加报名的投标人，请至吉利控股集团招标采购平台</w:t>
      </w:r>
      <w:r>
        <w:rPr>
          <w:rStyle w:val="12"/>
          <w:rFonts w:hint="eastAsia" w:ascii="微软雅黑" w:hAnsi="微软雅黑" w:eastAsia="微软雅黑" w:cs="微软雅黑"/>
          <w:sz w:val="24"/>
          <w:szCs w:val="24"/>
        </w:rPr>
        <w:t>（</w:t>
      </w:r>
      <w:r>
        <w:rPr>
          <w:rFonts w:hint="eastAsia" w:ascii="微软雅黑" w:hAnsi="微软雅黑" w:eastAsia="微软雅黑" w:cs="微软雅黑"/>
          <w:bCs/>
          <w:sz w:val="24"/>
          <w:szCs w:val="24"/>
        </w:rPr>
        <w:t>glzb.geely.com</w:t>
      </w:r>
      <w:r>
        <w:rPr>
          <w:rStyle w:val="12"/>
          <w:rFonts w:hint="eastAsia" w:ascii="微软雅黑" w:hAnsi="微软雅黑" w:eastAsia="微软雅黑" w:cs="微软雅黑"/>
          <w:sz w:val="24"/>
          <w:szCs w:val="24"/>
        </w:rPr>
        <w:t>）</w:t>
      </w:r>
      <w:r>
        <w:rPr>
          <w:rFonts w:hint="eastAsia" w:ascii="微软雅黑" w:hAnsi="微软雅黑" w:eastAsia="微软雅黑" w:cs="微软雅黑"/>
          <w:bCs/>
          <w:sz w:val="24"/>
          <w:szCs w:val="24"/>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color w:val="000000" w:themeColor="text1"/>
          <w:sz w:val="24"/>
          <w:szCs w:val="24"/>
          <w14:textFill>
            <w14:solidFill>
              <w14:schemeClr w14:val="tx1"/>
            </w14:solidFill>
          </w14:textFill>
        </w:rPr>
        <w:t>4.1.2 *报名截止时间</w:t>
      </w:r>
      <w:r>
        <w:rPr>
          <w:rFonts w:hint="eastAsia" w:ascii="微软雅黑" w:hAnsi="微软雅黑" w:eastAsia="微软雅黑" w:cs="微软雅黑"/>
          <w:bCs/>
          <w:color w:val="auto"/>
          <w:sz w:val="24"/>
          <w:szCs w:val="24"/>
        </w:rPr>
        <w:t>：</w:t>
      </w:r>
      <w:r>
        <w:rPr>
          <w:rFonts w:hint="eastAsia" w:ascii="微软雅黑" w:hAnsi="微软雅黑" w:eastAsia="微软雅黑" w:cs="微软雅黑"/>
          <w:bCs/>
          <w:color w:val="auto"/>
          <w:sz w:val="24"/>
          <w:szCs w:val="24"/>
          <w:u w:val="single"/>
        </w:rPr>
        <w:t>202</w:t>
      </w:r>
      <w:r>
        <w:rPr>
          <w:rFonts w:hint="eastAsia" w:ascii="微软雅黑" w:hAnsi="微软雅黑" w:eastAsia="微软雅黑" w:cs="微软雅黑"/>
          <w:bCs/>
          <w:color w:val="auto"/>
          <w:sz w:val="24"/>
          <w:szCs w:val="24"/>
          <w:u w:val="single"/>
          <w:lang w:val="en-US" w:eastAsia="zh-CN"/>
        </w:rPr>
        <w:t>4</w:t>
      </w:r>
      <w:r>
        <w:rPr>
          <w:rFonts w:hint="eastAsia" w:ascii="微软雅黑" w:hAnsi="微软雅黑" w:eastAsia="微软雅黑" w:cs="微软雅黑"/>
          <w:bCs/>
          <w:color w:val="auto"/>
          <w:sz w:val="24"/>
          <w:szCs w:val="24"/>
        </w:rPr>
        <w:t>年</w:t>
      </w:r>
      <w:r>
        <w:rPr>
          <w:rFonts w:hint="eastAsia" w:ascii="微软雅黑" w:hAnsi="微软雅黑" w:eastAsia="微软雅黑" w:cs="微软雅黑"/>
          <w:bCs/>
          <w:color w:val="auto"/>
          <w:sz w:val="24"/>
          <w:szCs w:val="24"/>
          <w:u w:val="single"/>
          <w:lang w:val="en-US" w:eastAsia="zh-CN"/>
        </w:rPr>
        <w:t>10</w:t>
      </w:r>
      <w:r>
        <w:rPr>
          <w:rFonts w:hint="eastAsia" w:ascii="微软雅黑" w:hAnsi="微软雅黑" w:eastAsia="微软雅黑" w:cs="微软雅黑"/>
          <w:bCs/>
          <w:color w:val="auto"/>
          <w:sz w:val="24"/>
          <w:szCs w:val="24"/>
        </w:rPr>
        <w:t>月</w:t>
      </w:r>
      <w:r>
        <w:rPr>
          <w:rFonts w:hint="eastAsia" w:ascii="微软雅黑" w:hAnsi="微软雅黑" w:eastAsia="微软雅黑" w:cs="微软雅黑"/>
          <w:bCs/>
          <w:color w:val="auto"/>
          <w:sz w:val="24"/>
          <w:szCs w:val="24"/>
          <w:u w:val="single"/>
          <w:lang w:val="en-US" w:eastAsia="zh-CN"/>
        </w:rPr>
        <w:t>15</w:t>
      </w:r>
      <w:r>
        <w:rPr>
          <w:rFonts w:hint="eastAsia" w:ascii="微软雅黑" w:hAnsi="微软雅黑" w:eastAsia="微软雅黑" w:cs="微软雅黑"/>
          <w:bCs/>
          <w:color w:val="auto"/>
          <w:sz w:val="24"/>
          <w:szCs w:val="24"/>
        </w:rPr>
        <w:t>日</w:t>
      </w:r>
      <w:r>
        <w:rPr>
          <w:rFonts w:hint="eastAsia" w:ascii="微软雅黑" w:hAnsi="微软雅黑" w:eastAsia="微软雅黑" w:cs="微软雅黑"/>
          <w:bCs/>
          <w:color w:val="auto"/>
          <w:sz w:val="24"/>
          <w:szCs w:val="24"/>
        </w:rPr>
        <w:t>。（未在招</w:t>
      </w:r>
      <w:r>
        <w:rPr>
          <w:rFonts w:hint="eastAsia" w:ascii="微软雅黑" w:hAnsi="微软雅黑" w:eastAsia="微软雅黑" w:cs="微软雅黑"/>
          <w:bCs/>
          <w:sz w:val="24"/>
          <w:szCs w:val="24"/>
        </w:rPr>
        <w:t>标网上注册过的供应商，因注册后需要审核，请至少提前一天进行注册）</w:t>
      </w:r>
    </w:p>
    <w:p>
      <w:pPr>
        <w:snapToGrid w:val="0"/>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4.2报名资料</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报名资料于报名截止时间前上传至吉利控股集团招标采购平台，报名资料包含但不限于以下内容：</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a、三证合一的营业执照副本；</w:t>
      </w:r>
    </w:p>
    <w:p>
      <w:pPr>
        <w:keepNext w:val="0"/>
        <w:keepLines w:val="0"/>
        <w:pageBreakBefore w:val="0"/>
        <w:widowControl w:val="0"/>
        <w:numPr>
          <w:ilvl w:val="0"/>
          <w:numId w:val="0"/>
        </w:numPr>
        <w:kinsoku/>
        <w:wordWrap/>
        <w:overflowPunct/>
        <w:topLinePunct w:val="0"/>
        <w:bidi w:val="0"/>
        <w:snapToGrid/>
        <w:spacing w:line="480" w:lineRule="exact"/>
        <w:ind w:leftChars="0" w:firstLine="480" w:firstLineChars="200"/>
        <w:textAlignment w:val="auto"/>
        <w:rPr>
          <w:rFonts w:ascii="微软雅黑" w:hAnsi="微软雅黑" w:eastAsia="微软雅黑" w:cs="微软雅黑"/>
          <w:bCs/>
          <w:sz w:val="24"/>
          <w:szCs w:val="24"/>
        </w:rPr>
      </w:pPr>
      <w:r>
        <w:rPr>
          <w:rFonts w:hint="eastAsia" w:ascii="微软雅黑" w:hAnsi="微软雅黑" w:eastAsia="微软雅黑" w:cs="微软雅黑"/>
          <w:bCs/>
          <w:sz w:val="24"/>
          <w:szCs w:val="24"/>
        </w:rPr>
        <w:t>b、</w:t>
      </w:r>
      <w:r>
        <w:rPr>
          <w:rFonts w:hint="eastAsia" w:ascii="微软雅黑" w:hAnsi="微软雅黑" w:eastAsia="微软雅黑" w:cs="微软雅黑"/>
          <w:bCs/>
          <w:color w:val="auto"/>
          <w:sz w:val="24"/>
          <w:szCs w:val="24"/>
          <w:highlight w:val="none"/>
        </w:rPr>
        <w:t>类似项目业绩证明及证明材料</w:t>
      </w:r>
      <w:r>
        <w:rPr>
          <w:rFonts w:hint="eastAsia" w:ascii="微软雅黑" w:hAnsi="微软雅黑" w:eastAsia="微软雅黑" w:cs="微软雅黑"/>
          <w:bCs/>
          <w:strike w:val="0"/>
          <w:dstrike w:val="0"/>
          <w:color w:val="auto"/>
          <w:sz w:val="24"/>
          <w:szCs w:val="24"/>
          <w:highlight w:val="none"/>
          <w:lang w:val="en-US" w:eastAsia="zh-CN"/>
        </w:rPr>
        <w:t>2</w:t>
      </w:r>
      <w:r>
        <w:rPr>
          <w:rFonts w:hint="eastAsia" w:ascii="微软雅黑" w:hAnsi="微软雅黑" w:eastAsia="微软雅黑" w:cs="微软雅黑"/>
          <w:bCs/>
          <w:strike w:val="0"/>
          <w:color w:val="auto"/>
          <w:sz w:val="24"/>
          <w:szCs w:val="24"/>
          <w:highlight w:val="none"/>
          <w:lang w:val="en-US" w:eastAsia="zh-CN"/>
        </w:rPr>
        <w:t>个以</w:t>
      </w:r>
      <w:r>
        <w:rPr>
          <w:rFonts w:hint="eastAsia" w:ascii="微软雅黑" w:hAnsi="微软雅黑" w:eastAsia="微软雅黑" w:cs="微软雅黑"/>
          <w:bCs/>
          <w:color w:val="auto"/>
          <w:sz w:val="24"/>
          <w:szCs w:val="24"/>
          <w:highlight w:val="none"/>
          <w:lang w:val="en-US" w:eastAsia="zh-CN"/>
        </w:rPr>
        <w:t>上</w:t>
      </w:r>
      <w:r>
        <w:rPr>
          <w:rFonts w:hint="eastAsia" w:ascii="微软雅黑" w:hAnsi="微软雅黑" w:eastAsia="微软雅黑" w:cs="微软雅黑"/>
          <w:bCs/>
          <w:color w:val="auto"/>
          <w:sz w:val="24"/>
          <w:szCs w:val="24"/>
          <w:highlight w:val="none"/>
        </w:rPr>
        <w:t>（提供合同扫描件，涉及机密部分可隐去）；</w:t>
      </w:r>
    </w:p>
    <w:p>
      <w:pPr>
        <w:snapToGrid w:val="0"/>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c、</w:t>
      </w:r>
      <w:r>
        <w:rPr>
          <w:rFonts w:hint="eastAsia" w:ascii="微软雅黑" w:hAnsi="微软雅黑" w:eastAsia="微软雅黑" w:cs="微软雅黑"/>
          <w:sz w:val="24"/>
          <w:szCs w:val="24"/>
        </w:rPr>
        <w:t>企业概况及履约能力说明；</w:t>
      </w:r>
    </w:p>
    <w:p>
      <w:pPr>
        <w:snapToGrid w:val="0"/>
        <w:spacing w:line="440" w:lineRule="exact"/>
        <w:ind w:firstLine="480" w:firstLineChars="200"/>
        <w:rPr>
          <w:rFonts w:ascii="宋体" w:hAnsi="宋体" w:eastAsia="宋体" w:cs="宋体"/>
          <w:bCs/>
          <w:sz w:val="24"/>
          <w:szCs w:val="24"/>
        </w:rPr>
      </w:pPr>
      <w:r>
        <w:rPr>
          <w:rFonts w:hint="eastAsia" w:ascii="微软雅黑" w:hAnsi="微软雅黑" w:eastAsia="微软雅黑" w:cs="微软雅黑"/>
          <w:sz w:val="24"/>
          <w:szCs w:val="24"/>
        </w:rPr>
        <w:t>d、近三年经第三方审计的财务报告或税务系统下载的企业年度财务报表（申报系统上导出的资产负债表、利润表/损益表、现金流量表）</w:t>
      </w:r>
      <w:r>
        <w:rPr>
          <w:rFonts w:hint="eastAsia" w:ascii="宋体" w:hAnsi="宋体" w:eastAsia="宋体" w:cs="宋体"/>
          <w:bCs/>
          <w:sz w:val="24"/>
          <w:szCs w:val="24"/>
        </w:rPr>
        <w:t>；</w:t>
      </w:r>
    </w:p>
    <w:p>
      <w:pPr>
        <w:snapToGrid w:val="0"/>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4.3提交材料要求</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a、合同请扫描成一份PDF文件，严禁将合同分成多张图片上传，严禁多个业绩合并成一个文件；</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b、请提供合同原件扫描件、合同扫描件需体现合作对象、合作时间、服务内容、双方签字盖章页面等信息（价格部分可隐藏）；</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c、合同扫描件请命名：XXXX公司+与XXXX公司合作合同（合同内容：XXX），如：吉利百矿集团有限公司+与</w:t>
      </w:r>
      <w:r>
        <w:rPr>
          <w:rFonts w:hint="eastAsia" w:ascii="微软雅黑" w:hAnsi="微软雅黑" w:eastAsia="微软雅黑" w:cs="微软雅黑"/>
          <w:bCs/>
          <w:color w:val="auto"/>
          <w:kern w:val="0"/>
          <w:sz w:val="24"/>
          <w:szCs w:val="24"/>
          <w:lang w:val="en-US" w:eastAsia="zh-CN"/>
        </w:rPr>
        <w:t>广西百矿铝业有限公司</w:t>
      </w:r>
      <w:r>
        <w:rPr>
          <w:rFonts w:hint="eastAsia" w:ascii="微软雅黑" w:hAnsi="微软雅黑" w:eastAsia="微软雅黑" w:cs="微软雅黑"/>
          <w:bCs/>
          <w:sz w:val="24"/>
          <w:szCs w:val="24"/>
        </w:rPr>
        <w:t>合作合同；</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备注：</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1、请供应商务必按照要求提交业绩材料，如因供应商提交的材料不符合要求而造成供应商被淘汰，招标方不承担任何责任。以上资料扫描命名打包，报名资料需在报名截止时间前上传，逾期报名无效。</w:t>
      </w:r>
    </w:p>
    <w:p>
      <w:pPr>
        <w:snapToGrid w:val="0"/>
        <w:spacing w:line="44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2、投标人若主动放弃投标（含未提交资料、未缴保证金、主动放弃等），需在投标截止前向招标人提供书面声明放弃文件，表明意愿及原因，并加盖公章。</w:t>
      </w:r>
    </w:p>
    <w:p>
      <w:pPr>
        <w:snapToGrid w:val="0"/>
        <w:spacing w:line="44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5.招标文件的获取</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5.1报名截止后，对所有报名单位进行资格初审，初审合格后通知购买招标文件；</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color w:val="000000" w:themeColor="text1"/>
          <w:sz w:val="24"/>
          <w:szCs w:val="24"/>
          <w14:textFill>
            <w14:solidFill>
              <w14:schemeClr w14:val="tx1"/>
            </w14:solidFill>
          </w14:textFill>
        </w:rPr>
        <w:t>5.2招标文件每套售价</w:t>
      </w:r>
      <w:r>
        <w:rPr>
          <w:rFonts w:hint="eastAsia" w:ascii="微软雅黑" w:hAnsi="微软雅黑" w:eastAsia="微软雅黑" w:cs="微软雅黑"/>
          <w:bCs/>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bCs/>
          <w:color w:val="000000" w:themeColor="text1"/>
          <w:sz w:val="24"/>
          <w:szCs w:val="24"/>
          <w:u w:val="single"/>
          <w:lang w:val="en-US" w:eastAsia="zh-CN"/>
          <w14:textFill>
            <w14:solidFill>
              <w14:schemeClr w14:val="tx1"/>
            </w14:solidFill>
          </w14:textFill>
        </w:rPr>
        <w:t>100</w:t>
      </w:r>
      <w:r>
        <w:rPr>
          <w:rFonts w:hint="eastAsia" w:ascii="微软雅黑" w:hAnsi="微软雅黑" w:eastAsia="微软雅黑" w:cs="微软雅黑"/>
          <w:bCs/>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bCs/>
          <w:color w:val="000000" w:themeColor="text1"/>
          <w:sz w:val="24"/>
          <w:szCs w:val="24"/>
          <w14:textFill>
            <w14:solidFill>
              <w14:schemeClr w14:val="tx1"/>
            </w14:solidFill>
          </w14:textFill>
        </w:rPr>
        <w:t>元，</w:t>
      </w:r>
      <w:r>
        <w:rPr>
          <w:rFonts w:hint="eastAsia" w:ascii="微软雅黑" w:hAnsi="微软雅黑" w:eastAsia="微软雅黑" w:cs="微软雅黑"/>
          <w:bCs/>
          <w:sz w:val="24"/>
          <w:szCs w:val="24"/>
        </w:rPr>
        <w:t>售后不退；</w:t>
      </w:r>
    </w:p>
    <w:p>
      <w:pPr>
        <w:snapToGrid w:val="0"/>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Cs/>
          <w:sz w:val="24"/>
          <w:szCs w:val="24"/>
        </w:rPr>
        <w:t>5.3 </w:t>
      </w:r>
      <w:r>
        <w:rPr>
          <w:rFonts w:hint="eastAsia" w:ascii="微软雅黑" w:hAnsi="微软雅黑" w:eastAsia="微软雅黑" w:cs="微软雅黑"/>
          <w:b w:val="0"/>
          <w:bCs/>
          <w:sz w:val="24"/>
          <w:szCs w:val="24"/>
        </w:rPr>
        <w:t>标书费请汇至：（汇款时备注：</w:t>
      </w:r>
      <w:r>
        <w:rPr>
          <w:rFonts w:hint="eastAsia" w:ascii="微软雅黑" w:hAnsi="微软雅黑" w:eastAsia="微软雅黑" w:cs="微软雅黑"/>
          <w:b w:val="0"/>
          <w:bCs/>
          <w:sz w:val="24"/>
          <w:szCs w:val="24"/>
          <w:lang w:val="en-US" w:eastAsia="zh-CN"/>
        </w:rPr>
        <w:t>广西百矿铝业有限公司2024年12T真空抬包项修备件采购项目</w:t>
      </w:r>
      <w:r>
        <w:rPr>
          <w:rFonts w:hint="eastAsia" w:ascii="微软雅黑" w:hAnsi="微软雅黑" w:eastAsia="微软雅黑" w:cs="微软雅黑"/>
          <w:bCs/>
          <w:sz w:val="24"/>
          <w:szCs w:val="24"/>
        </w:rPr>
        <w:t>标书费</w:t>
      </w:r>
      <w:r>
        <w:rPr>
          <w:rFonts w:hint="eastAsia" w:ascii="微软雅黑" w:hAnsi="微软雅黑" w:eastAsia="微软雅黑" w:cs="微软雅黑"/>
          <w:b w:val="0"/>
          <w:bCs/>
          <w:sz w:val="24"/>
          <w:szCs w:val="24"/>
        </w:rPr>
        <w:t>）</w:t>
      </w:r>
    </w:p>
    <w:p>
      <w:pPr>
        <w:snapToGrid w:val="0"/>
        <w:spacing w:line="440" w:lineRule="exact"/>
        <w:ind w:firstLine="480" w:firstLineChars="200"/>
        <w:rPr>
          <w:rFonts w:ascii="微软雅黑" w:hAnsi="微软雅黑" w:eastAsia="微软雅黑" w:cs="微软雅黑"/>
          <w:b/>
          <w:bCs w:val="0"/>
          <w:color w:val="auto"/>
          <w:sz w:val="24"/>
          <w:szCs w:val="24"/>
          <w:u w:val="single"/>
        </w:rPr>
      </w:pPr>
      <w:r>
        <w:rPr>
          <w:rFonts w:hint="eastAsia" w:ascii="微软雅黑" w:hAnsi="微软雅黑" w:eastAsia="微软雅黑" w:cs="微软雅黑"/>
          <w:b/>
          <w:bCs w:val="0"/>
          <w:color w:val="auto"/>
          <w:sz w:val="24"/>
          <w:szCs w:val="24"/>
          <w:u w:val="none"/>
        </w:rPr>
        <w:t>开户户名：</w:t>
      </w:r>
      <w:r>
        <w:rPr>
          <w:rFonts w:hint="eastAsia" w:ascii="微软雅黑" w:hAnsi="微软雅黑" w:eastAsia="微软雅黑" w:cs="微软雅黑"/>
          <w:b/>
          <w:bCs w:val="0"/>
          <w:color w:val="auto"/>
          <w:sz w:val="24"/>
          <w:szCs w:val="24"/>
          <w:u w:val="single"/>
        </w:rPr>
        <w:t>吉利百矿集团有限公司</w:t>
      </w:r>
    </w:p>
    <w:p>
      <w:pPr>
        <w:snapToGrid w:val="0"/>
        <w:spacing w:line="440" w:lineRule="exact"/>
        <w:ind w:firstLine="480" w:firstLineChars="200"/>
        <w:rPr>
          <w:rFonts w:ascii="微软雅黑" w:hAnsi="微软雅黑" w:eastAsia="微软雅黑" w:cs="微软雅黑"/>
          <w:b/>
          <w:bCs w:val="0"/>
          <w:color w:val="auto"/>
          <w:sz w:val="24"/>
          <w:szCs w:val="24"/>
          <w:u w:val="single"/>
        </w:rPr>
      </w:pPr>
      <w:r>
        <w:rPr>
          <w:rFonts w:hint="eastAsia" w:ascii="微软雅黑" w:hAnsi="微软雅黑" w:eastAsia="微软雅黑" w:cs="微软雅黑"/>
          <w:b/>
          <w:bCs w:val="0"/>
          <w:color w:val="auto"/>
          <w:sz w:val="24"/>
          <w:szCs w:val="24"/>
          <w:u w:val="none"/>
        </w:rPr>
        <w:t>开户银行：</w:t>
      </w:r>
      <w:r>
        <w:rPr>
          <w:rFonts w:hint="eastAsia" w:ascii="微软雅黑" w:hAnsi="微软雅黑" w:eastAsia="微软雅黑" w:cs="微软雅黑"/>
          <w:b/>
          <w:bCs w:val="0"/>
          <w:color w:val="auto"/>
          <w:sz w:val="24"/>
          <w:szCs w:val="24"/>
          <w:u w:val="single"/>
        </w:rPr>
        <w:t>建设银行百色中山支行 </w:t>
      </w:r>
    </w:p>
    <w:p>
      <w:pPr>
        <w:snapToGrid w:val="0"/>
        <w:spacing w:line="440" w:lineRule="exact"/>
        <w:ind w:firstLine="480" w:firstLineChars="200"/>
        <w:rPr>
          <w:rFonts w:ascii="微软雅黑" w:hAnsi="微软雅黑" w:eastAsia="微软雅黑" w:cs="微软雅黑"/>
          <w:b/>
          <w:bCs w:val="0"/>
          <w:color w:val="auto"/>
          <w:sz w:val="24"/>
          <w:szCs w:val="24"/>
          <w:u w:val="single"/>
        </w:rPr>
      </w:pPr>
      <w:r>
        <w:rPr>
          <w:rFonts w:hint="eastAsia" w:ascii="微软雅黑" w:hAnsi="微软雅黑" w:eastAsia="微软雅黑" w:cs="微软雅黑"/>
          <w:b/>
          <w:bCs w:val="0"/>
          <w:color w:val="auto"/>
          <w:sz w:val="24"/>
          <w:szCs w:val="24"/>
          <w:u w:val="none"/>
        </w:rPr>
        <w:t>开户账号：</w:t>
      </w:r>
      <w:r>
        <w:rPr>
          <w:rFonts w:hint="eastAsia" w:ascii="微软雅黑" w:hAnsi="微软雅黑" w:eastAsia="微软雅黑" w:cs="微软雅黑"/>
          <w:b/>
          <w:bCs w:val="0"/>
          <w:color w:val="auto"/>
          <w:sz w:val="24"/>
          <w:szCs w:val="24"/>
          <w:u w:val="single"/>
        </w:rPr>
        <w:t>45001676114050702700</w:t>
      </w:r>
    </w:p>
    <w:p>
      <w:pPr>
        <w:snapToGrid w:val="0"/>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6.发布公告的媒介</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本次招标公告只在吉利控股集团招标采购平台glzb.geely.com上发布，其他媒体转载无效。</w:t>
      </w:r>
    </w:p>
    <w:p>
      <w:pPr>
        <w:snapToGrid w:val="0"/>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7.联系方式</w:t>
      </w:r>
    </w:p>
    <w:p>
      <w:pPr>
        <w:adjustRightInd w:val="0"/>
        <w:snapToGrid w:val="0"/>
        <w:spacing w:line="440" w:lineRule="exact"/>
        <w:ind w:firstLine="480" w:firstLineChars="200"/>
        <w:rPr>
          <w:rFonts w:hint="eastAsia" w:ascii="微软雅黑" w:hAnsi="微软雅黑" w:eastAsia="微软雅黑" w:cs="微软雅黑"/>
          <w:bCs/>
          <w:color w:val="auto"/>
          <w:kern w:val="0"/>
          <w:sz w:val="24"/>
          <w:szCs w:val="24"/>
          <w:lang w:val="en-US" w:eastAsia="zh-CN"/>
        </w:rPr>
      </w:pPr>
      <w:r>
        <w:rPr>
          <w:rFonts w:hint="eastAsia" w:ascii="微软雅黑" w:hAnsi="微软雅黑" w:eastAsia="微软雅黑" w:cs="微软雅黑"/>
          <w:bCs/>
          <w:sz w:val="24"/>
          <w:szCs w:val="24"/>
        </w:rPr>
        <w:t>招标人：</w:t>
      </w:r>
      <w:r>
        <w:rPr>
          <w:rFonts w:hint="eastAsia" w:ascii="微软雅黑" w:hAnsi="微软雅黑" w:eastAsia="微软雅黑" w:cs="微软雅黑"/>
          <w:bCs/>
          <w:color w:val="auto"/>
          <w:kern w:val="0"/>
          <w:sz w:val="24"/>
          <w:szCs w:val="24"/>
          <w:lang w:val="en-US" w:eastAsia="zh-CN"/>
        </w:rPr>
        <w:t>广西百矿铝业有限公司</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招标组织单位：吉利百矿集团有限公司</w:t>
      </w:r>
    </w:p>
    <w:p>
      <w:pPr>
        <w:adjustRightInd w:val="0"/>
        <w:snapToGrid w:val="0"/>
        <w:spacing w:line="44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sz w:val="24"/>
          <w:szCs w:val="24"/>
        </w:rPr>
        <w:t>招标组织</w:t>
      </w:r>
      <w:r>
        <w:rPr>
          <w:rFonts w:hint="eastAsia" w:ascii="微软雅黑" w:hAnsi="微软雅黑" w:eastAsia="微软雅黑" w:cs="微软雅黑"/>
          <w:bCs/>
          <w:color w:val="000000" w:themeColor="text1"/>
          <w:sz w:val="24"/>
          <w:szCs w:val="24"/>
          <w14:textFill>
            <w14:solidFill>
              <w14:schemeClr w14:val="tx1"/>
            </w14:solidFill>
          </w14:textFill>
        </w:rPr>
        <w:t>单位地址：广西百色市右江区东增路188号</w:t>
      </w:r>
    </w:p>
    <w:p>
      <w:pPr>
        <w:adjustRightInd w:val="0"/>
        <w:snapToGrid w:val="0"/>
        <w:spacing w:line="44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邮编：533000</w:t>
      </w:r>
    </w:p>
    <w:p>
      <w:pPr>
        <w:keepNext w:val="0"/>
        <w:keepLines w:val="0"/>
        <w:pageBreakBefore w:val="0"/>
        <w:kinsoku/>
        <w:wordWrap/>
        <w:overflowPunct/>
        <w:topLinePunct w:val="0"/>
        <w:autoSpaceDE/>
        <w:autoSpaceDN/>
        <w:bidi w:val="0"/>
        <w:adjustRightInd w:val="0"/>
        <w:snapToGrid w:val="0"/>
        <w:spacing w:line="240" w:lineRule="auto"/>
        <w:ind w:right="0" w:firstLine="480" w:firstLineChars="200"/>
        <w:rPr>
          <w:rFonts w:hint="eastAsia" w:ascii="微软雅黑" w:hAnsi="微软雅黑" w:eastAsia="微软雅黑" w:cs="微软雅黑"/>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商</w:t>
      </w:r>
      <w:r>
        <w:rPr>
          <w:rFonts w:hint="eastAsia" w:ascii="微软雅黑" w:hAnsi="微软雅黑" w:eastAsia="微软雅黑" w:cs="微软雅黑"/>
          <w:bCs/>
          <w:color w:val="000000" w:themeColor="text1"/>
          <w:sz w:val="24"/>
          <w:szCs w:val="24"/>
          <w:lang w:val="en-US" w:eastAsia="zh-CN"/>
          <w14:textFill>
            <w14:solidFill>
              <w14:schemeClr w14:val="tx1"/>
            </w14:solidFill>
          </w14:textFill>
        </w:rPr>
        <w:t>务：陆  星  手机号：18778635522   E-mail:Xing.Lu02@geely.com</w:t>
      </w:r>
    </w:p>
    <w:p>
      <w:pPr>
        <w:keepNext w:val="0"/>
        <w:keepLines w:val="0"/>
        <w:pageBreakBefore w:val="0"/>
        <w:kinsoku/>
        <w:wordWrap/>
        <w:overflowPunct/>
        <w:topLinePunct w:val="0"/>
        <w:autoSpaceDE/>
        <w:autoSpaceDN/>
        <w:bidi w:val="0"/>
        <w:adjustRightInd w:val="0"/>
        <w:snapToGrid w:val="0"/>
        <w:spacing w:line="240" w:lineRule="auto"/>
        <w:ind w:right="0" w:firstLine="480" w:firstLineChars="200"/>
        <w:rPr>
          <w:rFonts w:hint="eastAsia" w:ascii="微软雅黑" w:hAnsi="微软雅黑" w:eastAsia="微软雅黑" w:cs="微软雅黑"/>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sz w:val="24"/>
          <w:szCs w:val="24"/>
          <w:lang w:val="en-US" w:eastAsia="zh-CN"/>
          <w14:textFill>
            <w14:solidFill>
              <w14:schemeClr w14:val="tx1"/>
            </w14:solidFill>
          </w14:textFill>
        </w:rPr>
        <w:t>技术：梁宝贵  手机号：13367869668   E-mail:Baogui.Liang@geely.com</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注：无论投标结果如何，投标人自行承担所有与参加投标活动有关的全部费用。</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投诉、举报电话：0571-28098168（吉利科技</w:t>
      </w:r>
      <w:r>
        <w:rPr>
          <w:rFonts w:hint="eastAsia" w:ascii="微软雅黑" w:hAnsi="微软雅黑" w:eastAsia="微软雅黑" w:cs="微软雅黑"/>
          <w:bCs/>
          <w:sz w:val="24"/>
          <w:szCs w:val="24"/>
          <w:lang w:val="en-US" w:eastAsia="zh-CN"/>
        </w:rPr>
        <w:t>工程与招标</w:t>
      </w:r>
      <w:r>
        <w:rPr>
          <w:rFonts w:hint="eastAsia" w:ascii="微软雅黑" w:hAnsi="微软雅黑" w:eastAsia="微软雅黑" w:cs="微软雅黑"/>
          <w:bCs/>
          <w:sz w:val="24"/>
          <w:szCs w:val="24"/>
        </w:rPr>
        <w:t>管理部）</w:t>
      </w:r>
    </w:p>
    <w:p>
      <w:pPr>
        <w:adjustRightInd w:val="0"/>
        <w:snapToGrid w:val="0"/>
        <w:spacing w:line="440" w:lineRule="exact"/>
        <w:ind w:firstLine="480" w:firstLineChars="200"/>
        <w:rPr>
          <w:rFonts w:ascii="宋体" w:hAnsi="宋体" w:eastAsia="宋体" w:cs="宋体"/>
          <w:kern w:val="0"/>
          <w:sz w:val="24"/>
          <w:szCs w:val="24"/>
        </w:rPr>
      </w:pPr>
      <w:r>
        <w:rPr>
          <w:rFonts w:hint="eastAsia" w:ascii="微软雅黑" w:hAnsi="微软雅黑" w:eastAsia="微软雅黑" w:cs="微软雅黑"/>
          <w:bCs/>
          <w:sz w:val="24"/>
          <w:szCs w:val="24"/>
        </w:rPr>
        <w:t>举报邮箱：geelytech.bid@geely.com。</w:t>
      </w:r>
      <w:r>
        <w:rPr>
          <w:rFonts w:hint="eastAsia" w:ascii="宋体" w:hAnsi="宋体" w:eastAsia="宋体" w:cs="宋体"/>
          <w:kern w:val="0"/>
          <w:sz w:val="24"/>
          <w:szCs w:val="24"/>
        </w:rPr>
        <w:t xml:space="preserve">         </w:t>
      </w:r>
      <w:bookmarkStart w:id="0" w:name="_GoBack"/>
      <w:bookmarkEnd w:id="0"/>
    </w:p>
    <w:p>
      <w:pPr>
        <w:widowControl/>
        <w:spacing w:line="440" w:lineRule="exact"/>
        <w:ind w:firstLine="4320" w:firstLineChars="1800"/>
        <w:jc w:val="both"/>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招标组织单位：</w:t>
      </w:r>
      <w:r>
        <w:rPr>
          <w:rFonts w:hint="eastAsia" w:ascii="微软雅黑" w:hAnsi="微软雅黑" w:eastAsia="微软雅黑" w:cs="微软雅黑"/>
          <w:kern w:val="0"/>
          <w:sz w:val="24"/>
          <w:szCs w:val="24"/>
          <w:u w:val="single"/>
        </w:rPr>
        <w:t>吉利百矿集团有限公司</w:t>
      </w:r>
      <w:r>
        <w:rPr>
          <w:rFonts w:hint="eastAsia" w:ascii="微软雅黑" w:hAnsi="微软雅黑" w:eastAsia="微软雅黑" w:cs="微软雅黑"/>
          <w:kern w:val="0"/>
          <w:sz w:val="24"/>
          <w:szCs w:val="24"/>
        </w:rPr>
        <w:t xml:space="preserve"> </w:t>
      </w:r>
    </w:p>
    <w:p>
      <w:pPr>
        <w:widowControl/>
        <w:spacing w:line="440" w:lineRule="exact"/>
        <w:ind w:left="6550" w:leftChars="1445" w:right="480" w:hanging="3516" w:hangingChars="1465"/>
        <w:jc w:val="center"/>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FF"/>
          <w:kern w:val="0"/>
          <w:sz w:val="24"/>
          <w:szCs w:val="24"/>
          <w:lang w:val="en-US" w:eastAsia="zh-CN"/>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日期：</w:t>
      </w:r>
      <w:r>
        <w:rPr>
          <w:rFonts w:hint="eastAsia" w:ascii="微软雅黑" w:hAnsi="微软雅黑" w:eastAsia="微软雅黑" w:cs="微软雅黑"/>
          <w:color w:val="000000" w:themeColor="text1"/>
          <w:kern w:val="0"/>
          <w:sz w:val="24"/>
          <w:szCs w:val="24"/>
          <w:u w:val="single"/>
          <w14:textFill>
            <w14:solidFill>
              <w14:schemeClr w14:val="tx1"/>
            </w14:solidFill>
          </w14:textFill>
        </w:rPr>
        <w:t>202</w:t>
      </w:r>
      <w:r>
        <w:rPr>
          <w:rFonts w:hint="eastAsia" w:ascii="微软雅黑" w:hAnsi="微软雅黑" w:eastAsia="微软雅黑" w:cs="微软雅黑"/>
          <w:color w:val="000000" w:themeColor="text1"/>
          <w:kern w:val="0"/>
          <w:sz w:val="24"/>
          <w:szCs w:val="24"/>
          <w:u w:val="single"/>
          <w:lang w:val="en-US" w:eastAsia="zh-CN"/>
          <w14:textFill>
            <w14:solidFill>
              <w14:schemeClr w14:val="tx1"/>
            </w14:solidFill>
          </w14:textFill>
        </w:rPr>
        <w:t>4</w:t>
      </w:r>
      <w:r>
        <w:rPr>
          <w:rFonts w:hint="eastAsia" w:ascii="微软雅黑" w:hAnsi="微软雅黑" w:eastAsia="微软雅黑" w:cs="微软雅黑"/>
          <w:color w:val="000000" w:themeColor="text1"/>
          <w:kern w:val="0"/>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年</w:t>
      </w:r>
      <w:r>
        <w:rPr>
          <w:rFonts w:hint="eastAsia" w:ascii="微软雅黑" w:hAnsi="微软雅黑" w:eastAsia="微软雅黑" w:cs="微软雅黑"/>
          <w:color w:val="000000" w:themeColor="text1"/>
          <w:kern w:val="0"/>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微软雅黑"/>
          <w:color w:val="000000" w:themeColor="text1"/>
          <w:kern w:val="0"/>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月</w:t>
      </w:r>
      <w:r>
        <w:rPr>
          <w:rFonts w:hint="eastAsia" w:ascii="微软雅黑" w:hAnsi="微软雅黑" w:eastAsia="微软雅黑" w:cs="微软雅黑"/>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微软雅黑"/>
          <w:color w:val="000000" w:themeColor="text1"/>
          <w:kern w:val="0"/>
          <w:sz w:val="24"/>
          <w:szCs w:val="24"/>
          <w14:textFill>
            <w14:solidFill>
              <w14:schemeClr w14:val="tx1"/>
            </w14:solidFill>
          </w14:textFill>
        </w:rPr>
        <w:t xml:space="preserve">日 </w:t>
      </w:r>
    </w:p>
    <w:sectPr>
      <w:headerReference r:id="rId3" w:type="default"/>
      <w:footerReference r:id="rId4" w:type="default"/>
      <w:footerReference r:id="rId5" w:type="even"/>
      <w:pgSz w:w="11906" w:h="16838"/>
      <w:pgMar w:top="1134" w:right="1191" w:bottom="1134" w:left="1191" w:header="567"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114300" distR="114300">
          <wp:extent cx="1309370" cy="313055"/>
          <wp:effectExtent l="0" t="0" r="5080" b="11430"/>
          <wp:docPr id="4" name="图片 4" descr="吉利科技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吉利科技集团logo"/>
                  <pic:cNvPicPr>
                    <a:picLocks noChangeAspect="1"/>
                  </pic:cNvPicPr>
                </pic:nvPicPr>
                <pic:blipFill>
                  <a:blip r:embed="rId1"/>
                  <a:srcRect l="10886" t="33305" r="10717" b="33390"/>
                  <a:stretch>
                    <a:fillRect/>
                  </a:stretch>
                </pic:blipFill>
                <pic:spPr>
                  <a:xfrm>
                    <a:off x="0" y="0"/>
                    <a:ext cx="1309370" cy="313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ZWYwZTAwY2RiZjYyNDE5MzRhYzAwMzBiZDgyMTAifQ=="/>
    <w:docVar w:name="KSO_WPS_MARK_KEY" w:val="61310af3-9a0f-40e9-8926-8750222abffd"/>
  </w:docVars>
  <w:rsids>
    <w:rsidRoot w:val="00530892"/>
    <w:rsid w:val="000047E1"/>
    <w:rsid w:val="00017FC1"/>
    <w:rsid w:val="0002075A"/>
    <w:rsid w:val="00076405"/>
    <w:rsid w:val="000837DB"/>
    <w:rsid w:val="000A6D89"/>
    <w:rsid w:val="000B15BD"/>
    <w:rsid w:val="000C6171"/>
    <w:rsid w:val="000D3BF7"/>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4E2A89"/>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C5322"/>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047"/>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17C7E"/>
    <w:rsid w:val="00E20D3B"/>
    <w:rsid w:val="00E265CB"/>
    <w:rsid w:val="00E36C66"/>
    <w:rsid w:val="00E85FBB"/>
    <w:rsid w:val="00E97291"/>
    <w:rsid w:val="00EA6CA2"/>
    <w:rsid w:val="00EE522C"/>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8556A6"/>
    <w:rsid w:val="052A7F27"/>
    <w:rsid w:val="05AC5095"/>
    <w:rsid w:val="05CB6C05"/>
    <w:rsid w:val="05DC4CF8"/>
    <w:rsid w:val="05E468D5"/>
    <w:rsid w:val="062C64DE"/>
    <w:rsid w:val="067F3540"/>
    <w:rsid w:val="07770C42"/>
    <w:rsid w:val="08276805"/>
    <w:rsid w:val="0ADE5184"/>
    <w:rsid w:val="0BA11E1B"/>
    <w:rsid w:val="0CF9257C"/>
    <w:rsid w:val="0D1751D3"/>
    <w:rsid w:val="0EAC2DCD"/>
    <w:rsid w:val="0FB703BB"/>
    <w:rsid w:val="0FE60CD0"/>
    <w:rsid w:val="10332E27"/>
    <w:rsid w:val="106659C9"/>
    <w:rsid w:val="11EE6057"/>
    <w:rsid w:val="15BE4D7B"/>
    <w:rsid w:val="181B4DF9"/>
    <w:rsid w:val="19E513E4"/>
    <w:rsid w:val="1AA01C45"/>
    <w:rsid w:val="1BD22569"/>
    <w:rsid w:val="1C277E43"/>
    <w:rsid w:val="22FE53FA"/>
    <w:rsid w:val="231D1DF6"/>
    <w:rsid w:val="232A0681"/>
    <w:rsid w:val="23C85B47"/>
    <w:rsid w:val="23F944BF"/>
    <w:rsid w:val="24D53708"/>
    <w:rsid w:val="25116F24"/>
    <w:rsid w:val="26566884"/>
    <w:rsid w:val="267B6533"/>
    <w:rsid w:val="267C312E"/>
    <w:rsid w:val="26E32E33"/>
    <w:rsid w:val="27075171"/>
    <w:rsid w:val="29750A22"/>
    <w:rsid w:val="2AE7245A"/>
    <w:rsid w:val="2BE000C4"/>
    <w:rsid w:val="2D8F53CE"/>
    <w:rsid w:val="2E3A2CCF"/>
    <w:rsid w:val="2E5F565D"/>
    <w:rsid w:val="30210B54"/>
    <w:rsid w:val="32556183"/>
    <w:rsid w:val="33D36FFF"/>
    <w:rsid w:val="34052590"/>
    <w:rsid w:val="34844CAA"/>
    <w:rsid w:val="34C919CD"/>
    <w:rsid w:val="358110B9"/>
    <w:rsid w:val="36BD3B05"/>
    <w:rsid w:val="36D91060"/>
    <w:rsid w:val="38B069DF"/>
    <w:rsid w:val="38B67F25"/>
    <w:rsid w:val="3926277B"/>
    <w:rsid w:val="399860E8"/>
    <w:rsid w:val="39D947A0"/>
    <w:rsid w:val="39ED3569"/>
    <w:rsid w:val="3ABE6216"/>
    <w:rsid w:val="3B4C2C28"/>
    <w:rsid w:val="3BE643FD"/>
    <w:rsid w:val="3BFF669F"/>
    <w:rsid w:val="3C130504"/>
    <w:rsid w:val="3DFB2258"/>
    <w:rsid w:val="3EB80EE1"/>
    <w:rsid w:val="3F330144"/>
    <w:rsid w:val="3F7C341E"/>
    <w:rsid w:val="40310E86"/>
    <w:rsid w:val="41920A9C"/>
    <w:rsid w:val="441861E1"/>
    <w:rsid w:val="44567357"/>
    <w:rsid w:val="48860B71"/>
    <w:rsid w:val="4B4E32EE"/>
    <w:rsid w:val="4C42187D"/>
    <w:rsid w:val="4FBA24A4"/>
    <w:rsid w:val="50016E5B"/>
    <w:rsid w:val="503C65DF"/>
    <w:rsid w:val="50921E2D"/>
    <w:rsid w:val="51581F75"/>
    <w:rsid w:val="53715570"/>
    <w:rsid w:val="54AF404F"/>
    <w:rsid w:val="555C6BD0"/>
    <w:rsid w:val="566B67D7"/>
    <w:rsid w:val="57A23726"/>
    <w:rsid w:val="584C17A9"/>
    <w:rsid w:val="5AD17E64"/>
    <w:rsid w:val="5B8F56CB"/>
    <w:rsid w:val="5BAF0FCF"/>
    <w:rsid w:val="5CE71188"/>
    <w:rsid w:val="5D5B4205"/>
    <w:rsid w:val="5E7E6C51"/>
    <w:rsid w:val="5EC42483"/>
    <w:rsid w:val="6006679A"/>
    <w:rsid w:val="60086829"/>
    <w:rsid w:val="60FD6695"/>
    <w:rsid w:val="613D4CE3"/>
    <w:rsid w:val="61A66C51"/>
    <w:rsid w:val="61BF71FC"/>
    <w:rsid w:val="624242EA"/>
    <w:rsid w:val="63687B9A"/>
    <w:rsid w:val="639C1EBC"/>
    <w:rsid w:val="63C120FC"/>
    <w:rsid w:val="64002FD1"/>
    <w:rsid w:val="651D0FA7"/>
    <w:rsid w:val="660E09B2"/>
    <w:rsid w:val="67E56D04"/>
    <w:rsid w:val="695A47C9"/>
    <w:rsid w:val="6E9E55B4"/>
    <w:rsid w:val="6F1148B2"/>
    <w:rsid w:val="6FCA2DBD"/>
    <w:rsid w:val="713F1E53"/>
    <w:rsid w:val="71923B4A"/>
    <w:rsid w:val="726F4A2A"/>
    <w:rsid w:val="74337536"/>
    <w:rsid w:val="7556504A"/>
    <w:rsid w:val="756431A8"/>
    <w:rsid w:val="764F234C"/>
    <w:rsid w:val="78D74E18"/>
    <w:rsid w:val="79AE18AF"/>
    <w:rsid w:val="7AD32006"/>
    <w:rsid w:val="7B7F3815"/>
    <w:rsid w:val="7C405B8F"/>
    <w:rsid w:val="7D9A13C4"/>
    <w:rsid w:val="7E262746"/>
    <w:rsid w:val="7E755BD0"/>
    <w:rsid w:val="7F34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3">
    <w:name w:val="annotation text"/>
    <w:basedOn w:val="1"/>
    <w:link w:val="22"/>
    <w:semiHidden/>
    <w:unhideWhenUsed/>
    <w:qFormat/>
    <w:uiPriority w:val="99"/>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semiHidden/>
    <w:unhideWhenUsed/>
    <w:qFormat/>
    <w:uiPriority w:val="99"/>
    <w:rPr>
      <w:color w:val="0000FF"/>
      <w:u w:val="none"/>
    </w:rPr>
  </w:style>
  <w:style w:type="character" w:styleId="15">
    <w:name w:val="annotation reference"/>
    <w:basedOn w:val="11"/>
    <w:semiHidden/>
    <w:unhideWhenUsed/>
    <w:qFormat/>
    <w:uiPriority w:val="99"/>
    <w:rPr>
      <w:sz w:val="21"/>
      <w:szCs w:val="21"/>
    </w:rPr>
  </w:style>
  <w:style w:type="paragraph" w:customStyle="1" w:styleId="16">
    <w:name w:val="Default"/>
    <w:basedOn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正文（首行缩进两字）"/>
    <w:basedOn w:val="1"/>
    <w:qFormat/>
    <w:uiPriority w:val="0"/>
    <w:rPr>
      <w:szCs w:val="21"/>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qFormat/>
    <w:uiPriority w:val="99"/>
    <w:rPr>
      <w:sz w:val="18"/>
      <w:szCs w:val="18"/>
    </w:rPr>
  </w:style>
  <w:style w:type="character" w:customStyle="1" w:styleId="20">
    <w:name w:val="日期 字符"/>
    <w:basedOn w:val="11"/>
    <w:link w:val="5"/>
    <w:semiHidden/>
    <w:qFormat/>
    <w:uiPriority w:val="99"/>
  </w:style>
  <w:style w:type="paragraph" w:styleId="21">
    <w:name w:val="List Paragraph"/>
    <w:basedOn w:val="1"/>
    <w:qFormat/>
    <w:uiPriority w:val="34"/>
    <w:pPr>
      <w:ind w:firstLine="420" w:firstLineChars="200"/>
    </w:pPr>
  </w:style>
  <w:style w:type="character" w:customStyle="1" w:styleId="22">
    <w:name w:val="批注文字 字符"/>
    <w:basedOn w:val="11"/>
    <w:link w:val="3"/>
    <w:semiHidden/>
    <w:qFormat/>
    <w:uiPriority w:val="99"/>
  </w:style>
  <w:style w:type="character" w:customStyle="1" w:styleId="23">
    <w:name w:val="批注框文本 字符"/>
    <w:basedOn w:val="11"/>
    <w:link w:val="6"/>
    <w:semiHidden/>
    <w:qFormat/>
    <w:uiPriority w:val="99"/>
    <w:rPr>
      <w:sz w:val="18"/>
      <w:szCs w:val="18"/>
    </w:rPr>
  </w:style>
  <w:style w:type="character" w:customStyle="1" w:styleId="24">
    <w:name w:val="font41"/>
    <w:basedOn w:val="11"/>
    <w:qFormat/>
    <w:uiPriority w:val="0"/>
    <w:rPr>
      <w:rFonts w:hint="eastAsia" w:ascii="宋体" w:hAnsi="宋体" w:eastAsia="宋体" w:cs="宋体"/>
      <w:color w:val="000000"/>
      <w:sz w:val="20"/>
      <w:szCs w:val="20"/>
      <w:u w:val="none"/>
    </w:rPr>
  </w:style>
  <w:style w:type="character" w:customStyle="1" w:styleId="25">
    <w:name w:val="font31"/>
    <w:basedOn w:val="11"/>
    <w:qFormat/>
    <w:uiPriority w:val="0"/>
    <w:rPr>
      <w:rFonts w:hint="eastAsia" w:ascii="宋体" w:hAnsi="宋体" w:eastAsia="宋体" w:cs="宋体"/>
      <w:color w:val="000000"/>
      <w:sz w:val="20"/>
      <w:szCs w:val="20"/>
      <w:u w:val="none"/>
    </w:rPr>
  </w:style>
  <w:style w:type="paragraph" w:customStyle="1" w:styleId="26">
    <w:name w:val="z0"/>
    <w:basedOn w:val="1"/>
    <w:qFormat/>
    <w:uiPriority w:val="0"/>
    <w:pPr>
      <w:spacing w:line="360" w:lineRule="auto"/>
      <w:ind w:firstLine="200" w:firstLineChars="200"/>
    </w:pPr>
    <w:rPr>
      <w:rFonts w:ascii="宋体" w:hAnsi="宋体"/>
      <w:sz w:val="24"/>
      <w:szCs w:val="24"/>
    </w:rPr>
  </w:style>
  <w:style w:type="character" w:customStyle="1" w:styleId="27">
    <w:name w:val="font01"/>
    <w:basedOn w:val="11"/>
    <w:qFormat/>
    <w:uiPriority w:val="0"/>
    <w:rPr>
      <w:rFonts w:hint="eastAsia" w:ascii="微软雅黑" w:hAnsi="微软雅黑" w:eastAsia="微软雅黑" w:cs="微软雅黑"/>
      <w:b/>
      <w:bCs/>
      <w:color w:val="000000"/>
      <w:sz w:val="21"/>
      <w:szCs w:val="21"/>
      <w:u w:val="none"/>
    </w:rPr>
  </w:style>
  <w:style w:type="character" w:customStyle="1" w:styleId="28">
    <w:name w:val="font51"/>
    <w:basedOn w:val="11"/>
    <w:qFormat/>
    <w:uiPriority w:val="0"/>
    <w:rPr>
      <w:rFonts w:hint="eastAsia" w:ascii="微软雅黑" w:hAnsi="微软雅黑" w:eastAsia="微软雅黑" w:cs="微软雅黑"/>
      <w:color w:val="000000"/>
      <w:sz w:val="22"/>
      <w:szCs w:val="22"/>
      <w:u w:val="none"/>
    </w:rPr>
  </w:style>
  <w:style w:type="paragraph" w:customStyle="1" w:styleId="29">
    <w:name w:val="Table Text"/>
    <w:basedOn w:val="1"/>
    <w:semiHidden/>
    <w:qFormat/>
    <w:uiPriority w:val="0"/>
    <w:rPr>
      <w:rFonts w:ascii="宋体" w:hAnsi="宋体" w:eastAsia="宋体" w:cs="宋体"/>
      <w:sz w:val="25"/>
      <w:szCs w:val="25"/>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四级标题"/>
    <w:basedOn w:val="5"/>
    <w:qFormat/>
    <w:uiPriority w:val="0"/>
    <w:rPr>
      <w:rFonts w:eastAsia="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1720</Words>
  <Characters>2053</Characters>
  <Lines>2</Lines>
  <Paragraphs>4</Paragraphs>
  <TotalTime>2</TotalTime>
  <ScaleCrop>false</ScaleCrop>
  <LinksUpToDate>false</LinksUpToDate>
  <CharactersWithSpaces>2094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小妹~上花菜~</cp:lastModifiedBy>
  <cp:lastPrinted>2023-04-11T09:40:00Z</cp:lastPrinted>
  <dcterms:modified xsi:type="dcterms:W3CDTF">2024-10-10T01:44:53Z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896D9593C975458A9B8A827D63E028FF_13</vt:lpwstr>
  </property>
  <property fmtid="{D5CDD505-2E9C-101B-9397-08002B2CF9AE}" pid="4" name="EagleCloud">
    <vt:lpwstr>{"watermark_type":"track","current_time":"2024-09-01 11:05","employee_id":"emp_e4d5b3a6-d99c-479c-a318-3eadaf734aea","agent_id":"be913276dc9947913633c601efcff34b8bed62bd924498343069352d88d6aa44","process":"","custom_content":"科技租户","total_content":"2024-09-01 11:05-emp_e4d5b3a6-d99c-479c-a318-3eadaf734aea-be913276dc9947913633c601efcff34b8bed62bd924498343069352d88d6aa44-{{process}}-科技租户"}</vt:lpwstr>
  </property>
</Properties>
</file>