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r>
        <w:rPr>
          <w:rFonts w:hint="eastAsia" w:ascii="宋体" w:hAnsi="宋体" w:eastAsia="宋体" w:cs="宋体"/>
          <w:sz w:val="44"/>
          <w:szCs w:val="44"/>
          <w:lang w:eastAsia="zh-CN"/>
        </w:rPr>
        <w:t>田林百矿田田碳素有限公司</w:t>
      </w:r>
    </w:p>
    <w:p>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sz w:val="72"/>
          <w:szCs w:val="72"/>
          <w:highlight w:val="none"/>
        </w:rPr>
      </w:pPr>
      <w:r>
        <w:rPr>
          <w:rFonts w:hint="eastAsia" w:ascii="宋体" w:hAnsi="宋体" w:eastAsia="宋体" w:cs="宋体"/>
          <w:i w:val="0"/>
          <w:iCs w:val="0"/>
          <w:spacing w:val="0"/>
          <w:sz w:val="44"/>
          <w:szCs w:val="44"/>
          <w:shd w:val="clear"/>
          <w:lang w:eastAsia="zh-CN"/>
        </w:rPr>
        <w:t>沥青</w:t>
      </w:r>
      <w:r>
        <w:rPr>
          <w:rFonts w:hint="eastAsia" w:ascii="宋体" w:hAnsi="宋体" w:eastAsia="宋体" w:cs="宋体"/>
          <w:i w:val="0"/>
          <w:iCs w:val="0"/>
          <w:spacing w:val="0"/>
          <w:sz w:val="44"/>
          <w:szCs w:val="44"/>
          <w:shd w:val="clear"/>
        </w:rPr>
        <w:t>采购</w:t>
      </w:r>
      <w:r>
        <w:rPr>
          <w:rFonts w:hint="eastAsia" w:ascii="宋体" w:hAnsi="宋体" w:eastAsia="宋体" w:cs="宋体"/>
          <w:sz w:val="44"/>
          <w:szCs w:val="44"/>
          <w:lang w:eastAsia="zh-CN"/>
        </w:rPr>
        <w:t>合同</w:t>
      </w: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pStyle w:val="2"/>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pStyle w:val="2"/>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left="2960" w:leftChars="480" w:hanging="1952" w:hangingChars="400"/>
        <w:rPr>
          <w:rFonts w:hint="eastAsia" w:ascii="宋体" w:hAnsi="宋体" w:eastAsia="宋体" w:cs="宋体"/>
          <w:sz w:val="32"/>
          <w:szCs w:val="32"/>
          <w:highlight w:val="none"/>
          <w:u w:val="single"/>
          <w:lang w:eastAsia="zh-CN"/>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田林百矿田田碳素有限公司</w:t>
      </w: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3200" w:firstLineChars="1000"/>
        <w:rPr>
          <w:rFonts w:hint="eastAsia" w:ascii="宋体" w:hAnsi="宋体" w:eastAsia="宋体" w:cs="宋体"/>
          <w:sz w:val="32"/>
          <w:szCs w:val="32"/>
          <w:highlight w:val="none"/>
          <w:u w:val="single"/>
          <w:lang w:val="en-US"/>
        </w:rPr>
      </w:pPr>
      <w:r>
        <w:rPr>
          <w:rFonts w:hint="eastAsia" w:ascii="宋体" w:hAnsi="宋体" w:eastAsia="宋体" w:cs="宋体"/>
          <w:sz w:val="32"/>
          <w:szCs w:val="32"/>
          <w:highlight w:val="none"/>
          <w:u w:val="single"/>
          <w:lang w:val="en-US" w:eastAsia="zh-CN"/>
        </w:rPr>
        <w:t>x月</w:t>
      </w:r>
      <w:r>
        <w:rPr>
          <w:rFonts w:hint="eastAsia" w:ascii="宋体" w:hAnsi="宋体" w:eastAsia="宋体" w:cs="宋体"/>
          <w:sz w:val="32"/>
          <w:szCs w:val="32"/>
          <w:highlight w:val="none"/>
          <w:u w:val="single"/>
          <w:lang w:eastAsia="zh-CN"/>
        </w:rPr>
        <w:t>沥青采购项目</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non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广西田林县旧州镇</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rPr>
        <w:t xml:space="preserve">           </w:t>
      </w:r>
      <w:r>
        <w:rPr>
          <w:rFonts w:hint="eastAsia" w:ascii="宋体" w:hAnsi="宋体" w:eastAsia="宋体" w:cs="宋体"/>
          <w:sz w:val="32"/>
          <w:szCs w:val="32"/>
          <w:highlight w:val="none"/>
          <w:u w:val="singl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44"/>
          <w:szCs w:val="4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u w:val="single"/>
        </w:rPr>
        <w:t>年</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月   日        </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pacing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single"/>
          <w:lang w:val="en-US" w:eastAsia="zh-CN"/>
        </w:rPr>
        <w:t xml:space="preserve">  </w:t>
      </w:r>
    </w:p>
    <w:p>
      <w:pPr>
        <w:pStyle w:val="2"/>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color w:val="auto"/>
          <w:sz w:val="24"/>
          <w:szCs w:val="24"/>
          <w:u w:val="single"/>
        </w:rPr>
        <w:t>91451029MA5LC22339</w:t>
      </w:r>
      <w:r>
        <w:rPr>
          <w:rFonts w:hint="eastAsia" w:ascii="宋体" w:hAnsi="宋体" w:eastAsia="宋体" w:cs="宋体"/>
          <w:bCs/>
          <w:color w:val="auto"/>
          <w:sz w:val="24"/>
          <w:szCs w:val="24"/>
          <w:u w:val="single"/>
          <w:lang w:val="en-US" w:eastAsia="zh-CN"/>
        </w:rPr>
        <w:t xml:space="preserve">   </w:t>
      </w:r>
    </w:p>
    <w:p>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r>
        <w:rPr>
          <w:rFonts w:hint="eastAsia" w:ascii="宋体" w:hAnsi="宋体" w:eastAsia="宋体" w:cs="宋体"/>
          <w:sz w:val="24"/>
          <w:szCs w:val="24"/>
          <w:u w:val="single"/>
          <w:lang w:val="en-US" w:eastAsia="zh-CN"/>
        </w:rPr>
        <w:t xml:space="preserve">      </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eastAsia="宋体" w:cs="宋体"/>
          <w:color w:val="auto"/>
          <w:sz w:val="24"/>
          <w:szCs w:val="24"/>
          <w:lang w:val="en-US" w:eastAsia="zh-CN"/>
        </w:rPr>
        <w:t>液体改质沥青</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eastAsia="宋体" w:cs="宋体"/>
          <w:color w:val="auto"/>
          <w:sz w:val="24"/>
          <w:szCs w:val="24"/>
          <w:u w:val="single"/>
          <w:lang w:val="en-US" w:eastAsia="zh-CN"/>
        </w:rPr>
        <w:t xml:space="preserve"> xxxx </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上下浮动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2024年x月x日至2024年x月xx日</w:t>
      </w:r>
    </w:p>
    <w:p>
      <w:pPr>
        <w:pStyle w:val="2"/>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9"/>
        <w:tblpPr w:leftFromText="180" w:rightFromText="180" w:vertAnchor="text" w:horzAnchor="page" w:tblpXSpec="center" w:tblpY="403"/>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lang w:val="en-US" w:eastAsia="zh-CN"/>
              </w:rPr>
              <w:t>2024年</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日至2024年</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hAnsi="宋体" w:eastAsia="宋体" w:cs="宋体"/>
                <w:color w:val="auto"/>
                <w:sz w:val="24"/>
                <w:szCs w:val="24"/>
                <w:vertAlign w:val="baseline"/>
                <w:lang w:val="en-US" w:eastAsia="zh-CN"/>
              </w:rPr>
              <w:t>xxxx</w:t>
            </w:r>
            <w:r>
              <w:rPr>
                <w:rFonts w:hint="eastAsia" w:ascii="宋体" w:hAnsi="宋体" w:eastAsia="宋体" w:cs="宋体"/>
                <w:color w:val="auto"/>
                <w:sz w:val="24"/>
                <w:szCs w:val="24"/>
                <w:vertAlign w:val="baseline"/>
                <w:lang w:val="en-US" w:eastAsia="zh-CN"/>
              </w:rPr>
              <w:t>吨</w:t>
            </w:r>
          </w:p>
        </w:tc>
      </w:tr>
    </w:tbl>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color w:val="auto"/>
          <w:sz w:val="24"/>
          <w:szCs w:val="24"/>
          <w:highlight w:val="none"/>
          <w:lang w:val="en-US" w:eastAsia="zh-CN"/>
        </w:rPr>
        <w:t>当月</w:t>
      </w:r>
      <w:r>
        <w:rPr>
          <w:rFonts w:hint="eastAsia" w:ascii="宋体" w:hAnsi="宋体" w:eastAsia="宋体" w:cs="宋体"/>
          <w:color w:val="auto"/>
          <w:sz w:val="24"/>
          <w:szCs w:val="24"/>
          <w:highlight w:val="none"/>
        </w:rPr>
        <w:t>正常交货时交货误差值为正误差，如改变交货差额正负差额由买方提前</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天发函确认。</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卖方将货物运至买方</w:t>
      </w:r>
      <w:r>
        <w:rPr>
          <w:rFonts w:hint="eastAsia" w:ascii="宋体" w:hAnsi="宋体" w:eastAsia="宋体" w:cs="宋体"/>
          <w:color w:val="auto"/>
          <w:sz w:val="24"/>
          <w:szCs w:val="24"/>
        </w:rPr>
        <w:t>广西田林县旧州镇板坚村桂黔（田林）经济合作产业园区田林百矿田田碳素有限公司</w:t>
      </w:r>
      <w:r>
        <w:rPr>
          <w:rFonts w:hint="eastAsia" w:ascii="宋体" w:hAnsi="宋体" w:eastAsia="宋体" w:cs="宋体"/>
          <w:color w:val="auto"/>
          <w:sz w:val="24"/>
          <w:szCs w:val="24"/>
          <w:lang w:val="en-US" w:eastAsia="zh-CN"/>
        </w:rPr>
        <w:t>煅烧车间生产</w:t>
      </w: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w:t>
      </w:r>
      <w:r>
        <w:rPr>
          <w:rFonts w:hint="eastAsia" w:ascii="宋体" w:hAnsi="宋体" w:eastAsia="宋体" w:cs="宋体"/>
          <w:color w:val="FF0000"/>
          <w:sz w:val="24"/>
          <w:szCs w:val="24"/>
          <w:u w:val="single"/>
          <w:lang w:val="en-US" w:eastAsia="zh-CN"/>
        </w:rPr>
        <w:t>xxxx.00</w:t>
      </w:r>
      <w:r>
        <w:rPr>
          <w:rFonts w:hint="eastAsia" w:ascii="宋体" w:hAnsi="宋体" w:eastAsia="宋体" w:cs="宋体"/>
          <w:color w:val="auto"/>
          <w:sz w:val="24"/>
          <w:szCs w:val="24"/>
          <w:u w:val="single"/>
          <w:lang w:val="en-US" w:eastAsia="zh-CN"/>
        </w:rPr>
        <w:t>（大写：伍仟捌佰伍拾元整）</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pPr>
        <w:keepNext w:val="0"/>
        <w:keepLines w:val="0"/>
        <w:pageBreakBefore w:val="0"/>
        <w:widowControl w:val="0"/>
        <w:tabs>
          <w:tab w:val="left" w:pos="567"/>
        </w:tabs>
        <w:kinsoku/>
        <w:wordWrap/>
        <w:overflowPunct/>
        <w:topLinePunct w:val="0"/>
        <w:bidi w:val="0"/>
        <w:snapToGrid w:val="0"/>
        <w:spacing w:before="0" w:beforeLines="-2147483648" w:beforeAutospacing="0" w:after="0"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双方同意以买方指定收货地磅单的实际重量为结算依据，合理磅差为±3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，差额超过时协商处理。卖方必须是在符合国家规定的地磅进行过磅，并且提供机打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货后款，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分别开具13%增值税专用发票，买方在收发票30天支付货款，遇节假日相应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仿宋" w:hAnsi="仿宋" w:eastAsia="仿宋" w:cs="仿宋"/>
          <w:color w:val="auto"/>
          <w:sz w:val="32"/>
          <w:szCs w:val="32"/>
          <w:lang w:val="en-US" w:eastAsia="zh-CN"/>
        </w:rPr>
      </w:pPr>
      <w:r>
        <w:rPr>
          <w:rFonts w:hint="eastAsia" w:ascii="宋体" w:hAnsi="宋体" w:eastAsia="宋体" w:cs="宋体"/>
          <w:bCs/>
          <w:color w:val="auto"/>
          <w:sz w:val="24"/>
          <w:szCs w:val="24"/>
          <w:lang w:val="en-US" w:eastAsia="zh-CN"/>
        </w:rPr>
        <w:t>现款支付。买方将货款汇入本合同中卖方指</w:t>
      </w:r>
      <w:bookmarkStart w:id="10" w:name="_GoBack"/>
      <w:bookmarkEnd w:id="10"/>
      <w:r>
        <w:rPr>
          <w:rFonts w:hint="eastAsia" w:ascii="宋体" w:hAnsi="宋体" w:eastAsia="宋体" w:cs="宋体"/>
          <w:bCs/>
          <w:color w:val="auto"/>
          <w:sz w:val="24"/>
          <w:szCs w:val="24"/>
          <w:lang w:val="en-US" w:eastAsia="zh-CN"/>
        </w:rPr>
        <w:t>定的账户。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需方在需方仓库内进行抽样检验。如检验结果与本合同的规定不符时，应及时向供方提出，供方收到需方质量异常反馈后，应在3个工作日内处理，否则视为默认需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必要时，需方可依据订货单（或合同）约定，进入供方现场对拟交货的产品进行供货前的检查。</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 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 xml:space="preserve">车组批抽检一次，连续 </w:t>
      </w:r>
      <w:r>
        <w:rPr>
          <w:rFonts w:ascii="宋体" w:hAnsi="宋体" w:eastAsia="宋体" w:cs="宋体"/>
          <w:color w:val="auto"/>
          <w:spacing w:val="-1"/>
          <w:sz w:val="24"/>
          <w:szCs w:val="24"/>
        </w:rPr>
        <w:t>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pPr>
        <w:keepNext w:val="0"/>
        <w:keepLines w:val="0"/>
        <w:pageBreakBefore w:val="0"/>
        <w:widowControl w:val="0"/>
        <w:tabs>
          <w:tab w:val="left" w:pos="567"/>
        </w:tabs>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复检方式：供需双方在验收过程中就质量问题发生争议时，供方需在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个工作日内，以函件的方式向需方提出复检申请。</w:t>
      </w:r>
      <w:r>
        <w:rPr>
          <w:rFonts w:ascii="宋体" w:hAnsi="宋体" w:eastAsia="宋体" w:cs="宋体"/>
          <w:color w:val="auto"/>
          <w:spacing w:val="-2"/>
          <w:sz w:val="24"/>
          <w:szCs w:val="24"/>
        </w:rPr>
        <w:t>复检优先选择在需方实验室进行，当争</w:t>
      </w:r>
      <w:r>
        <w:rPr>
          <w:rFonts w:ascii="宋体" w:hAnsi="宋体" w:eastAsia="宋体" w:cs="宋体"/>
          <w:color w:val="auto"/>
          <w:spacing w:val="-1"/>
          <w:sz w:val="24"/>
          <w:szCs w:val="24"/>
        </w:rPr>
        <w:t>议较大或供方有充分理由时，也可选择在双方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检（由需方在供需双方认可的具有资质的第三方实验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ascii="宋体" w:hAnsi="宋体" w:eastAsia="宋体" w:cs="宋体"/>
          <w:color w:val="auto"/>
          <w:spacing w:val="-2"/>
          <w:sz w:val="24"/>
          <w:szCs w:val="24"/>
        </w:rPr>
        <w:t>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xxxx.00</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xxxx.00</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xxxx.00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买方对卖方供应的沥青进行监督检查，凡被买方检查发现卖方供应的沥青有掺假、杂质、夹层的车辆，买方有权拒绝其进厂，已进厂卸车的，买方有权对该车不予结算。因退货造成的损失，由卖方承担。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pPr>
        <w:keepNext w:val="0"/>
        <w:keepLines w:val="0"/>
        <w:pageBreakBefore w:val="0"/>
        <w:kinsoku/>
        <w:wordWrap/>
        <w:overflowPunct/>
        <w:topLinePunct w:val="0"/>
        <w:bidi w:val="0"/>
        <w:spacing w:before="145" w:beforeLines="50" w:after="145"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kern w:val="2"/>
          <w:sz w:val="24"/>
          <w:szCs w:val="24"/>
          <w:lang w:val="en-US" w:eastAsia="zh-CN"/>
        </w:rPr>
        <w:t>xxx</w:t>
      </w:r>
      <w:r>
        <w:rPr>
          <w:rFonts w:hint="eastAsia" w:ascii="宋体" w:hAnsi="宋体" w:eastAsia="宋体" w:cs="宋体"/>
          <w:color w:val="auto"/>
          <w:kern w:val="2"/>
          <w:sz w:val="24"/>
          <w:szCs w:val="24"/>
          <w:lang w:val="en-US"/>
        </w:rPr>
        <w:t>，联系电话：</w:t>
      </w:r>
      <w:r>
        <w:rPr>
          <w:rFonts w:hint="eastAsia" w:ascii="宋体" w:hAnsi="宋体" w:eastAsia="宋体" w:cs="宋体"/>
          <w:color w:val="auto"/>
          <w:kern w:val="2"/>
          <w:sz w:val="24"/>
          <w:szCs w:val="24"/>
          <w:lang w:val="en-US" w:eastAsia="zh-CN"/>
        </w:rPr>
        <w:t>xxxx</w:t>
      </w:r>
      <w:r>
        <w:rPr>
          <w:rFonts w:hint="eastAsia" w:ascii="宋体" w:hAnsi="宋体" w:eastAsia="宋体" w:cs="宋体"/>
          <w:color w:val="auto"/>
          <w:kern w:val="2"/>
          <w:sz w:val="24"/>
          <w:szCs w:val="24"/>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：xxxx，</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kern w:val="2"/>
          <w:sz w:val="24"/>
          <w:szCs w:val="24"/>
          <w:highlight w:val="none"/>
          <w:lang w:val="en-US" w:eastAsia="zh-CN"/>
        </w:rPr>
        <w:t>xxxx</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tbl>
      <w:tblPr>
        <w:tblStyle w:val="9"/>
        <w:tblpPr w:leftFromText="180" w:rightFromText="180" w:vertAnchor="text" w:horzAnchor="page" w:tblpX="1029" w:tblpY="302"/>
        <w:tblOverlap w:val="never"/>
        <w:tblW w:w="96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7"/>
        <w:gridCol w:w="4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1" w:hRule="atLeast"/>
        </w:trPr>
        <w:tc>
          <w:tcPr>
            <w:tcW w:w="49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田林百矿田田碳素有限公司</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pPr>
              <w:pStyle w:val="2"/>
              <w:keepNext w:val="0"/>
              <w:keepLines w:val="0"/>
              <w:pageBreakBefore w:val="0"/>
              <w:kinsoku/>
              <w:wordWrap/>
              <w:overflowPunct/>
              <w:topLinePunct w:val="0"/>
              <w:bidi w:val="0"/>
              <w:spacing w:line="360" w:lineRule="auto"/>
              <w:rPr>
                <w:rFonts w:hint="eastAsia"/>
                <w:lang w:val="en-US"/>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pPr>
              <w:pStyle w:val="12"/>
              <w:keepNext w:val="0"/>
              <w:keepLines w:val="0"/>
              <w:pageBreakBefore w:val="0"/>
              <w:kinsoku/>
              <w:wordWrap/>
              <w:overflowPunct/>
              <w:topLinePunct w:val="0"/>
              <w:bidi w:val="0"/>
              <w:spacing w:line="360" w:lineRule="auto"/>
              <w:rPr>
                <w:rFonts w:hint="eastAsia"/>
              </w:rPr>
            </w:pP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bCs/>
                <w:color w:val="auto"/>
                <w:sz w:val="24"/>
                <w:szCs w:val="24"/>
              </w:rPr>
              <w:t>0776-7310600</w:t>
            </w: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sz w:val="24"/>
              </w:rPr>
              <w:t>广西北部湾银行</w:t>
            </w:r>
            <w:r>
              <w:rPr>
                <w:rFonts w:hint="eastAsia" w:ascii="宋体" w:hAnsi="宋体" w:eastAsia="宋体" w:cs="宋体"/>
                <w:sz w:val="24"/>
                <w:lang w:val="en-US" w:eastAsia="zh-CN"/>
              </w:rPr>
              <w:t>股份有限公司田林分行</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r>
              <w:rPr>
                <w:rFonts w:hint="eastAsia" w:ascii="宋体" w:hAnsi="宋体" w:eastAsia="宋体" w:cs="宋体"/>
                <w:sz w:val="24"/>
              </w:rPr>
              <w:t>80011</w:t>
            </w:r>
            <w:r>
              <w:rPr>
                <w:rFonts w:hint="eastAsia" w:ascii="宋体" w:hAnsi="宋体" w:eastAsia="宋体" w:cs="宋体"/>
                <w:sz w:val="24"/>
                <w:lang w:val="en-US" w:eastAsia="zh-CN"/>
              </w:rPr>
              <w:t>239666666</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税 号：91451029MA5LC22339</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址：田林县旧州镇板坚工业园区内（广西田林百矿铝业有限公司内</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c>
          <w:tcPr>
            <w:tcW w:w="4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pPr>
              <w:pStyle w:val="2"/>
              <w:keepNext w:val="0"/>
              <w:keepLines w:val="0"/>
              <w:pageBreakBefore w:val="0"/>
              <w:kinsoku/>
              <w:wordWrap/>
              <w:overflowPunct/>
              <w:topLinePunct w:val="0"/>
              <w:bidi w:val="0"/>
              <w:spacing w:line="360" w:lineRule="auto"/>
              <w:rPr>
                <w:rFonts w:hint="eastAsia"/>
                <w:lang w:eastAsia="zh-CN"/>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法定代表人或授权代表人：</w:t>
            </w:r>
          </w:p>
          <w:p>
            <w:pPr>
              <w:pStyle w:val="12"/>
              <w:keepNext w:val="0"/>
              <w:keepLines w:val="0"/>
              <w:pageBreakBefore w:val="0"/>
              <w:kinsoku/>
              <w:wordWrap/>
              <w:overflowPunct/>
              <w:topLinePunct w:val="0"/>
              <w:bidi w:val="0"/>
              <w:spacing w:line="360" w:lineRule="auto"/>
              <w:rPr>
                <w:rFonts w:hint="eastAsia" w:ascii="宋体" w:hAnsi="宋体" w:eastAsia="宋体" w:cs="宋体"/>
                <w:bCs/>
                <w:color w:val="auto"/>
                <w:sz w:val="24"/>
                <w:szCs w:val="24"/>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电话：</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ind w:left="960" w:hanging="960" w:hangingChars="4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开户行：</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税 号：</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 xml:space="preserve">地 址：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r>
    </w:tbl>
    <w:p>
      <w:pPr>
        <w:pStyle w:val="2"/>
        <w:keepNext w:val="0"/>
        <w:keepLines w:val="0"/>
        <w:pageBreakBefore w:val="0"/>
        <w:kinsoku/>
        <w:wordWrap/>
        <w:overflowPunct/>
        <w:topLinePunct w:val="0"/>
        <w:bidi w:val="0"/>
        <w:spacing w:line="360" w:lineRule="auto"/>
        <w:rPr>
          <w:rFonts w:hint="eastAsia" w:ascii="宋体" w:hAnsi="宋体" w:eastAsia="宋体" w:cs="宋体"/>
          <w:b/>
          <w:bCs w:val="0"/>
          <w:color w:val="auto"/>
          <w:kern w:val="2"/>
          <w:sz w:val="24"/>
          <w:szCs w:val="24"/>
          <w:lang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none"/>
        </w:rPr>
        <w:t xml:space="preserve">                </w:t>
      </w:r>
    </w:p>
    <w:p>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Arial"/>
          <w:kern w:val="2"/>
          <w:sz w:val="24"/>
          <w:szCs w:val="24"/>
          <w:u w:val="single"/>
          <w:lang w:val="en-US" w:eastAsia="zh-CN"/>
        </w:rPr>
        <w:t>xxxx</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i w:val="0"/>
          <w:iCs w:val="0"/>
          <w:color w:val="auto"/>
          <w:spacing w:val="0"/>
          <w:sz w:val="32"/>
          <w:szCs w:val="32"/>
          <w:u w:val="none"/>
          <w:shd w:val="clear"/>
          <w:lang w:val="en-US" w:eastAsia="zh-CN"/>
        </w:rPr>
        <w:t xml:space="preserve">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rPr>
      </w:pP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rPr>
      </w:pP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2"/>
        <w:keepNext w:val="0"/>
        <w:keepLines w:val="0"/>
        <w:pageBreakBefore w:val="0"/>
        <w:kinsoku/>
        <w:wordWrap/>
        <w:overflowPunct/>
        <w:topLinePunct w:val="0"/>
        <w:bidi w:val="0"/>
        <w:spacing w:beforeAutospacing="0" w:afterAutospacing="0"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2"/>
        <w:keepNext w:val="0"/>
        <w:keepLines w:val="0"/>
        <w:pageBreakBefore w:val="0"/>
        <w:kinsoku/>
        <w:wordWrap/>
        <w:overflowPunct/>
        <w:topLinePunct w:val="0"/>
        <w:bidi w:val="0"/>
        <w:spacing w:beforeAutospacing="0" w:afterAutospacing="0" w:line="360" w:lineRule="auto"/>
        <w:rPr>
          <w:rFonts w:hint="eastAsia" w:ascii="宋体" w:hAnsi="宋体" w:eastAsia="宋体" w:cs="宋体"/>
          <w:b/>
          <w:bCs/>
          <w:color w:val="auto"/>
          <w:kern w:val="2"/>
          <w:sz w:val="32"/>
          <w:szCs w:val="32"/>
          <w:lang w:val="en-US" w:eastAsia="zh-CN" w:bidi="ar-SA"/>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pPr>
        <w:pStyle w:val="12"/>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pPr>
        <w:pStyle w:val="2"/>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pPr>
        <w:pStyle w:val="14"/>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必要时，需方可依据订货单（或合同）约定，进入供方现场对拟交货的产品进行供货前的检查。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室进行复检（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每批到货的沥青都应附有质量证明书。证明书内容包括：①供方名称；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产品批号、产品等级、净重、⑤分析检验结果及供方技术(质量)监督部门印记。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本产品应装入洁净、干燥，无杂质的车箱发给需方，如以液体方式发送，需装入洁净、干燥的槽车或油船中，铅封后发货。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当供方供应的沥青不合格时，如需方同意接收使用的，按以下扣款细则进行扣款，否则进行退货处理。</w:t>
      </w:r>
    </w:p>
    <w:p>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1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不扣减到负数），但若为供方恶意掺杂使假的，通过专题会议评审后，按合同约定进行违约处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p>
      <w:pPr>
        <w:keepNext w:val="0"/>
        <w:keepLines w:val="0"/>
        <w:pageBreakBefore w:val="0"/>
        <w:kinsoku/>
        <w:wordWrap/>
        <w:overflowPunct/>
        <w:topLinePunct w:val="0"/>
        <w:bidi w:val="0"/>
        <w:spacing w:line="360" w:lineRule="auto"/>
        <w:rPr>
          <w:rFonts w:hint="eastAsia" w:ascii="宋体" w:hAnsi="宋体" w:eastAsia="宋体" w:cs="宋体"/>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9" w:line="185" w:lineRule="auto"/>
      <w:ind w:left="6994"/>
    </w:pPr>
    <w:r>
      <mc:AlternateContent>
        <mc:Choice Requires="wps">
          <w:drawing>
            <wp:anchor distT="0" distB="0" distL="114300" distR="114300" simplePos="0" relativeHeight="251661312"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1312;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0288"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pPr>
      <w:spacing w:before="89" w:line="185" w:lineRule="auto"/>
      <w:ind w:left="69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7F805965"/>
    <w:rsid w:val="02462227"/>
    <w:rsid w:val="03C51D6C"/>
    <w:rsid w:val="04E2053E"/>
    <w:rsid w:val="05C75288"/>
    <w:rsid w:val="06B5615A"/>
    <w:rsid w:val="0808765E"/>
    <w:rsid w:val="08817DDB"/>
    <w:rsid w:val="0B414A73"/>
    <w:rsid w:val="0C112E71"/>
    <w:rsid w:val="0C5F1477"/>
    <w:rsid w:val="0D0D49AD"/>
    <w:rsid w:val="0E6C58F9"/>
    <w:rsid w:val="0EA42B31"/>
    <w:rsid w:val="0EDB3719"/>
    <w:rsid w:val="0F0865B9"/>
    <w:rsid w:val="0FAC6C6E"/>
    <w:rsid w:val="10F30C1E"/>
    <w:rsid w:val="11BC2D77"/>
    <w:rsid w:val="121B7DC5"/>
    <w:rsid w:val="19E10EE4"/>
    <w:rsid w:val="1E030FCE"/>
    <w:rsid w:val="1FD7579E"/>
    <w:rsid w:val="209C7A85"/>
    <w:rsid w:val="20B93728"/>
    <w:rsid w:val="213F5933"/>
    <w:rsid w:val="21B03588"/>
    <w:rsid w:val="223B08CF"/>
    <w:rsid w:val="22C00CF5"/>
    <w:rsid w:val="22C92BDB"/>
    <w:rsid w:val="22F84EEE"/>
    <w:rsid w:val="235D0380"/>
    <w:rsid w:val="241E41B4"/>
    <w:rsid w:val="276672A8"/>
    <w:rsid w:val="287936AA"/>
    <w:rsid w:val="29F804D1"/>
    <w:rsid w:val="2DDD65CB"/>
    <w:rsid w:val="308570DA"/>
    <w:rsid w:val="321B1AA4"/>
    <w:rsid w:val="36E763F9"/>
    <w:rsid w:val="37040D59"/>
    <w:rsid w:val="3A8A0E33"/>
    <w:rsid w:val="3B4A33FA"/>
    <w:rsid w:val="3BE96E33"/>
    <w:rsid w:val="3BEE0229"/>
    <w:rsid w:val="409E767E"/>
    <w:rsid w:val="42895E35"/>
    <w:rsid w:val="43B43AC3"/>
    <w:rsid w:val="44F349E6"/>
    <w:rsid w:val="45CD647C"/>
    <w:rsid w:val="470A54D9"/>
    <w:rsid w:val="48D32C81"/>
    <w:rsid w:val="491D053A"/>
    <w:rsid w:val="49A86109"/>
    <w:rsid w:val="4A1669D5"/>
    <w:rsid w:val="4A9158FC"/>
    <w:rsid w:val="4B7562D5"/>
    <w:rsid w:val="4BED1755"/>
    <w:rsid w:val="4C3A1003"/>
    <w:rsid w:val="4F550584"/>
    <w:rsid w:val="503C4A06"/>
    <w:rsid w:val="50975357"/>
    <w:rsid w:val="509B3DBD"/>
    <w:rsid w:val="51750D79"/>
    <w:rsid w:val="53EE7D08"/>
    <w:rsid w:val="580150F3"/>
    <w:rsid w:val="58C148A4"/>
    <w:rsid w:val="5A1335BF"/>
    <w:rsid w:val="5A3906F8"/>
    <w:rsid w:val="5CA70254"/>
    <w:rsid w:val="5DF86C98"/>
    <w:rsid w:val="5E7E11BF"/>
    <w:rsid w:val="5F3214C7"/>
    <w:rsid w:val="5F3D757A"/>
    <w:rsid w:val="5F777601"/>
    <w:rsid w:val="62652744"/>
    <w:rsid w:val="665E3732"/>
    <w:rsid w:val="66AE2ECB"/>
    <w:rsid w:val="66EF0CF3"/>
    <w:rsid w:val="68746AA8"/>
    <w:rsid w:val="68F329C4"/>
    <w:rsid w:val="6A9908DE"/>
    <w:rsid w:val="6AA110C7"/>
    <w:rsid w:val="70351014"/>
    <w:rsid w:val="72042EDE"/>
    <w:rsid w:val="7343262D"/>
    <w:rsid w:val="73AB1CF8"/>
    <w:rsid w:val="740B2A1F"/>
    <w:rsid w:val="75E37197"/>
    <w:rsid w:val="775A6FAF"/>
    <w:rsid w:val="799534B7"/>
    <w:rsid w:val="7BE61D08"/>
    <w:rsid w:val="7EE60311"/>
    <w:rsid w:val="7EEF067E"/>
    <w:rsid w:val="7F805965"/>
    <w:rsid w:val="7FD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样式1"/>
    <w:basedOn w:val="1"/>
    <w:autoRedefine/>
    <w:qFormat/>
    <w:uiPriority w:val="0"/>
    <w:rPr>
      <w:b/>
      <w:color w:val="538135"/>
      <w:sz w:val="2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正文1"/>
    <w:basedOn w:val="1"/>
    <w:autoRedefine/>
    <w:qFormat/>
    <w:uiPriority w:val="0"/>
    <w:pPr>
      <w:adjustRightInd w:val="0"/>
      <w:spacing w:line="360" w:lineRule="atLeast"/>
      <w:jc w:val="left"/>
    </w:pPr>
    <w:rPr>
      <w:rFonts w:ascii="宋体"/>
      <w:kern w:val="0"/>
      <w:sz w:val="24"/>
    </w:r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2024-07-17T07:30:39Z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193BDFBFCDD044508B2988DB810AF6A6_13</vt:lpwstr>
  </property>
  <property fmtid="{D5CDD505-2E9C-101B-9397-08002B2CF9AE}" pid="4" name="EagleCloud">
    <vt:lpwstr>{"watermark_type":"track","current_time":"2024-09-26 09:24","employee_id":"emp_2da96f75-0b45-4af3-bf3a-38609f91b695","agent_id":"8b90a25604da078cff57e1f0b5efbd855c62cafd042b3005f53f34a9c03127ca","process":"","custom_content":"科技租户","total_content":"2024-09-26 09:24-emp_2da96f75-0b45-4af3-bf3a-38609f91b695-8b90a25604da078cff57e1f0b5efbd855c62cafd042b3005f53f34a9c03127ca-{{process}}-科技租户"}</vt:lpwstr>
  </property>
</Properties>
</file>