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0" w:lineRule="exact"/>
        <w:jc w:val="center"/>
        <w:rPr>
          <w:rFonts w:hint="eastAsia" w:ascii="宋体" w:hAnsi="宋体" w:eastAsia="宋体" w:cs="宋体"/>
          <w:b/>
          <w:color w:val="auto"/>
          <w:kern w:val="0"/>
          <w:sz w:val="30"/>
          <w:highlight w:val="none"/>
          <w:lang w:eastAsia="zh-CN"/>
        </w:rPr>
      </w:pPr>
      <w:r>
        <w:rPr>
          <w:rFonts w:hint="eastAsia" w:ascii="宋体" w:hAnsi="宋体" w:eastAsia="宋体" w:cs="宋体"/>
          <w:b/>
          <w:color w:val="auto"/>
          <w:kern w:val="0"/>
          <w:sz w:val="30"/>
          <w:highlight w:val="none"/>
          <w:lang w:val="en-US" w:eastAsia="zh-CN"/>
        </w:rPr>
        <w:t>关于</w:t>
      </w:r>
      <w:r>
        <w:rPr>
          <w:rFonts w:hint="eastAsia" w:ascii="宋体" w:hAnsi="宋体" w:eastAsia="宋体" w:cs="宋体"/>
          <w:b/>
          <w:color w:val="auto"/>
          <w:kern w:val="0"/>
          <w:sz w:val="30"/>
          <w:highlight w:val="none"/>
          <w:lang w:eastAsia="zh-CN"/>
        </w:rPr>
        <w:t>田林百矿田田碳素有限公司</w:t>
      </w:r>
      <w:r>
        <w:rPr>
          <w:rFonts w:hint="eastAsia" w:ascii="宋体" w:hAnsi="宋体" w:eastAsia="宋体" w:cs="宋体"/>
          <w:b/>
          <w:color w:val="auto"/>
          <w:kern w:val="0"/>
          <w:sz w:val="30"/>
          <w:highlight w:val="none"/>
          <w:lang w:val="en-US" w:eastAsia="zh-CN"/>
        </w:rPr>
        <w:t>2024年11月份</w:t>
      </w:r>
      <w:r>
        <w:rPr>
          <w:rFonts w:hint="eastAsia" w:ascii="宋体" w:hAnsi="宋体" w:eastAsia="宋体" w:cs="宋体"/>
          <w:b/>
          <w:color w:val="auto"/>
          <w:kern w:val="0"/>
          <w:sz w:val="30"/>
          <w:highlight w:val="none"/>
          <w:lang w:eastAsia="zh-CN"/>
        </w:rPr>
        <w:t>石油焦采购项目</w:t>
      </w:r>
    </w:p>
    <w:p>
      <w:pPr>
        <w:pStyle w:val="4"/>
        <w:spacing w:before="6"/>
        <w:ind w:left="0"/>
        <w:jc w:val="center"/>
        <w:rPr>
          <w:rFonts w:hint="eastAsia" w:ascii="宋体" w:hAnsi="宋体" w:eastAsia="宋体" w:cs="宋体"/>
          <w:b/>
          <w:color w:val="auto"/>
          <w:kern w:val="0"/>
          <w:sz w:val="30"/>
          <w:highlight w:val="none"/>
          <w:lang w:val="en-US" w:eastAsia="zh-CN"/>
        </w:rPr>
      </w:pPr>
      <w:r>
        <w:rPr>
          <w:rFonts w:hint="eastAsia" w:ascii="宋体" w:hAnsi="宋体" w:eastAsia="宋体" w:cs="宋体"/>
          <w:b/>
          <w:color w:val="auto"/>
          <w:kern w:val="0"/>
          <w:sz w:val="30"/>
          <w:highlight w:val="none"/>
          <w:lang w:val="en-US" w:eastAsia="zh-CN"/>
        </w:rPr>
        <w:t>询价函</w:t>
      </w:r>
    </w:p>
    <w:p>
      <w:pPr>
        <w:keepNext w:val="0"/>
        <w:keepLines w:val="0"/>
        <w:widowControl/>
        <w:suppressLineNumbers w:val="0"/>
        <w:jc w:val="left"/>
        <w:rPr>
          <w:rFonts w:hint="eastAsia" w:ascii="宋体" w:hAnsi="宋体" w:eastAsia="宋体" w:cs="宋体"/>
          <w:b/>
          <w:color w:val="auto"/>
          <w:kern w:val="0"/>
          <w:sz w:val="24"/>
          <w:szCs w:val="24"/>
          <w:highlight w:val="none"/>
          <w:lang w:val="en-US" w:eastAsia="zh-CN"/>
        </w:rPr>
      </w:pPr>
      <w:r>
        <w:rPr>
          <w:rFonts w:hint="eastAsia" w:ascii="宋体" w:hAnsi="宋体" w:eastAsia="宋体" w:cs="宋体"/>
          <w:color w:val="000000"/>
          <w:kern w:val="0"/>
          <w:sz w:val="24"/>
          <w:szCs w:val="24"/>
          <w:lang w:val="en-US" w:eastAsia="zh-CN" w:bidi="ar"/>
        </w:rPr>
        <w:t>经研究，我司决定进行“田林百矿田田碳素有限公司石油焦采购项目”询价，此次报价须知如下：</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Cs/>
          <w:color w:val="auto"/>
          <w:kern w:val="0"/>
          <w:sz w:val="24"/>
          <w:szCs w:val="24"/>
          <w:highlight w:val="none"/>
          <w:lang w:val="en-US" w:eastAsia="zh-CN" w:bidi="ar-SA"/>
        </w:rPr>
      </w:pPr>
      <w:r>
        <w:rPr>
          <w:rFonts w:hint="eastAsia" w:ascii="宋体" w:hAnsi="宋体" w:eastAsia="宋体" w:cs="宋体"/>
          <w:bCs/>
          <w:color w:val="auto"/>
          <w:kern w:val="0"/>
          <w:sz w:val="24"/>
          <w:szCs w:val="24"/>
          <w:highlight w:val="none"/>
          <w:lang w:val="en-US" w:eastAsia="zh-CN" w:bidi="ar-SA"/>
        </w:rPr>
        <w:t>一 、招标内容</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left="0" w:right="0" w:firstLine="0"/>
        <w:jc w:val="left"/>
        <w:outlineLvl w:val="0"/>
        <w:rPr>
          <w:rFonts w:hint="eastAsia" w:ascii="宋体" w:hAnsi="宋体" w:eastAsia="宋体" w:cs="宋体"/>
          <w:b w:val="0"/>
          <w:bCs w:val="0"/>
          <w:color w:val="auto"/>
          <w:kern w:val="0"/>
          <w:sz w:val="24"/>
          <w:szCs w:val="24"/>
          <w:highlight w:val="none"/>
          <w:lang w:eastAsia="zh-CN" w:bidi="ar-SA"/>
        </w:rPr>
      </w:pPr>
      <w:r>
        <w:rPr>
          <w:rFonts w:hint="eastAsia" w:ascii="宋体" w:hAnsi="宋体" w:eastAsia="宋体" w:cs="宋体"/>
          <w:b w:val="0"/>
          <w:bCs w:val="0"/>
          <w:color w:val="auto"/>
          <w:kern w:val="0"/>
          <w:sz w:val="24"/>
          <w:szCs w:val="24"/>
          <w:highlight w:val="none"/>
          <w:lang w:val="en-US" w:eastAsia="zh-CN" w:bidi="ar-SA"/>
        </w:rPr>
        <w:t xml:space="preserve">1.1 </w:t>
      </w:r>
      <w:r>
        <w:rPr>
          <w:rFonts w:hint="eastAsia" w:ascii="宋体" w:hAnsi="宋体" w:eastAsia="宋体" w:cs="宋体"/>
          <w:b w:val="0"/>
          <w:bCs w:val="0"/>
          <w:color w:val="auto"/>
          <w:kern w:val="0"/>
          <w:sz w:val="24"/>
          <w:szCs w:val="24"/>
          <w:highlight w:val="none"/>
          <w:lang w:eastAsia="zh-CN" w:bidi="ar-SA"/>
        </w:rPr>
        <w:t>采购类别：生产辅材类（注：请选择此类别，否则无法报名）</w:t>
      </w:r>
    </w:p>
    <w:p>
      <w:pPr>
        <w:pStyle w:val="2"/>
        <w:pBdr>
          <w:top w:val="none" w:color="auto" w:sz="0" w:space="0"/>
          <w:left w:val="none" w:color="auto" w:sz="0" w:space="0"/>
          <w:bottom w:val="none" w:color="auto" w:sz="0" w:space="0"/>
          <w:right w:val="none" w:color="auto" w:sz="0" w:space="0"/>
        </w:pBdr>
        <w:autoSpaceDE w:val="0"/>
        <w:autoSpaceDN w:val="0"/>
        <w:spacing w:before="0" w:beforeAutospacing="0" w:after="0" w:afterAutospacing="0" w:line="360" w:lineRule="auto"/>
        <w:ind w:right="0"/>
        <w:jc w:val="left"/>
        <w:outlineLvl w:val="0"/>
        <w:rPr>
          <w:rFonts w:hint="eastAsia" w:ascii="宋体" w:hAnsi="宋体" w:eastAsia="宋体" w:cs="宋体"/>
          <w:b w:val="0"/>
          <w:bCs w:val="0"/>
          <w:color w:val="auto"/>
          <w:sz w:val="24"/>
          <w:szCs w:val="24"/>
          <w:highlight w:val="none"/>
          <w:lang w:eastAsia="zh-CN"/>
        </w:rPr>
      </w:pPr>
      <w:bookmarkStart w:id="0" w:name="1.招标条件"/>
      <w:bookmarkEnd w:id="0"/>
      <w:r>
        <w:rPr>
          <w:rFonts w:hint="eastAsia" w:ascii="宋体" w:hAnsi="宋体" w:eastAsia="宋体" w:cs="宋体"/>
          <w:b w:val="0"/>
          <w:bCs w:val="0"/>
          <w:color w:val="auto"/>
          <w:kern w:val="0"/>
          <w:sz w:val="24"/>
          <w:szCs w:val="24"/>
          <w:highlight w:val="none"/>
          <w:lang w:val="en-US" w:eastAsia="zh-CN" w:bidi="ar-SA"/>
        </w:rPr>
        <w:t xml:space="preserve">1.2 </w:t>
      </w:r>
      <w:r>
        <w:rPr>
          <w:rFonts w:hint="eastAsia" w:ascii="宋体" w:hAnsi="宋体" w:eastAsia="宋体" w:cs="宋体"/>
          <w:b w:val="0"/>
          <w:bCs w:val="0"/>
          <w:color w:val="auto"/>
          <w:kern w:val="0"/>
          <w:sz w:val="24"/>
          <w:szCs w:val="24"/>
          <w:highlight w:val="none"/>
          <w:lang w:eastAsia="zh-CN" w:bidi="ar-SA"/>
        </w:rPr>
        <w:t>招标条件</w:t>
      </w:r>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right="108" w:firstLine="480" w:firstLineChars="200"/>
        <w:textAlignment w:val="auto"/>
        <w:rPr>
          <w:rFonts w:hint="eastAsia" w:ascii="宋体" w:hAnsi="宋体" w:eastAsia="宋体" w:cs="宋体"/>
          <w:b w:val="0"/>
          <w:bCs w:val="0"/>
          <w:color w:val="auto"/>
          <w:kern w:val="2"/>
          <w:sz w:val="24"/>
          <w:szCs w:val="24"/>
          <w:highlight w:val="none"/>
          <w:lang w:eastAsia="zh-CN"/>
        </w:rPr>
      </w:pPr>
      <w:r>
        <w:rPr>
          <w:rFonts w:hint="eastAsia" w:ascii="宋体" w:hAnsi="宋体" w:eastAsia="宋体" w:cs="宋体"/>
          <w:b w:val="0"/>
          <w:bCs w:val="0"/>
          <w:color w:val="auto"/>
          <w:kern w:val="2"/>
          <w:sz w:val="24"/>
          <w:szCs w:val="24"/>
          <w:highlight w:val="none"/>
          <w:u w:val="singl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已具备招标采购条件，现邀请贵司参与本项目投标，招标</w:t>
      </w:r>
      <w:r>
        <w:rPr>
          <w:rFonts w:hint="eastAsia" w:ascii="宋体" w:hAnsi="宋体" w:eastAsia="宋体" w:cs="宋体"/>
          <w:b w:val="0"/>
          <w:bCs w:val="0"/>
          <w:color w:val="auto"/>
          <w:kern w:val="2"/>
          <w:sz w:val="24"/>
          <w:szCs w:val="24"/>
          <w:highlight w:val="none"/>
          <w:lang w:val="en-US" w:eastAsia="zh-CN"/>
        </w:rPr>
        <w:t>单位</w:t>
      </w:r>
      <w:r>
        <w:rPr>
          <w:rFonts w:hint="eastAsia" w:ascii="宋体" w:hAnsi="宋体" w:eastAsia="宋体" w:cs="宋体"/>
          <w:b w:val="0"/>
          <w:bCs w:val="0"/>
          <w:color w:val="auto"/>
          <w:kern w:val="2"/>
          <w:sz w:val="24"/>
          <w:szCs w:val="24"/>
          <w:highlight w:val="none"/>
          <w:lang w:eastAsia="zh-CN"/>
        </w:rPr>
        <w:t>为</w:t>
      </w:r>
      <w:r>
        <w:rPr>
          <w:rFonts w:hint="eastAsia" w:ascii="宋体" w:hAnsi="宋体" w:eastAsia="宋体" w:cs="宋体"/>
          <w:b w:val="0"/>
          <w:bCs w:val="0"/>
          <w:color w:val="auto"/>
          <w:kern w:val="2"/>
          <w:sz w:val="24"/>
          <w:szCs w:val="24"/>
          <w:highlight w:val="none"/>
          <w:u w:val="single"/>
          <w:lang w:eastAsia="zh-CN"/>
        </w:rPr>
        <w:t>田林百矿田田碳素有限公司</w:t>
      </w:r>
      <w:r>
        <w:rPr>
          <w:rFonts w:hint="eastAsia" w:ascii="宋体" w:hAnsi="宋体" w:eastAsia="宋体" w:cs="宋体"/>
          <w:b w:val="0"/>
          <w:bCs w:val="0"/>
          <w:color w:val="auto"/>
          <w:kern w:val="2"/>
          <w:sz w:val="24"/>
          <w:szCs w:val="24"/>
          <w:highlight w:val="none"/>
          <w:lang w:eastAsia="zh-CN"/>
        </w:rPr>
        <w:t>。</w:t>
      </w:r>
      <w:bookmarkStart w:id="1" w:name="2.项目概况"/>
      <w:bookmarkEnd w:id="1"/>
    </w:p>
    <w:p>
      <w:pPr>
        <w:pStyle w:val="4"/>
        <w:keepNext w:val="0"/>
        <w:keepLines w:val="0"/>
        <w:pageBreakBefore w:val="0"/>
        <w:widowControl w:val="0"/>
        <w:tabs>
          <w:tab w:val="left" w:pos="3789"/>
          <w:tab w:val="left" w:pos="4101"/>
        </w:tabs>
        <w:kinsoku/>
        <w:wordWrap/>
        <w:overflowPunct/>
        <w:topLinePunct w:val="0"/>
        <w:autoSpaceDE/>
        <w:autoSpaceDN/>
        <w:bidi w:val="0"/>
        <w:adjustRightInd/>
        <w:snapToGrid/>
        <w:spacing w:line="360" w:lineRule="auto"/>
        <w:ind w:left="0" w:leftChars="0" w:right="108" w:firstLine="0" w:firstLineChars="0"/>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1.3 项目概况</w:t>
      </w:r>
    </w:p>
    <w:p>
      <w:pPr>
        <w:widowControl/>
        <w:shd w:val="clear" w:color="auto" w:fill="FFFFFF"/>
        <w:autoSpaceDE/>
        <w:autoSpaceDN/>
        <w:spacing w:line="360" w:lineRule="auto"/>
        <w:ind w:firstLine="480" w:firstLineChars="200"/>
        <w:rPr>
          <w:rFonts w:hint="eastAsia" w:ascii="宋体" w:hAnsi="宋体" w:eastAsia="宋体" w:cs="宋体"/>
          <w:b w:val="0"/>
          <w:bCs w:val="0"/>
          <w:color w:val="auto"/>
          <w:sz w:val="24"/>
          <w:szCs w:val="24"/>
          <w:highlight w:val="none"/>
          <w:lang w:eastAsia="zh-CN"/>
        </w:rPr>
      </w:pPr>
      <w:bookmarkStart w:id="2" w:name="广西百矿铝业有限公司（以下简称：田阳铝厂）位于广西田阳县头塘镇新山村铝工业示范园"/>
      <w:bookmarkEnd w:id="2"/>
      <w:bookmarkStart w:id="3" w:name="3.采购范围"/>
      <w:bookmarkEnd w:id="3"/>
      <w:r>
        <w:rPr>
          <w:rFonts w:hint="eastAsia" w:ascii="宋体" w:hAnsi="宋体" w:eastAsia="宋体" w:cs="宋体"/>
          <w:b w:val="0"/>
          <w:bCs w:val="0"/>
          <w:color w:val="auto"/>
          <w:kern w:val="2"/>
          <w:sz w:val="24"/>
          <w:szCs w:val="24"/>
          <w:highlight w:val="none"/>
          <w:lang w:eastAsia="zh-CN"/>
        </w:rPr>
        <w:t>田林百矿田田碳素有限公司400kt/a预焙阳极碳素项目位于广西田林县旧州镇板坚村桂黔（田林）经济合作产业园区，年产400kt/a预焙阳极。项目配置2台40室预焙阳极极碳块焙烧炉，现就</w:t>
      </w:r>
      <w:r>
        <w:rPr>
          <w:rFonts w:hint="eastAsia" w:ascii="宋体" w:hAnsi="宋体" w:eastAsia="宋体" w:cs="宋体"/>
          <w:b w:val="0"/>
          <w:bCs w:val="0"/>
          <w:color w:val="auto"/>
          <w:kern w:val="2"/>
          <w:sz w:val="24"/>
          <w:szCs w:val="24"/>
          <w:highlight w:val="none"/>
          <w:u w:val="none"/>
          <w:lang w:eastAsia="zh-CN"/>
        </w:rPr>
        <w:t>田林百矿田田碳素有限公司石油焦采购项目</w:t>
      </w:r>
      <w:r>
        <w:rPr>
          <w:rFonts w:hint="eastAsia" w:ascii="宋体" w:hAnsi="宋体" w:eastAsia="宋体" w:cs="宋体"/>
          <w:b w:val="0"/>
          <w:bCs w:val="0"/>
          <w:color w:val="auto"/>
          <w:kern w:val="2"/>
          <w:sz w:val="24"/>
          <w:szCs w:val="24"/>
          <w:highlight w:val="none"/>
          <w:lang w:eastAsia="zh-CN"/>
        </w:rPr>
        <w:t>进行招标，欢迎</w:t>
      </w:r>
      <w:r>
        <w:rPr>
          <w:rFonts w:hint="eastAsia" w:ascii="宋体" w:hAnsi="宋体" w:eastAsia="宋体" w:cs="宋体"/>
          <w:b w:val="0"/>
          <w:bCs w:val="0"/>
          <w:color w:val="auto"/>
          <w:kern w:val="2"/>
          <w:sz w:val="24"/>
          <w:szCs w:val="24"/>
          <w:highlight w:val="none"/>
          <w:lang w:val="en-US" w:eastAsia="zh-CN"/>
        </w:rPr>
        <w:t>资质合格、</w:t>
      </w:r>
      <w:r>
        <w:rPr>
          <w:rFonts w:hint="eastAsia" w:ascii="宋体" w:hAnsi="宋体" w:eastAsia="宋体" w:cs="宋体"/>
          <w:b w:val="0"/>
          <w:bCs w:val="0"/>
          <w:color w:val="auto"/>
          <w:kern w:val="2"/>
          <w:sz w:val="24"/>
          <w:szCs w:val="24"/>
          <w:highlight w:val="none"/>
          <w:lang w:eastAsia="zh-CN"/>
        </w:rPr>
        <w:t>有实力的公司参与此次招标活动。</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val="en-US" w:eastAsia="zh-CN"/>
        </w:rPr>
        <w:t xml:space="preserve">1.4 </w:t>
      </w:r>
      <w:r>
        <w:rPr>
          <w:rFonts w:hint="eastAsia" w:ascii="宋体" w:hAnsi="宋体" w:eastAsia="宋体" w:cs="宋体"/>
          <w:b w:val="0"/>
          <w:bCs w:val="0"/>
          <w:color w:val="auto"/>
          <w:sz w:val="24"/>
          <w:szCs w:val="24"/>
          <w:highlight w:val="none"/>
        </w:rPr>
        <w:t>采购</w:t>
      </w:r>
      <w:r>
        <w:rPr>
          <w:rFonts w:hint="eastAsia" w:ascii="宋体" w:hAnsi="宋体" w:eastAsia="宋体" w:cs="宋体"/>
          <w:b w:val="0"/>
          <w:bCs w:val="0"/>
          <w:color w:val="auto"/>
          <w:sz w:val="24"/>
          <w:szCs w:val="24"/>
          <w:highlight w:val="none"/>
          <w:lang w:val="en-US" w:eastAsia="zh-CN"/>
        </w:rPr>
        <w:t>标段</w:t>
      </w:r>
      <w:r>
        <w:rPr>
          <w:rFonts w:hint="eastAsia" w:ascii="宋体" w:hAnsi="宋体" w:eastAsia="宋体" w:cs="宋体"/>
          <w:b w:val="0"/>
          <w:bCs w:val="0"/>
          <w:color w:val="auto"/>
          <w:sz w:val="24"/>
          <w:szCs w:val="24"/>
          <w:highlight w:val="none"/>
          <w:lang w:eastAsia="zh-CN"/>
        </w:rPr>
        <w:t>：石油焦招标采购标段及数量：</w:t>
      </w:r>
    </w:p>
    <w:tbl>
      <w:tblPr>
        <w:tblStyle w:val="12"/>
        <w:tblW w:w="9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256"/>
        <w:gridCol w:w="1484"/>
        <w:gridCol w:w="1525"/>
        <w:gridCol w:w="2029"/>
        <w:gridCol w:w="2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序号</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名称</w:t>
            </w:r>
          </w:p>
        </w:tc>
        <w:tc>
          <w:tcPr>
            <w:tcW w:w="1525"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硫含量%(S)</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供货周期</w:t>
            </w:r>
          </w:p>
        </w:tc>
        <w:tc>
          <w:tcPr>
            <w:tcW w:w="2228"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预估总量（万吨）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5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w:t>
            </w:r>
          </w:p>
        </w:tc>
        <w:tc>
          <w:tcPr>
            <w:tcW w:w="1256"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标段一</w:t>
            </w:r>
          </w:p>
        </w:tc>
        <w:tc>
          <w:tcPr>
            <w:tcW w:w="1484" w:type="dxa"/>
            <w:vAlign w:val="top"/>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石油焦</w:t>
            </w:r>
          </w:p>
        </w:tc>
        <w:tc>
          <w:tcPr>
            <w:tcW w:w="1525" w:type="dxa"/>
            <w:vAlign w:val="top"/>
          </w:tcPr>
          <w:p>
            <w:pPr>
              <w:pStyle w:val="20"/>
              <w:spacing w:line="360" w:lineRule="auto"/>
              <w:jc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color w:val="auto"/>
                <w:sz w:val="24"/>
                <w:szCs w:val="24"/>
                <w:highlight w:val="none"/>
                <w:lang w:val="en-US" w:eastAsia="zh-CN"/>
              </w:rPr>
              <w:t>s≤4</w:t>
            </w:r>
          </w:p>
        </w:tc>
        <w:tc>
          <w:tcPr>
            <w:tcW w:w="2029" w:type="dxa"/>
          </w:tcPr>
          <w:p>
            <w:pPr>
              <w:pStyle w:val="2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2024年</w:t>
            </w:r>
            <w:r>
              <w:rPr>
                <w:rFonts w:hint="eastAsia" w:hAnsi="宋体" w:eastAsia="宋体" w:cs="宋体"/>
                <w:b w:val="0"/>
                <w:bCs w:val="0"/>
                <w:color w:val="auto"/>
                <w:sz w:val="24"/>
                <w:szCs w:val="24"/>
                <w:highlight w:val="none"/>
                <w:lang w:val="en-US" w:eastAsia="zh-CN"/>
              </w:rPr>
              <w:t>12</w:t>
            </w:r>
            <w:r>
              <w:rPr>
                <w:rFonts w:hint="eastAsia" w:ascii="宋体" w:hAnsi="宋体" w:eastAsia="宋体" w:cs="宋体"/>
                <w:b w:val="0"/>
                <w:bCs w:val="0"/>
                <w:color w:val="auto"/>
                <w:sz w:val="24"/>
                <w:szCs w:val="24"/>
                <w:highlight w:val="none"/>
                <w:lang w:val="en-US" w:eastAsia="zh-CN"/>
              </w:rPr>
              <w:t>月</w:t>
            </w:r>
          </w:p>
        </w:tc>
        <w:tc>
          <w:tcPr>
            <w:tcW w:w="2228" w:type="dxa"/>
          </w:tcPr>
          <w:p>
            <w:pPr>
              <w:pStyle w:val="20"/>
              <w:spacing w:line="360" w:lineRule="auto"/>
              <w:jc w:val="center"/>
              <w:rPr>
                <w:rFonts w:hint="default" w:ascii="宋体" w:hAnsi="宋体" w:eastAsia="宋体" w:cs="宋体"/>
                <w:b w:val="0"/>
                <w:bCs w:val="0"/>
                <w:color w:val="auto"/>
                <w:sz w:val="24"/>
                <w:szCs w:val="24"/>
                <w:highlight w:val="none"/>
                <w:lang w:val="en-US" w:eastAsia="zh-CN"/>
              </w:rPr>
            </w:pPr>
            <w:r>
              <w:rPr>
                <w:rFonts w:hint="eastAsia" w:hAnsi="宋体" w:eastAsia="宋体" w:cs="宋体"/>
                <w:b w:val="0"/>
                <w:bCs w:val="0"/>
                <w:color w:val="auto"/>
                <w:sz w:val="24"/>
                <w:szCs w:val="24"/>
                <w:highlight w:val="no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9281" w:type="dxa"/>
            <w:gridSpan w:val="6"/>
          </w:tcPr>
          <w:p>
            <w:pPr>
              <w:keepNext w:val="0"/>
              <w:keepLines w:val="0"/>
              <w:widowControl/>
              <w:suppressLineNumbers w:val="0"/>
              <w:spacing w:line="360" w:lineRule="auto"/>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val="0"/>
          <w:bCs w:val="0"/>
          <w:color w:val="auto"/>
          <w:kern w:val="0"/>
          <w:sz w:val="24"/>
          <w:szCs w:val="24"/>
          <w:highlight w:val="none"/>
          <w:vertAlign w:val="baseline"/>
          <w:lang w:val="en-US" w:eastAsia="zh-CN" w:bidi="ar-SA"/>
        </w:rPr>
      </w:pPr>
      <w:r>
        <w:rPr>
          <w:rFonts w:hint="eastAsia" w:ascii="宋体" w:hAnsi="宋体" w:eastAsia="宋体" w:cs="宋体"/>
          <w:b w:val="0"/>
          <w:bCs w:val="0"/>
          <w:color w:val="auto"/>
          <w:kern w:val="0"/>
          <w:sz w:val="24"/>
          <w:szCs w:val="24"/>
          <w:highlight w:val="none"/>
          <w:vertAlign w:val="baseline"/>
          <w:lang w:val="en-US" w:eastAsia="zh-CN" w:bidi="ar-SA"/>
        </w:rPr>
        <w:t>注：本次石油焦招标实际采购量依据最终价定，投标人根据自身现有供货量及指标情况进行投标。</w:t>
      </w:r>
    </w:p>
    <w:p>
      <w:pPr>
        <w:pStyle w:val="2"/>
        <w:numPr>
          <w:ilvl w:val="0"/>
          <w:numId w:val="0"/>
        </w:numPr>
        <w:tabs>
          <w:tab w:val="left" w:pos="716"/>
        </w:tabs>
        <w:spacing w:before="67" w:line="360" w:lineRule="auto"/>
        <w:ind w:leftChars="0" w:right="0" w:rightChars="0"/>
        <w:outlineLvl w:val="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1.5技术指标</w:t>
      </w:r>
    </w:p>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leftChars="0" w:right="0" w:rightChars="0" w:firstLine="482" w:firstLineChars="200"/>
        <w:jc w:val="center"/>
        <w:textAlignment w:val="auto"/>
        <w:outlineLvl w:val="0"/>
        <w:rPr>
          <w:rFonts w:hint="eastAsia" w:ascii="宋体" w:hAnsi="宋体" w:eastAsia="宋体" w:cs="宋体"/>
          <w:b/>
          <w:bCs w:val="0"/>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石油焦采购技术指标（</w:t>
      </w:r>
      <w:r>
        <w:rPr>
          <w:rFonts w:hint="eastAsia" w:ascii="宋体" w:hAnsi="宋体" w:eastAsia="宋体" w:cs="宋体"/>
          <w:b/>
          <w:bCs w:val="0"/>
          <w:kern w:val="10"/>
          <w:sz w:val="24"/>
          <w:szCs w:val="24"/>
          <w:lang w:val="en-US" w:eastAsia="zh-CN"/>
        </w:rPr>
        <w:t>NB/SH/T 0527-2019</w:t>
      </w:r>
      <w:r>
        <w:rPr>
          <w:rFonts w:hint="eastAsia" w:ascii="宋体" w:hAnsi="宋体" w:eastAsia="宋体" w:cs="宋体"/>
          <w:b/>
          <w:bCs w:val="0"/>
          <w:color w:val="auto"/>
          <w:sz w:val="24"/>
          <w:szCs w:val="24"/>
          <w:highlight w:val="none"/>
          <w:lang w:val="en-US" w:eastAsia="zh-CN"/>
        </w:rPr>
        <w:t>）</w:t>
      </w:r>
    </w:p>
    <w:tbl>
      <w:tblPr>
        <w:tblStyle w:val="12"/>
        <w:tblW w:w="101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992"/>
        <w:gridCol w:w="1062"/>
        <w:gridCol w:w="934"/>
        <w:gridCol w:w="1362"/>
        <w:gridCol w:w="819"/>
        <w:gridCol w:w="1004"/>
        <w:gridCol w:w="946"/>
        <w:gridCol w:w="819"/>
        <w:gridCol w:w="866"/>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46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eastAsia="zh-CN"/>
              </w:rPr>
            </w:pPr>
            <w:r>
              <w:rPr>
                <w:rFonts w:hint="eastAsia" w:ascii="宋体" w:hAnsi="宋体" w:eastAsia="宋体" w:cs="宋体"/>
                <w:b w:val="0"/>
                <w:bCs w:val="0"/>
                <w:color w:val="auto"/>
                <w:sz w:val="22"/>
                <w:szCs w:val="22"/>
                <w:highlight w:val="none"/>
                <w:vertAlign w:val="baseline"/>
                <w:lang w:eastAsia="zh-CN"/>
              </w:rPr>
              <w:t>序号</w:t>
            </w:r>
          </w:p>
        </w:tc>
        <w:tc>
          <w:tcPr>
            <w:tcW w:w="99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名称</w:t>
            </w:r>
          </w:p>
        </w:tc>
        <w:tc>
          <w:tcPr>
            <w:tcW w:w="10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硫含量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%(S)</w:t>
            </w:r>
          </w:p>
        </w:tc>
        <w:tc>
          <w:tcPr>
            <w:tcW w:w="93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挥发分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%(V)</w:t>
            </w:r>
          </w:p>
        </w:tc>
        <w:tc>
          <w:tcPr>
            <w:tcW w:w="1362"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钒含量</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ppm</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灰分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rPr>
              <w:t>%</w:t>
            </w:r>
          </w:p>
        </w:tc>
        <w:tc>
          <w:tcPr>
            <w:tcW w:w="1004"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粉焦量</w:t>
            </w:r>
            <w:r>
              <w:rPr>
                <w:rFonts w:hint="eastAsia" w:ascii="宋体" w:hAnsi="宋体" w:eastAsia="宋体" w:cs="宋体"/>
                <w:b w:val="0"/>
                <w:bCs w:val="0"/>
                <w:i w:val="0"/>
                <w:iCs w:val="0"/>
                <w:color w:val="auto"/>
                <w:kern w:val="0"/>
                <w:sz w:val="22"/>
                <w:szCs w:val="22"/>
                <w:highlight w:val="none"/>
                <w:u w:val="none"/>
                <w:lang w:val="en-US" w:eastAsia="zh-CN" w:bidi="ar"/>
              </w:rPr>
              <w:t>（&lt;8mm）</w:t>
            </w:r>
            <w:r>
              <w:rPr>
                <w:rFonts w:hint="eastAsia" w:ascii="宋体" w:hAnsi="宋体" w:eastAsia="宋体" w:cs="宋体"/>
                <w:b w:val="0"/>
                <w:bCs w:val="0"/>
                <w:color w:val="auto"/>
                <w:sz w:val="22"/>
                <w:szCs w:val="22"/>
                <w:highlight w:val="none"/>
                <w:lang w:val="en-US" w:eastAsia="zh-CN"/>
              </w:rPr>
              <w:t>%</w:t>
            </w:r>
          </w:p>
        </w:tc>
        <w:tc>
          <w:tcPr>
            <w:tcW w:w="94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lang w:val="en-US" w:eastAsia="zh-CN"/>
              </w:rPr>
              <w:t>水分</w:t>
            </w:r>
          </w:p>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rPr>
              <w:t>%</w:t>
            </w:r>
          </w:p>
        </w:tc>
        <w:tc>
          <w:tcPr>
            <w:tcW w:w="81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铁含量ppm</w:t>
            </w:r>
          </w:p>
        </w:tc>
        <w:tc>
          <w:tcPr>
            <w:tcW w:w="866"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硅含量ppm</w:t>
            </w:r>
          </w:p>
        </w:tc>
        <w:tc>
          <w:tcPr>
            <w:tcW w:w="849" w:type="dxa"/>
            <w:vAlign w:val="top"/>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kern w:val="10"/>
                <w:sz w:val="22"/>
                <w:szCs w:val="22"/>
                <w:highlight w:val="none"/>
                <w:lang w:val="en-US" w:eastAsia="zh-CN"/>
              </w:rPr>
              <w:t>钠含量ppm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69" w:type="dxa"/>
            <w:vAlign w:val="center"/>
          </w:tcPr>
          <w:p>
            <w:pPr>
              <w:pStyle w:val="18"/>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eastAsia="zh-CN"/>
              </w:rPr>
            </w:pPr>
            <w:r>
              <w:rPr>
                <w:rFonts w:hint="eastAsia" w:ascii="宋体" w:hAnsi="宋体" w:eastAsia="宋体" w:cs="宋体"/>
                <w:b w:val="0"/>
                <w:bCs w:val="0"/>
                <w:color w:val="auto"/>
                <w:sz w:val="22"/>
                <w:szCs w:val="22"/>
                <w:highlight w:val="none"/>
                <w:vertAlign w:val="baseline"/>
                <w:lang w:val="en-US" w:eastAsia="zh-CN"/>
              </w:rPr>
              <w:t>1</w:t>
            </w:r>
          </w:p>
        </w:tc>
        <w:tc>
          <w:tcPr>
            <w:tcW w:w="99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石油焦</w:t>
            </w:r>
          </w:p>
        </w:tc>
        <w:tc>
          <w:tcPr>
            <w:tcW w:w="1062" w:type="dxa"/>
            <w:vAlign w:val="center"/>
          </w:tcPr>
          <w:p>
            <w:pPr>
              <w:keepNext w:val="0"/>
              <w:keepLines w:val="0"/>
              <w:pageBreakBefore w:val="0"/>
              <w:widowControl w:val="0"/>
              <w:numPr>
                <w:ilvl w:val="0"/>
                <w:numId w:val="0"/>
              </w:numPr>
              <w:tabs>
                <w:tab w:val="left" w:pos="584"/>
              </w:tabs>
              <w:kinsoku/>
              <w:wordWrap/>
              <w:overflowPunct/>
              <w:topLinePunct w:val="0"/>
              <w:autoSpaceDE w:val="0"/>
              <w:autoSpaceDN w:val="0"/>
              <w:bidi w:val="0"/>
              <w:adjustRightInd w:val="0"/>
              <w:spacing w:line="360" w:lineRule="auto"/>
              <w:jc w:val="center"/>
              <w:rPr>
                <w:rFonts w:hint="eastAsia" w:ascii="宋体" w:hAnsi="宋体" w:eastAsia="宋体" w:cs="宋体"/>
                <w:b/>
                <w:bCs/>
                <w:color w:val="auto"/>
                <w:kern w:val="10"/>
                <w:sz w:val="22"/>
                <w:szCs w:val="22"/>
                <w:highlight w:val="none"/>
                <w:lang w:val="en-US" w:eastAsia="zh-CN" w:bidi="ar-SA"/>
              </w:rPr>
            </w:pPr>
            <w:r>
              <w:rPr>
                <w:rFonts w:hint="eastAsia" w:ascii="宋体" w:hAnsi="宋体" w:eastAsia="宋体" w:cs="宋体"/>
                <w:color w:val="auto"/>
                <w:sz w:val="22"/>
                <w:szCs w:val="22"/>
                <w:highlight w:val="none"/>
                <w:lang w:val="en-US" w:eastAsia="zh-CN"/>
              </w:rPr>
              <w:t>s≤4</w:t>
            </w:r>
          </w:p>
        </w:tc>
        <w:tc>
          <w:tcPr>
            <w:tcW w:w="93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kern w:val="10"/>
                <w:sz w:val="22"/>
                <w:szCs w:val="22"/>
                <w:lang w:val="en-US" w:eastAsia="zh-CN"/>
              </w:rPr>
              <w:t>≤10</w:t>
            </w:r>
          </w:p>
        </w:tc>
        <w:tc>
          <w:tcPr>
            <w:tcW w:w="1362"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ind w:left="0" w:leftChars="0" w:firstLine="0" w:firstLineChars="0"/>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≤600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≤0.5</w:t>
            </w:r>
          </w:p>
        </w:tc>
        <w:tc>
          <w:tcPr>
            <w:tcW w:w="1004"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lang w:val="en-US"/>
              </w:rPr>
            </w:pPr>
            <w:r>
              <w:rPr>
                <w:rFonts w:hint="eastAsia" w:ascii="宋体" w:hAnsi="宋体" w:eastAsia="宋体" w:cs="宋体"/>
                <w:b w:val="0"/>
                <w:bCs w:val="0"/>
                <w:color w:val="auto"/>
                <w:sz w:val="22"/>
                <w:szCs w:val="22"/>
                <w:highlight w:val="none"/>
                <w:lang w:val="en-US" w:eastAsia="zh-CN" w:bidi="ar-SA"/>
              </w:rPr>
              <w:t>≤55</w:t>
            </w:r>
          </w:p>
        </w:tc>
        <w:tc>
          <w:tcPr>
            <w:tcW w:w="94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vertAlign w:val="baseline"/>
              </w:rPr>
            </w:pPr>
            <w:r>
              <w:rPr>
                <w:rFonts w:hint="eastAsia" w:ascii="宋体" w:hAnsi="宋体" w:eastAsia="宋体" w:cs="宋体"/>
                <w:b w:val="0"/>
                <w:bCs w:val="0"/>
                <w:color w:val="auto"/>
                <w:sz w:val="22"/>
                <w:szCs w:val="22"/>
                <w:highlight w:val="none"/>
                <w:lang w:val="en-US" w:eastAsia="zh-CN" w:bidi="ar-SA"/>
              </w:rPr>
              <w:t>≤8.0</w:t>
            </w:r>
          </w:p>
        </w:tc>
        <w:tc>
          <w:tcPr>
            <w:tcW w:w="81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≤400</w:t>
            </w:r>
          </w:p>
        </w:tc>
        <w:tc>
          <w:tcPr>
            <w:tcW w:w="866"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c>
          <w:tcPr>
            <w:tcW w:w="849" w:type="dxa"/>
            <w:vAlign w:val="center"/>
          </w:tcPr>
          <w:p>
            <w:pPr>
              <w:keepNext w:val="0"/>
              <w:keepLines w:val="0"/>
              <w:pageBreakBefore w:val="0"/>
              <w:widowControl w:val="0"/>
              <w:numPr>
                <w:ilvl w:val="0"/>
                <w:numId w:val="0"/>
              </w:numPr>
              <w:kinsoku/>
              <w:wordWrap/>
              <w:overflowPunct/>
              <w:topLinePunct w:val="0"/>
              <w:autoSpaceDE w:val="0"/>
              <w:autoSpaceDN w:val="0"/>
              <w:bidi w:val="0"/>
              <w:adjustRightInd w:val="0"/>
              <w:spacing w:line="360" w:lineRule="auto"/>
              <w:jc w:val="center"/>
              <w:rPr>
                <w:rFonts w:hint="eastAsia" w:ascii="宋体" w:hAnsi="宋体" w:eastAsia="宋体" w:cs="宋体"/>
                <w:b w:val="0"/>
                <w:bCs w:val="0"/>
                <w:color w:val="auto"/>
                <w:sz w:val="22"/>
                <w:szCs w:val="22"/>
                <w:highlight w:val="none"/>
                <w:lang w:val="en-US" w:eastAsia="zh-CN" w:bidi="ar-SA"/>
              </w:rPr>
            </w:pPr>
            <w:r>
              <w:rPr>
                <w:rFonts w:hint="eastAsia" w:ascii="宋体" w:hAnsi="宋体" w:eastAsia="宋体" w:cs="宋体"/>
                <w:b w:val="0"/>
                <w:bCs w:val="0"/>
                <w:color w:val="auto"/>
                <w:sz w:val="22"/>
                <w:szCs w:val="22"/>
                <w:highlight w:val="none"/>
                <w:lang w:val="en-US" w:eastAsia="zh-CN" w:bidi="ar-SA"/>
              </w:rPr>
              <w:t>≤300</w:t>
            </w:r>
          </w:p>
        </w:tc>
      </w:tr>
    </w:tbl>
    <w:p>
      <w:pPr>
        <w:pStyle w:val="2"/>
        <w:keepNext w:val="0"/>
        <w:keepLines w:val="0"/>
        <w:pageBreakBefore w:val="0"/>
        <w:widowControl w:val="0"/>
        <w:numPr>
          <w:ilvl w:val="0"/>
          <w:numId w:val="0"/>
        </w:numPr>
        <w:tabs>
          <w:tab w:val="left" w:pos="716"/>
        </w:tabs>
        <w:kinsoku/>
        <w:wordWrap/>
        <w:overflowPunct/>
        <w:topLinePunct w:val="0"/>
        <w:autoSpaceDE/>
        <w:autoSpaceDN/>
        <w:bidi w:val="0"/>
        <w:adjustRightInd/>
        <w:snapToGrid/>
        <w:spacing w:before="67" w:line="360" w:lineRule="auto"/>
        <w:ind w:right="0" w:rightChars="0"/>
        <w:textAlignment w:val="auto"/>
        <w:outlineLvl w:val="0"/>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val="0"/>
          <w:bCs w:val="0"/>
          <w:color w:val="auto"/>
          <w:kern w:val="0"/>
          <w:sz w:val="24"/>
          <w:szCs w:val="24"/>
          <w:highlight w:val="none"/>
          <w:vertAlign w:val="baseline"/>
          <w:lang w:val="en-US" w:eastAsia="zh-CN" w:bidi="ar-SA"/>
        </w:rPr>
        <w:t>1.5.1本次招标开标后招标人根据配焦模型测算排名结果推选中标人。投标人所填报指标数据在控制指标范围内，价格越低、水分越低、硫值越低、灰分越低，其他微量元素指标越低，在招标人配焦模型测算中的总主辅材料费用越低。招标人根据总主辅材料费用由低到高顺序进行排名定标。</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1.6 标段报价函填报注意事项：</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1.6.1 合同签订后，在合同供货周期和供货总量内，具体供应相应的数量和时间段安排按合同约定执行。</w:t>
      </w:r>
    </w:p>
    <w:p>
      <w:pPr>
        <w:widowControl/>
        <w:shd w:val="clear" w:color="auto" w:fill="FFFFFF"/>
        <w:autoSpaceDE/>
        <w:autoSpaceDN/>
        <w:spacing w:line="360" w:lineRule="auto"/>
        <w:rPr>
          <w:rFonts w:hint="eastAsia" w:ascii="宋体" w:hAnsi="宋体" w:eastAsia="宋体" w:cs="宋体"/>
          <w:b/>
          <w:bCs/>
          <w:color w:val="FF0000"/>
          <w:kern w:val="2"/>
          <w:sz w:val="24"/>
          <w:szCs w:val="24"/>
          <w:highlight w:val="none"/>
          <w:lang w:val="en-US" w:eastAsia="zh-CN"/>
        </w:rPr>
      </w:pPr>
      <w:r>
        <w:rPr>
          <w:rFonts w:hint="eastAsia" w:ascii="宋体" w:hAnsi="宋体" w:eastAsia="宋体" w:cs="宋体"/>
          <w:b/>
          <w:bCs/>
          <w:color w:val="FF0000"/>
          <w:kern w:val="2"/>
          <w:sz w:val="24"/>
          <w:szCs w:val="24"/>
          <w:highlight w:val="none"/>
          <w:lang w:val="en-US" w:eastAsia="zh-CN"/>
        </w:rPr>
        <w:t>1.6.2 标的物来源必需注明产地及品种（如：加拿大石油焦、俄罗斯石油焦），多个来源的标的物需要全部注明。</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1.7 投标人根据自有资源的石油焦、指标和数量自行报价。报价包括完成项目所需的全部成本、管理费、利润、保险、税金、风险费及必要的相关手续办理费等一切费用，该价格为送货到厂落地接收价。</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1.8 特别说明：</w:t>
      </w:r>
      <w:r>
        <w:rPr>
          <w:rFonts w:hint="eastAsia" w:ascii="宋体" w:hAnsi="宋体" w:eastAsia="宋体" w:cs="宋体"/>
          <w:b w:val="0"/>
          <w:bCs w:val="0"/>
          <w:color w:val="auto"/>
          <w:kern w:val="2"/>
          <w:sz w:val="24"/>
          <w:szCs w:val="24"/>
          <w:highlight w:val="none"/>
          <w:lang w:val="en-US" w:eastAsia="zh-CN"/>
        </w:rPr>
        <w:t>本次邀标的石油焦运输工具为火车、船舶、汽车等合法运输设备，确保石油焦按合同约定交货期限完成供货，请贵司充分考虑运输管理风险。</w:t>
      </w:r>
    </w:p>
    <w:p>
      <w:pPr>
        <w:widowControl/>
        <w:shd w:val="clear" w:color="auto" w:fill="FFFFFF"/>
        <w:autoSpaceDE/>
        <w:autoSpaceDN/>
        <w:spacing w:line="360" w:lineRule="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 结算、付款方式</w:t>
      </w:r>
    </w:p>
    <w:p>
      <w:pPr>
        <w:widowControl/>
        <w:shd w:val="clear" w:color="auto" w:fill="FFFFFF"/>
        <w:autoSpaceDE/>
        <w:autoSpaceDN/>
        <w:spacing w:line="360" w:lineRule="auto"/>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1.9.1 结算：</w:t>
      </w:r>
      <w:r>
        <w:rPr>
          <w:rFonts w:hint="eastAsia" w:ascii="宋体" w:hAnsi="宋体" w:eastAsia="宋体" w:cs="宋体"/>
          <w:b w:val="0"/>
          <w:bCs w:val="0"/>
          <w:color w:val="auto"/>
          <w:kern w:val="2"/>
          <w:sz w:val="24"/>
          <w:szCs w:val="24"/>
          <w:highlight w:val="none"/>
          <w:lang w:val="en-US" w:eastAsia="zh-CN"/>
        </w:rPr>
        <w:t>先货后款，单批次结算。卖方按约定时间交货后，买卖双方应于5个工作日内核定该批数量、价格及质量并确认(存在质量异议除外)，以买方化验结果和磅单的实际收货重量作为结算依据办理结算（原材料厂家供货时结算及付款条件可根据实际情形进行协商）。</w:t>
      </w:r>
    </w:p>
    <w:p>
      <w:pPr>
        <w:widowControl/>
        <w:shd w:val="clear" w:color="auto" w:fill="FFFFFF"/>
        <w:autoSpaceDE/>
        <w:autoSpaceDN/>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1.9.2 付款：</w:t>
      </w:r>
      <w:r>
        <w:rPr>
          <w:rFonts w:hint="eastAsia" w:ascii="宋体" w:hAnsi="宋体" w:eastAsia="宋体" w:cs="宋体"/>
          <w:b w:val="0"/>
          <w:bCs w:val="0"/>
          <w:color w:val="auto"/>
          <w:kern w:val="2"/>
          <w:sz w:val="24"/>
          <w:szCs w:val="24"/>
          <w:highlight w:val="none"/>
          <w:lang w:val="en-US" w:eastAsia="zh-CN"/>
        </w:rPr>
        <w:t>卖方按结算金额向买方分别开具13%增值税专用发票，买方在收到发票后30天内支付货款，遇节假日相应顺延。</w:t>
      </w:r>
    </w:p>
    <w:p>
      <w:pPr>
        <w:pStyle w:val="2"/>
        <w:tabs>
          <w:tab w:val="left" w:pos="716"/>
        </w:tabs>
        <w:spacing w:before="67" w:line="360" w:lineRule="auto"/>
        <w:ind w:left="0" w:firstLine="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lang w:eastAsia="zh-CN"/>
        </w:rPr>
        <w:t>投标人资格要求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1. 报盘人须为国内依法注册的法人或者其他组织；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2. 没有处于被责令停业，无财产被接管、冻结及破产状态，没有失信被执行</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记录；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3. 本次报盘不接受联合体报价或分包，一旦发现分包，视为违约，履约保证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金全部扣除；</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4. 近年来有较好业绩且无不良商业行为；</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5 本次招标不接受联合体投标；</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360" w:lineRule="auto"/>
        <w:ind w:left="0" w:right="0" w:firstLine="480" w:firstLineChars="200"/>
        <w:jc w:val="both"/>
        <w:textAlignment w:val="auto"/>
        <w:rPr>
          <w:rFonts w:hint="eastAsia" w:ascii="宋体" w:hAnsi="宋体" w:eastAsia="宋体" w:cs="宋体"/>
          <w:b w:val="0"/>
          <w:bCs w:val="0"/>
          <w:color w:val="auto"/>
          <w:sz w:val="24"/>
          <w:szCs w:val="24"/>
          <w:highlight w:val="none"/>
          <w:lang w:val="en-US" w:eastAsia="zh-CN" w:bidi="ar-SA"/>
        </w:rPr>
      </w:pPr>
      <w:r>
        <w:rPr>
          <w:rFonts w:hint="eastAsia" w:ascii="宋体" w:hAnsi="宋体" w:eastAsia="宋体" w:cs="宋体"/>
          <w:b w:val="0"/>
          <w:bCs w:val="0"/>
          <w:color w:val="auto"/>
          <w:sz w:val="24"/>
          <w:szCs w:val="24"/>
          <w:highlight w:val="none"/>
          <w:lang w:val="en-US" w:eastAsia="zh-CN" w:bidi="ar-SA"/>
        </w:rPr>
        <w:t>6. 完全响应我方石油焦采购项目的规格型号、质量要求、定价方式、付款方式及合同条款。</w:t>
      </w:r>
    </w:p>
    <w:p>
      <w:pPr>
        <w:pStyle w:val="2"/>
        <w:numPr>
          <w:ilvl w:val="0"/>
          <w:numId w:val="0"/>
        </w:numPr>
        <w:tabs>
          <w:tab w:val="left" w:pos="716"/>
        </w:tabs>
        <w:spacing w:before="61" w:line="360" w:lineRule="auto"/>
        <w:ind w:leftChars="0" w:right="0" w:right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三、报盘要求</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val="0"/>
        <w:autoSpaceDN w:val="0"/>
        <w:bidi w:val="0"/>
        <w:adjustRightInd/>
        <w:snapToGrid/>
        <w:spacing w:before="0" w:beforeAutospacing="0" w:after="0" w:afterAutospacing="0" w:line="400" w:lineRule="exact"/>
        <w:ind w:left="0" w:right="0" w:firstLine="480" w:firstLineChars="200"/>
        <w:jc w:val="both"/>
        <w:textAlignment w:val="auto"/>
        <w:rPr>
          <w:rFonts w:hint="eastAsia" w:ascii="宋体" w:hAnsi="宋体" w:eastAsia="宋体" w:cs="宋体"/>
          <w:b w:val="0"/>
          <w:bCs/>
          <w:color w:val="auto"/>
          <w:kern w:val="2"/>
          <w:sz w:val="24"/>
          <w:szCs w:val="24"/>
          <w:highlight w:val="none"/>
          <w:lang w:eastAsia="zh-CN"/>
        </w:rPr>
      </w:pPr>
      <w:r>
        <w:rPr>
          <w:rFonts w:hint="eastAsia" w:ascii="宋体" w:hAnsi="宋体" w:eastAsia="宋体" w:cs="宋体"/>
          <w:color w:val="auto"/>
          <w:sz w:val="24"/>
          <w:szCs w:val="24"/>
          <w:highlight w:val="none"/>
          <w:lang w:val="en-US" w:eastAsia="zh-CN"/>
        </w:rPr>
        <w:t xml:space="preserve">3.1 </w:t>
      </w:r>
      <w:r>
        <w:rPr>
          <w:rFonts w:hint="eastAsia" w:ascii="宋体" w:hAnsi="宋体" w:eastAsia="宋体" w:cs="宋体"/>
          <w:color w:val="auto"/>
          <w:sz w:val="24"/>
          <w:szCs w:val="24"/>
          <w:highlight w:val="none"/>
          <w:lang w:eastAsia="zh-CN"/>
        </w:rPr>
        <w:t>投标保证金：</w:t>
      </w:r>
      <w:r>
        <w:rPr>
          <w:rFonts w:hint="eastAsia" w:ascii="宋体" w:hAnsi="宋体" w:eastAsia="宋体" w:cs="宋体"/>
          <w:b w:val="0"/>
          <w:bCs/>
          <w:color w:val="auto"/>
          <w:kern w:val="2"/>
          <w:sz w:val="24"/>
          <w:szCs w:val="24"/>
          <w:highlight w:val="none"/>
          <w:lang w:eastAsia="zh-CN"/>
        </w:rPr>
        <w:t>投标保证金金额：</w:t>
      </w:r>
      <w:r>
        <w:rPr>
          <w:rFonts w:hint="eastAsia" w:ascii="宋体" w:hAnsi="宋体" w:eastAsia="宋体" w:cs="宋体"/>
          <w:b w:val="0"/>
          <w:bCs/>
          <w:color w:val="auto"/>
          <w:kern w:val="2"/>
          <w:sz w:val="24"/>
          <w:szCs w:val="24"/>
          <w:highlight w:val="none"/>
          <w:lang w:val="en-US" w:eastAsia="zh-CN"/>
        </w:rPr>
        <w:t>30万元人民币，在交纳投标保证金截止时间前将保证金汇至此账户(单位全称:田林百矿田田碳素有限公司，账号:554010100100387693，开户行:兴业银行股份有限公司钦州支行)；若不按要求交纳报盘保证金，则报盘无效，若贵司未中标，在20个工作日内全额无息退还报盘保证金</w:t>
      </w:r>
      <w:r>
        <w:rPr>
          <w:rFonts w:hint="eastAsia" w:cs="宋体"/>
          <w:b w:val="0"/>
          <w:bCs/>
          <w:color w:val="auto"/>
          <w:kern w:val="2"/>
          <w:sz w:val="24"/>
          <w:szCs w:val="24"/>
          <w:highlight w:val="none"/>
          <w:lang w:val="en-US" w:eastAsia="zh-CN"/>
        </w:rPr>
        <w:t>；</w:t>
      </w:r>
      <w:r>
        <w:rPr>
          <w:rFonts w:hint="eastAsia" w:cs="宋体"/>
          <w:b w:val="0"/>
          <w:bCs w:val="0"/>
          <w:color w:val="auto"/>
          <w:sz w:val="24"/>
          <w:szCs w:val="24"/>
          <w:highlight w:val="none"/>
          <w:u w:val="none"/>
          <w:lang w:val="en-US" w:eastAsia="zh-CN" w:bidi="ar-SA"/>
        </w:rPr>
        <w:t>生产原厂不强制缴纳投标保证金，贸易商必须缴纳30万投标保证金</w:t>
      </w:r>
      <w:r>
        <w:rPr>
          <w:rFonts w:hint="eastAsia" w:ascii="宋体" w:hAnsi="宋体" w:eastAsia="宋体" w:cs="宋体"/>
          <w:b w:val="0"/>
          <w:bCs/>
          <w:color w:val="auto"/>
          <w:kern w:val="2"/>
          <w:sz w:val="24"/>
          <w:szCs w:val="24"/>
          <w:highlight w:val="none"/>
          <w:lang w:eastAsia="zh-CN"/>
        </w:rPr>
        <w:t>。</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3.2 合同履约保证金：</w:t>
      </w:r>
      <w:r>
        <w:rPr>
          <w:rFonts w:hint="eastAsia" w:ascii="宋体" w:hAnsi="宋体" w:eastAsia="宋体" w:cs="宋体"/>
          <w:color w:val="auto"/>
          <w:kern w:val="2"/>
          <w:sz w:val="24"/>
          <w:szCs w:val="24"/>
          <w:highlight w:val="none"/>
          <w:lang w:val="en-US" w:eastAsia="zh-CN"/>
        </w:rPr>
        <w:t>中标后需交纳履约保证金，履约保证金为合同基准货款的 5%（投标保证金可直接转换为履约保证金，不足部分的中标人在签订本合同之日起 3 日内缴纳补齐）；如贵司签订后因贵司单方面原因无法履约，履约保证金概不退回。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rPr>
        <w:t>3.3 定标：</w:t>
      </w:r>
      <w:r>
        <w:rPr>
          <w:rFonts w:hint="eastAsia" w:ascii="宋体" w:hAnsi="宋体" w:eastAsia="宋体" w:cs="宋体"/>
          <w:color w:val="auto"/>
          <w:kern w:val="2"/>
          <w:sz w:val="24"/>
          <w:szCs w:val="24"/>
          <w:highlight w:val="none"/>
          <w:lang w:val="en-US" w:eastAsia="zh-CN" w:bidi="ar-SA"/>
        </w:rPr>
        <w:t>定标后我司发出中标通知书，如有特殊情况我司有权采取口头通知定标后补中标通知书。</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3.4 签订合同与供货：</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3.4.1 中标人应按中标通知书在规定的时间、地点与我司签订《采购合同》。</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3.4.2 中标人接到中标通知书后，在规定时间内借故否认已经承诺的条件而拒绝签订合同者，按报盘违约处理，其报盘保证金不予退回。</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3.4.3 合同签订后，在合同供货周期和供货总量内履行合同，买方按自然月供货基准数量的下限值对卖方进行履约考核，未履行完成的按合同约定支付违约金。</w:t>
      </w:r>
    </w:p>
    <w:p>
      <w:pPr>
        <w:pStyle w:val="4"/>
        <w:spacing w:line="360" w:lineRule="auto"/>
        <w:ind w:left="0" w:leftChars="0" w:firstLine="0" w:firstLineChars="0"/>
        <w:jc w:val="both"/>
        <w:rPr>
          <w:rFonts w:hint="eastAsia" w:ascii="宋体" w:hAnsi="宋体" w:eastAsia="宋体" w:cs="宋体"/>
          <w:color w:val="auto"/>
          <w:kern w:val="2"/>
          <w:sz w:val="24"/>
          <w:szCs w:val="24"/>
          <w:highlight w:val="none"/>
          <w:lang w:val="en-US" w:eastAsia="zh-CN"/>
        </w:rPr>
      </w:pPr>
      <w:r>
        <w:rPr>
          <w:rFonts w:hint="eastAsia" w:ascii="宋体" w:hAnsi="宋体" w:eastAsia="宋体" w:cs="宋体"/>
          <w:b w:val="0"/>
          <w:bCs w:val="0"/>
          <w:color w:val="auto"/>
          <w:kern w:val="2"/>
          <w:sz w:val="24"/>
          <w:szCs w:val="24"/>
          <w:highlight w:val="none"/>
          <w:lang w:val="en-US" w:eastAsia="zh-CN"/>
        </w:rPr>
        <w:t>3.4.5 处罚：</w:t>
      </w:r>
      <w:r>
        <w:rPr>
          <w:rFonts w:hint="eastAsia" w:ascii="宋体" w:hAnsi="宋体" w:eastAsia="宋体" w:cs="宋体"/>
          <w:color w:val="auto"/>
          <w:kern w:val="2"/>
          <w:sz w:val="24"/>
          <w:szCs w:val="24"/>
          <w:highlight w:val="none"/>
          <w:lang w:val="en-US" w:eastAsia="zh-CN"/>
        </w:rPr>
        <w:t>严禁在报盘过程中进行串标、哄抬标价等行为，一经查实，一律取消报盘或中标资格并没收投标保证金。</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四、投标资料及报价方式：</w:t>
      </w:r>
    </w:p>
    <w:p>
      <w:pPr>
        <w:spacing w:line="360" w:lineRule="auto"/>
        <w:rPr>
          <w:rFonts w:hint="eastAsia" w:ascii="宋体" w:hAnsi="宋体" w:eastAsia="宋体" w:cs="宋体"/>
          <w:sz w:val="24"/>
          <w:szCs w:val="24"/>
          <w:lang w:val="en-US" w:eastAsia="zh-CN"/>
        </w:rPr>
      </w:pPr>
      <w:r>
        <w:rPr>
          <w:rFonts w:hint="eastAsia" w:ascii="宋体" w:hAnsi="宋体" w:eastAsia="宋体" w:cs="宋体"/>
          <w:b/>
          <w:bCs/>
          <w:color w:val="auto"/>
          <w:kern w:val="2"/>
          <w:sz w:val="24"/>
          <w:szCs w:val="24"/>
          <w:highlight w:val="none"/>
          <w:lang w:val="en-US" w:eastAsia="zh-CN" w:bidi="ar-SA"/>
        </w:rPr>
        <w:t>4.1 投标资料（必须加盖公章）</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(1)营业执照；</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(2)法定代表人身份证明书；</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(3)单位印签信息留存（留存日期建议填写一年）；</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(4)授权委托书（如联系人为法人可不提供）；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(5)被授权委托人必须是投标公司正式员工的佐证资料（如社保、工资流水资料等，联系人为法人可不提供）；</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(6)以上资料（除第五点）模板另附附件；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以上资料必须扫描成一份pdf格式的文件，并将文件名命名为：XXX公司(全称)资质，然后发送至招标方邮箱（邮箱号：Yao.Lu3@geely.com），为预防邮箱拦截文件无法收到，发送邮件后必须电话告知卢瑶（联系电话：15077611324）。</w:t>
      </w:r>
    </w:p>
    <w:p>
      <w:pPr>
        <w:pStyle w:val="2"/>
        <w:tabs>
          <w:tab w:val="left" w:pos="716"/>
        </w:tabs>
        <w:spacing w:before="68" w:line="360" w:lineRule="auto"/>
        <w:ind w:left="0" w:firstLine="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4.2 报价方式：</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(1)在电子招标平台进行报价；</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(2)按报价函模板填写报价，通过资审后上传至招标平台（模板另附附件）；</w:t>
      </w:r>
    </w:p>
    <w:p>
      <w:pPr>
        <w:pStyle w:val="2"/>
        <w:tabs>
          <w:tab w:val="left" w:pos="716"/>
        </w:tabs>
        <w:spacing w:before="68" w:line="360" w:lineRule="auto"/>
        <w:ind w:left="0" w:firstLine="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(3)报价指标必须响应要求，详见1.5条“石油焦采购指标要求表”。</w:t>
      </w:r>
    </w:p>
    <w:p>
      <w:pPr>
        <w:pStyle w:val="2"/>
        <w:tabs>
          <w:tab w:val="left" w:pos="716"/>
        </w:tabs>
        <w:spacing w:before="68" w:line="360" w:lineRule="auto"/>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 xml:space="preserve">五 </w:t>
      </w:r>
      <w:r>
        <w:rPr>
          <w:rFonts w:hint="eastAsia" w:ascii="宋体" w:hAnsi="宋体" w:eastAsia="宋体" w:cs="宋体"/>
          <w:color w:val="auto"/>
          <w:sz w:val="24"/>
          <w:szCs w:val="24"/>
          <w:highlight w:val="none"/>
          <w:lang w:eastAsia="zh-CN"/>
        </w:rPr>
        <w:t>竞价谈判、评标办法</w:t>
      </w:r>
    </w:p>
    <w:p>
      <w:pPr>
        <w:keepNext w:val="0"/>
        <w:keepLines w:val="0"/>
        <w:widowControl/>
        <w:suppressLineNumbers w:val="0"/>
        <w:spacing w:line="360" w:lineRule="auto"/>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5.1 招标文件获取：</w:t>
      </w:r>
    </w:p>
    <w:p>
      <w:pPr>
        <w:keepNext w:val="0"/>
        <w:keepLines w:val="0"/>
        <w:widowControl/>
        <w:suppressLineNumbers w:val="0"/>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若有意参加投标，请登录吉利电子招标采购平台（https://glzb.geely.com）下载电子版招标文件及报名投标。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5.2 电子竞价</w:t>
      </w:r>
      <w:r>
        <w:rPr>
          <w:rFonts w:hint="eastAsia" w:ascii="宋体" w:hAnsi="宋体" w:eastAsia="宋体" w:cs="宋体"/>
          <w:b/>
          <w:bCs/>
          <w:color w:val="auto"/>
          <w:kern w:val="2"/>
          <w:sz w:val="24"/>
          <w:szCs w:val="24"/>
          <w:highlight w:val="none"/>
          <w:lang w:val="en-US"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val="0"/>
          <w:bCs w:val="0"/>
          <w:color w:val="auto"/>
          <w:kern w:val="2"/>
          <w:sz w:val="24"/>
          <w:szCs w:val="24"/>
          <w:highlight w:val="none"/>
          <w:lang w:val="en-US" w:eastAsia="zh-CN"/>
        </w:rPr>
        <w:t xml:space="preserve">5.2.1 </w:t>
      </w:r>
      <w:r>
        <w:rPr>
          <w:rFonts w:hint="eastAsia" w:ascii="宋体" w:hAnsi="宋体" w:eastAsia="宋体" w:cs="宋体"/>
          <w:color w:val="auto"/>
          <w:kern w:val="2"/>
          <w:sz w:val="24"/>
          <w:szCs w:val="24"/>
          <w:highlight w:val="none"/>
          <w:lang w:eastAsia="zh-CN"/>
        </w:rPr>
        <w:t>如本次项目采用电子竞价方式进行，请登录系统地址：</w:t>
      </w:r>
      <w:r>
        <w:rPr>
          <w:rFonts w:hint="eastAsia" w:ascii="宋体" w:hAnsi="宋体" w:eastAsia="宋体" w:cs="宋体"/>
          <w:color w:val="auto"/>
          <w:kern w:val="2"/>
          <w:sz w:val="24"/>
          <w:szCs w:val="24"/>
          <w:highlight w:val="none"/>
          <w:lang w:eastAsia="zh-CN"/>
        </w:rPr>
        <w:fldChar w:fldCharType="begin"/>
      </w:r>
      <w:r>
        <w:rPr>
          <w:rFonts w:hint="eastAsia" w:ascii="宋体" w:hAnsi="宋体" w:eastAsia="宋体" w:cs="宋体"/>
          <w:color w:val="auto"/>
          <w:kern w:val="2"/>
          <w:sz w:val="24"/>
          <w:szCs w:val="24"/>
          <w:highlight w:val="none"/>
          <w:lang w:eastAsia="zh-CN"/>
        </w:rPr>
        <w:instrText xml:space="preserve"> HYPERLINK "http://glzb.geely.com;于开标前自行注册账号，注册时请正确填写公司详细信息、联系人详细信息并上传相关营业执照、经营许可证及其它相关证书扫描件；请妥善保管您的账号和密码！" </w:instrText>
      </w:r>
      <w:r>
        <w:rPr>
          <w:rFonts w:hint="eastAsia" w:ascii="宋体" w:hAnsi="宋体" w:eastAsia="宋体" w:cs="宋体"/>
          <w:color w:val="auto"/>
          <w:kern w:val="2"/>
          <w:sz w:val="24"/>
          <w:szCs w:val="24"/>
          <w:highlight w:val="none"/>
          <w:lang w:eastAsia="zh-CN"/>
        </w:rPr>
        <w:fldChar w:fldCharType="separate"/>
      </w:r>
      <w:r>
        <w:rPr>
          <w:rFonts w:hint="eastAsia" w:ascii="宋体" w:hAnsi="宋体" w:eastAsia="宋体" w:cs="宋体"/>
          <w:color w:val="auto"/>
          <w:kern w:val="2"/>
          <w:sz w:val="24"/>
          <w:szCs w:val="24"/>
          <w:highlight w:val="none"/>
          <w:lang w:eastAsia="zh-CN"/>
        </w:rPr>
        <w:t>http://glzb.geely.com;于开标前自行注册账号，注册时请正确填写公司详细信息、联系人详细信息并上传相关营业执照、经营许可证及其它相关证书扫描件；请妥善保管您的账号和密码！</w:t>
      </w:r>
      <w:r>
        <w:rPr>
          <w:rFonts w:hint="eastAsia" w:ascii="宋体" w:hAnsi="宋体" w:eastAsia="宋体" w:cs="宋体"/>
          <w:color w:val="auto"/>
          <w:kern w:val="2"/>
          <w:sz w:val="24"/>
          <w:szCs w:val="24"/>
          <w:highlight w:val="none"/>
          <w:lang w:eastAsia="zh-CN"/>
        </w:rPr>
        <w:fldChar w:fldCharType="end"/>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5.2.2每轮竞价分为试竞价、正常竞价与超时竞价三个时间段，试竞价用于测试网络连通性和熟悉系统操作；正常竞价设定为一个固定时长，主要是投标方 进入系统后首次报价，也可以在此时间段进行多轮报价；正常竞价阶段结束后为 超时竞价，在超时竞价阶段当任何一家投标方进行报价后，系统自动延时到超时 竞价时长，直至超时竞价时长内无报价，整个竞价结束；（本轮正常竞价时长为 10分钟，超时竞价时长为 90秒）。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5.2.3在竞价开始时第一次报价不得高于投标书价格（指向下竞价、下同）在第一次报价后，每次报价较前次报价减价额度不得低于招标方规定的最少减价 幅度 **%；最少减价幅度在正常竞价过程中可能作调整，请注意竞价界面底部的 实时信息提示。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5.2.4 整个竞价过程，投标方人员不能离开办公场所，有事可通过招标方人员传达。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5.2.5 投标方竞价后可以看到己方所报的价格及排名，其中排名是指综合排 名，包含价格、品质、服务、技术差异等因素，排名越靠前表示该投标方综合性价比最佳。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5.2.6 注意：石油焦按“1.5条的石油焦指标”基准质量进行折算，以“元/吨”进行报价。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5.2.7 本次竞价项目已设定控制价，当所有投标单位报价高出控制价时，或 者竞价不充分、串标或超预算等情况时，招标方有权宣布流标或与投标方进行二 次议价，一切解释权归招标方所有。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5.2.8 投标方在超时竞价阶段须在最后15秒之前报价，如在最后15秒内报价，网络延时或其它原因导致竞价异常，招标方有最终裁定权。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5.2.9 出现网络或电脑故障，若在正常竞价时间，重新启动系统竞价或纸质 替代竞价，若在超时阶段，招标方视竞价状况，有权决定重新启动系统竞价或纸质替代竞价，或按最终界面的排名顺序选择中标人。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bidi="ar-SA"/>
        </w:rPr>
        <w:t>5.2.10 本次竞价项目已设定淘汰比例，每轮报价结束，系统根据设置的比例自动淘汰高价位名额。</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 xml:space="preserve">5.3 </w:t>
      </w:r>
      <w:r>
        <w:rPr>
          <w:rFonts w:hint="eastAsia" w:ascii="宋体" w:hAnsi="宋体" w:eastAsia="宋体" w:cs="宋体"/>
          <w:b/>
          <w:bCs/>
          <w:color w:val="auto"/>
          <w:kern w:val="2"/>
          <w:sz w:val="24"/>
          <w:szCs w:val="24"/>
          <w:highlight w:val="none"/>
          <w:lang w:eastAsia="zh-CN"/>
        </w:rPr>
        <w:t>电子谈判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5.3.1</w:t>
      </w:r>
      <w:r>
        <w:rPr>
          <w:rFonts w:hint="eastAsia" w:ascii="宋体" w:hAnsi="宋体" w:eastAsia="宋体" w:cs="宋体"/>
          <w:color w:val="auto"/>
          <w:kern w:val="2"/>
          <w:sz w:val="24"/>
          <w:szCs w:val="24"/>
          <w:highlight w:val="none"/>
          <w:lang w:eastAsia="zh-CN"/>
        </w:rPr>
        <w:t xml:space="preserve"> 如本次项目采用电子谈判方式进行，请登录系统地址：http://glzb.geely.com;于开标前自行注册账号，注册时请正确填写公司详细信息、联系人详细信息并上传相关营业执照、经营许可证及其它相关证书扫描件；请妥善保管您的账号和密码！</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5.3.2</w:t>
      </w:r>
      <w:r>
        <w:rPr>
          <w:rFonts w:hint="eastAsia" w:ascii="宋体" w:hAnsi="宋体" w:eastAsia="宋体" w:cs="宋体"/>
          <w:color w:val="auto"/>
          <w:kern w:val="2"/>
          <w:sz w:val="24"/>
          <w:szCs w:val="24"/>
          <w:highlight w:val="none"/>
          <w:lang w:eastAsia="zh-CN"/>
        </w:rPr>
        <w:t xml:space="preserve"> 本次电子谈判采用多轮次报价模式进行：投标人根据自身实际情况在电子平台上进行报价，后一轮报价不得高于前一轮报价，招标系统根据各投标人报价情况对投标人进行排名，报价越低排名越靠前，具体排名不对投标人公布，每轮报价结束，系统根据设置的比例自动淘汰高价位名额。</w:t>
      </w:r>
    </w:p>
    <w:p>
      <w:pPr>
        <w:keepNext w:val="0"/>
        <w:keepLines w:val="0"/>
        <w:widowControl/>
        <w:suppressLineNumbers w:val="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1 轮报价按初始报价函进行报价，报价需完全一致，所有的投标人进入第 2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第 2 轮报价结束后按排名保留前</w:t>
      </w:r>
      <w:r>
        <w:rPr>
          <w:rFonts w:hint="eastAsia" w:ascii="宋体" w:hAnsi="宋体" w:eastAsia="宋体" w:cs="宋体"/>
          <w:color w:val="auto"/>
          <w:kern w:val="2"/>
          <w:sz w:val="24"/>
          <w:szCs w:val="24"/>
          <w:highlight w:val="none"/>
          <w:lang w:val="en-US" w:eastAsia="zh-CN"/>
        </w:rPr>
        <w:t>X</w:t>
      </w:r>
      <w:r>
        <w:rPr>
          <w:rFonts w:hint="eastAsia" w:ascii="宋体" w:hAnsi="宋体" w:eastAsia="宋体" w:cs="宋体"/>
          <w:color w:val="auto"/>
          <w:kern w:val="2"/>
          <w:sz w:val="24"/>
          <w:szCs w:val="24"/>
          <w:highlight w:val="none"/>
          <w:lang w:eastAsia="zh-CN"/>
        </w:rPr>
        <w:t>名投标人，进入第 3 轮报价；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FF0000"/>
          <w:kern w:val="2"/>
          <w:sz w:val="24"/>
          <w:szCs w:val="24"/>
          <w:highlight w:val="none"/>
          <w:lang w:eastAsia="zh-CN"/>
        </w:rPr>
      </w:pP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auto"/>
          <w:kern w:val="2"/>
          <w:sz w:val="24"/>
          <w:szCs w:val="24"/>
          <w:highlight w:val="none"/>
          <w:lang w:eastAsia="zh-CN"/>
        </w:rPr>
        <w:t xml:space="preserve">从第 2 轮报价开始具体保留前几名投标人和具体报价轮次招标方会在开标当天在“电子谈判须知”中告知投标方，投标方收到“电子谈判须知”后需 马 上 打 印 并 加 盖 公 章 后 扫 描 发 送 至 </w:t>
      </w:r>
      <w:r>
        <w:rPr>
          <w:rFonts w:hint="eastAsia" w:ascii="宋体" w:hAnsi="宋体" w:eastAsia="宋体" w:cs="宋体"/>
          <w:color w:val="FF0000"/>
          <w:kern w:val="2"/>
          <w:sz w:val="24"/>
          <w:szCs w:val="24"/>
          <w:highlight w:val="none"/>
          <w:lang w:eastAsia="zh-CN"/>
        </w:rPr>
        <w:t>招 标 方 邮 箱 （ 邮 箱 号 ：</w:t>
      </w:r>
      <w:r>
        <w:rPr>
          <w:rFonts w:hint="eastAsia" w:ascii="宋体" w:hAnsi="宋体" w:eastAsia="宋体" w:cs="宋体"/>
          <w:b w:val="0"/>
          <w:bCs w:val="0"/>
          <w:color w:val="FF0000"/>
          <w:kern w:val="2"/>
          <w:sz w:val="24"/>
          <w:szCs w:val="24"/>
          <w:highlight w:val="none"/>
          <w:lang w:val="en-US" w:eastAsia="zh-CN" w:bidi="ar-SA"/>
        </w:rPr>
        <w:t>Yao.Lu3@geely.com</w:t>
      </w:r>
      <w:r>
        <w:rPr>
          <w:rFonts w:hint="eastAsia" w:ascii="宋体" w:hAnsi="宋体" w:eastAsia="宋体" w:cs="宋体"/>
          <w:color w:val="FF0000"/>
          <w:kern w:val="2"/>
          <w:sz w:val="24"/>
          <w:szCs w:val="24"/>
          <w:highlight w:val="none"/>
          <w:lang w:eastAsia="zh-CN"/>
        </w:rPr>
        <w:t>），邮件命名为：XXX 公司电子谈判须知，请投标方提前做好用章准备。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5.3.3</w:t>
      </w:r>
      <w:r>
        <w:rPr>
          <w:rFonts w:hint="eastAsia" w:ascii="宋体" w:hAnsi="宋体" w:eastAsia="宋体" w:cs="宋体"/>
          <w:color w:val="auto"/>
          <w:kern w:val="2"/>
          <w:sz w:val="24"/>
          <w:szCs w:val="24"/>
          <w:highlight w:val="none"/>
          <w:lang w:eastAsia="zh-CN"/>
        </w:rPr>
        <w:t xml:space="preserve"> 本次项目进行“电子谈判”，电子谈判对投标人的报价时间做时间限制，各投标方务必提前测算好标段的报价，以免因时间不足影响报价，对故意拖延或拒绝报价的投标人，有权取消其投标资格。报价时段内不在线不能报价，视同自动放弃本次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4 接受并参加电子谈判的投标人，在电子投标平台、纸质报价函上所确认最终报价均等同于其投标文件最终实际报价。</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5.3.5</w:t>
      </w:r>
      <w:r>
        <w:rPr>
          <w:rFonts w:hint="eastAsia" w:ascii="宋体" w:hAnsi="宋体" w:eastAsia="宋体" w:cs="宋体"/>
          <w:color w:val="auto"/>
          <w:kern w:val="2"/>
          <w:sz w:val="24"/>
          <w:szCs w:val="24"/>
          <w:highlight w:val="none"/>
          <w:lang w:eastAsia="zh-CN"/>
        </w:rPr>
        <w:t xml:space="preserve"> 如有任何违规情况，可向吉利科技集团供应链管理部投诉和举报。</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投诉、举报电话：0571-28098168</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举报邮箱：geelytech.bid@geely.com。</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w:t>
      </w:r>
      <w:r>
        <w:rPr>
          <w:rFonts w:hint="eastAsia" w:ascii="宋体" w:hAnsi="宋体" w:eastAsia="宋体" w:cs="宋体"/>
          <w:color w:val="auto"/>
          <w:kern w:val="2"/>
          <w:sz w:val="24"/>
          <w:szCs w:val="24"/>
          <w:highlight w:val="none"/>
          <w:lang w:eastAsia="zh-CN"/>
        </w:rPr>
        <w:t>.6 开标前招标方通过“腾讯会议”邀请各投标方统一培训“电子竞价”或“电子谈判”报价的操作步骤，各投标方也可观看“吉利电子招标平台参与方式操作演示视频”提前熟悉操作步骤（视频通过微信发送给投标方，视频仅供投标方熟悉操作平台，报价模式及竞价形式以项目询价函为准）。</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5.3.7</w:t>
      </w:r>
      <w:r>
        <w:rPr>
          <w:rFonts w:hint="eastAsia" w:ascii="宋体" w:hAnsi="宋体" w:eastAsia="宋体" w:cs="宋体"/>
          <w:color w:val="auto"/>
          <w:kern w:val="2"/>
          <w:sz w:val="24"/>
          <w:szCs w:val="24"/>
          <w:highlight w:val="none"/>
          <w:lang w:eastAsia="zh-CN"/>
        </w:rPr>
        <w:t xml:space="preserve"> 投标方提前在电脑下载“腾讯会议”并完成注册，以便培训使用（电脑需备有语音设备）。</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b/>
          <w:bCs/>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w:t>
      </w:r>
      <w:r>
        <w:rPr>
          <w:rFonts w:hint="eastAsia" w:ascii="宋体" w:hAnsi="宋体" w:eastAsia="宋体" w:cs="宋体"/>
          <w:b/>
          <w:bCs/>
          <w:color w:val="auto"/>
          <w:kern w:val="2"/>
          <w:sz w:val="24"/>
          <w:szCs w:val="24"/>
          <w:highlight w:val="none"/>
          <w:lang w:eastAsia="zh-CN"/>
        </w:rPr>
        <w:t>电话谈判：</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b/>
          <w:bCs/>
          <w:color w:val="auto"/>
          <w:kern w:val="2"/>
          <w:sz w:val="24"/>
          <w:szCs w:val="24"/>
          <w:highlight w:val="none"/>
          <w:lang w:val="en-US" w:eastAsia="zh-CN"/>
        </w:rPr>
        <w:t>5.4.1</w:t>
      </w:r>
      <w:r>
        <w:rPr>
          <w:rFonts w:hint="eastAsia" w:ascii="宋体" w:hAnsi="宋体" w:eastAsia="宋体" w:cs="宋体"/>
          <w:b/>
          <w:bCs/>
          <w:color w:val="auto"/>
          <w:kern w:val="2"/>
          <w:sz w:val="24"/>
          <w:szCs w:val="24"/>
          <w:highlight w:val="none"/>
          <w:lang w:eastAsia="zh-CN"/>
        </w:rPr>
        <w:t xml:space="preserve"> 经“电子竞价”或“电子谈判”后，招标方会以电话谈判的形式与供应商谈判最终报价和数量。</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5.4</w:t>
      </w:r>
      <w:r>
        <w:rPr>
          <w:rFonts w:hint="eastAsia" w:ascii="宋体" w:hAnsi="宋体" w:eastAsia="宋体" w:cs="宋体"/>
          <w:color w:val="auto"/>
          <w:kern w:val="2"/>
          <w:sz w:val="24"/>
          <w:szCs w:val="24"/>
          <w:highlight w:val="none"/>
          <w:lang w:eastAsia="zh-CN"/>
        </w:rPr>
        <w:t>.2 “电话谈判”结束后，各投标方按报价函模板填写最终报价函(盖公章或签字并按手印，如是签字并按手印的函件过后需补发盖章版）并扫描成pdf格式，以邮件方式发送给招标方（邮箱号：</w:t>
      </w:r>
      <w:r>
        <w:rPr>
          <w:rFonts w:hint="eastAsia" w:ascii="宋体" w:hAnsi="宋体" w:eastAsia="宋体" w:cs="宋体"/>
          <w:b w:val="0"/>
          <w:bCs w:val="0"/>
          <w:color w:val="auto"/>
          <w:kern w:val="2"/>
          <w:sz w:val="24"/>
          <w:szCs w:val="24"/>
          <w:highlight w:val="none"/>
          <w:lang w:val="en-US" w:eastAsia="zh-CN" w:bidi="ar-SA"/>
        </w:rPr>
        <w:t>Yao.Lu3@geely.com</w:t>
      </w:r>
      <w:r>
        <w:rPr>
          <w:rFonts w:hint="eastAsia" w:ascii="宋体" w:hAnsi="宋体" w:eastAsia="宋体" w:cs="宋体"/>
          <w:color w:val="auto"/>
          <w:kern w:val="2"/>
          <w:sz w:val="24"/>
          <w:szCs w:val="24"/>
          <w:highlight w:val="none"/>
          <w:lang w:eastAsia="zh-CN"/>
        </w:rPr>
        <w:t>）。</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5.4.3 </w:t>
      </w:r>
      <w:r>
        <w:rPr>
          <w:rFonts w:hint="eastAsia" w:ascii="宋体" w:hAnsi="宋体" w:eastAsia="宋体" w:cs="宋体"/>
          <w:color w:val="auto"/>
          <w:kern w:val="2"/>
          <w:sz w:val="24"/>
          <w:szCs w:val="24"/>
          <w:highlight w:val="none"/>
          <w:lang w:eastAsia="zh-CN"/>
        </w:rPr>
        <w:t>务必于当日或次日将初始报价函、最终报价函、电子谈判须知/电子竞价须知加盖公章后将原件寄给招标方，收件地址：广西百色市右江区东增路188号吉利百矿集团有限公司采购中心，收件人：</w:t>
      </w:r>
      <w:r>
        <w:rPr>
          <w:rFonts w:hint="eastAsia" w:ascii="宋体" w:hAnsi="宋体" w:eastAsia="宋体" w:cs="宋体"/>
          <w:color w:val="auto"/>
          <w:kern w:val="2"/>
          <w:sz w:val="24"/>
          <w:szCs w:val="24"/>
          <w:highlight w:val="none"/>
          <w:lang w:val="en-US" w:eastAsia="zh-CN"/>
        </w:rPr>
        <w:t>卢瑶</w:t>
      </w:r>
      <w:r>
        <w:rPr>
          <w:rFonts w:hint="eastAsia" w:ascii="宋体" w:hAnsi="宋体" w:eastAsia="宋体" w:cs="宋体"/>
          <w:color w:val="auto"/>
          <w:kern w:val="2"/>
          <w:sz w:val="24"/>
          <w:szCs w:val="24"/>
          <w:highlight w:val="none"/>
          <w:lang w:eastAsia="zh-CN"/>
        </w:rPr>
        <w:t>，电话：</w:t>
      </w:r>
      <w:r>
        <w:rPr>
          <w:rFonts w:hint="eastAsia" w:ascii="宋体" w:hAnsi="宋体" w:eastAsia="宋体" w:cs="宋体"/>
          <w:color w:val="auto"/>
          <w:kern w:val="2"/>
          <w:sz w:val="24"/>
          <w:szCs w:val="24"/>
          <w:highlight w:val="none"/>
          <w:lang w:val="en-US" w:eastAsia="zh-CN"/>
        </w:rPr>
        <w:t>15077611324</w:t>
      </w:r>
      <w:r>
        <w:rPr>
          <w:rFonts w:hint="eastAsia" w:ascii="宋体" w:hAnsi="宋体" w:eastAsia="宋体" w:cs="宋体"/>
          <w:color w:val="auto"/>
          <w:kern w:val="2"/>
          <w:sz w:val="24"/>
          <w:szCs w:val="24"/>
          <w:highlight w:val="none"/>
          <w:lang w:eastAsia="zh-CN"/>
        </w:rPr>
        <w:t>。</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5.5 报价文件递交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5.5.1</w:t>
      </w:r>
      <w:r>
        <w:rPr>
          <w:rFonts w:hint="eastAsia" w:ascii="宋体" w:hAnsi="宋体" w:eastAsia="宋体" w:cs="宋体"/>
          <w:color w:val="000000"/>
          <w:kern w:val="0"/>
          <w:sz w:val="24"/>
          <w:szCs w:val="24"/>
          <w:lang w:val="en-US" w:eastAsia="zh-CN" w:bidi="ar"/>
        </w:rPr>
        <w:t xml:space="preserve"> 请将初始投标报价函扫描成pdt格式后发送吉利控股集团招标采购平台 http://glzb.geely.com;田林百矿田田碳素有限公司石油焦采购项目。 </w:t>
      </w:r>
    </w:p>
    <w:p>
      <w:pPr>
        <w:keepNext w:val="0"/>
        <w:keepLines w:val="0"/>
        <w:widowControl/>
        <w:suppressLineNumbers w:val="0"/>
        <w:spacing w:line="360" w:lineRule="auto"/>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000000"/>
          <w:kern w:val="0"/>
          <w:sz w:val="24"/>
          <w:szCs w:val="24"/>
          <w:lang w:val="en-US" w:eastAsia="zh-CN" w:bidi="ar"/>
        </w:rPr>
        <w:t>5. 5.2 “投标资料上传”，只用上传“初始报价清单”即，初始报价函（盖公章并扫描成pdf格式），技术标和商务标不用上传资料，如超时未上传初始报价函 将视为自动放弃投标资格。</w:t>
      </w:r>
    </w:p>
    <w:p>
      <w:pPr>
        <w:pStyle w:val="4"/>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5.6 招标方有权选择电子竞价、电子谈判、电话谈判或者多种形式结合的方式，确定预中标单位。为保证项目顺利进行，请使用谷歌浏览器登录招标平台，请提前在电脑下载谷歌浏览器。</w:t>
      </w:r>
    </w:p>
    <w:p>
      <w:pPr>
        <w:pStyle w:val="2"/>
        <w:tabs>
          <w:tab w:val="left" w:pos="716"/>
        </w:tabs>
        <w:spacing w:line="434" w:lineRule="exact"/>
        <w:ind w:left="0" w:firstLine="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lang w:eastAsia="zh-CN"/>
        </w:rPr>
        <w:t>参与确认</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1．投标报名起止时间：2024年11月8日08:00至2024 年11月11日23:00。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2．投标资料提供起止时间：投标报名开始时间至2024 年11月11日23:00。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3．资质审核时间：2024年11月12日09:00。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4．投标保证金缴纳时间：2024 年11月 13 日（资质审核通过后需在开标前缴纳投标保证金）。</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5．开标时间：2024 年 11月 13日 9:00。</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6.开标地点：广西百色市右江区东增路 188 号吉利百矿集团有限公司采购中心，投标方在吉利采购电子平台线上参与投标即可，不用到现场参与。 </w:t>
      </w:r>
    </w:p>
    <w:p>
      <w:pPr>
        <w:pStyle w:val="4"/>
        <w:spacing w:line="400" w:lineRule="exact"/>
        <w:ind w:left="0" w:firstLine="480" w:firstLineChars="200"/>
        <w:jc w:val="both"/>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7.未尽事宜以签订合同内容为准，我司石油焦采购合同为统一版本，如需了解详见附件。</w:t>
      </w:r>
    </w:p>
    <w:p>
      <w:pPr>
        <w:pStyle w:val="2"/>
        <w:tabs>
          <w:tab w:val="left" w:pos="716"/>
        </w:tabs>
        <w:spacing w:before="63"/>
        <w:ind w:lef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联系方式</w:t>
      </w:r>
    </w:p>
    <w:tbl>
      <w:tblPr>
        <w:tblStyle w:val="12"/>
        <w:tblW w:w="81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6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公司：</w:t>
            </w:r>
          </w:p>
        </w:tc>
        <w:tc>
          <w:tcPr>
            <w:tcW w:w="6295" w:type="dxa"/>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田林百矿田田碳素有限公司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w:t>
            </w:r>
          </w:p>
        </w:tc>
        <w:tc>
          <w:tcPr>
            <w:tcW w:w="6295" w:type="dxa"/>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广西田林县旧州镇板坚村桂黔（田林）经济合作产业园区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网址</w:t>
            </w:r>
            <w:r>
              <w:rPr>
                <w:rFonts w:hint="eastAsia" w:ascii="宋体" w:hAnsi="宋体" w:eastAsia="宋体" w:cs="宋体"/>
                <w:color w:val="auto"/>
                <w:sz w:val="24"/>
                <w:szCs w:val="24"/>
                <w:highlight w:val="none"/>
                <w:lang w:eastAsia="zh-CN"/>
              </w:rPr>
              <w:t>：</w:t>
            </w:r>
          </w:p>
        </w:tc>
        <w:tc>
          <w:tcPr>
            <w:tcW w:w="6295" w:type="dxa"/>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"https://glzb.geely.com"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https://glzb.geely.com</w:t>
            </w:r>
            <w:r>
              <w:rPr>
                <w:rFonts w:hint="eastAsia" w:ascii="宋体" w:hAnsi="宋体" w:eastAsia="宋体" w:cs="宋体"/>
                <w:color w:val="auto"/>
                <w:sz w:val="24"/>
                <w:szCs w:val="24"/>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开户银行</w:t>
            </w:r>
            <w:r>
              <w:rPr>
                <w:rFonts w:hint="eastAsia" w:ascii="宋体" w:hAnsi="宋体" w:eastAsia="宋体" w:cs="宋体"/>
                <w:color w:val="auto"/>
                <w:sz w:val="24"/>
                <w:szCs w:val="24"/>
                <w:highlight w:val="none"/>
                <w:lang w:eastAsia="zh-CN"/>
              </w:rPr>
              <w:t>：</w:t>
            </w:r>
          </w:p>
        </w:tc>
        <w:tc>
          <w:tcPr>
            <w:tcW w:w="6295" w:type="dxa"/>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b w:val="0"/>
                <w:bCs/>
                <w:color w:val="auto"/>
                <w:kern w:val="2"/>
                <w:sz w:val="24"/>
                <w:szCs w:val="24"/>
                <w:highlight w:val="none"/>
                <w:lang w:val="en-US" w:eastAsia="zh-CN"/>
              </w:rPr>
              <w:t>兴业银行股份有限公司钦州支行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银行账号</w:t>
            </w:r>
            <w:r>
              <w:rPr>
                <w:rFonts w:hint="eastAsia" w:ascii="宋体" w:hAnsi="宋体" w:eastAsia="宋体" w:cs="宋体"/>
                <w:color w:val="auto"/>
                <w:sz w:val="24"/>
                <w:szCs w:val="24"/>
                <w:highlight w:val="none"/>
                <w:lang w:eastAsia="zh-CN"/>
              </w:rPr>
              <w:t>：</w:t>
            </w:r>
          </w:p>
        </w:tc>
        <w:tc>
          <w:tcPr>
            <w:tcW w:w="6295" w:type="dxa"/>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b w:val="0"/>
                <w:bCs/>
                <w:color w:val="auto"/>
                <w:kern w:val="2"/>
                <w:sz w:val="24"/>
                <w:szCs w:val="24"/>
                <w:highlight w:val="none"/>
                <w:lang w:val="en-US" w:eastAsia="zh-CN"/>
              </w:rPr>
              <w:t>554010100100387693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p>
        </w:tc>
        <w:tc>
          <w:tcPr>
            <w:tcW w:w="6295" w:type="dxa"/>
            <w:vAlign w:val="center"/>
          </w:tcPr>
          <w:p>
            <w:pPr>
              <w:spacing w:line="400" w:lineRule="exact"/>
              <w:jc w:val="left"/>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卢瑶15077611324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邮箱</w:t>
            </w:r>
            <w:r>
              <w:rPr>
                <w:rFonts w:hint="eastAsia" w:ascii="宋体" w:hAnsi="宋体" w:eastAsia="宋体" w:cs="宋体"/>
                <w:color w:val="auto"/>
                <w:sz w:val="24"/>
                <w:szCs w:val="24"/>
                <w:highlight w:val="none"/>
                <w:lang w:eastAsia="zh-CN"/>
              </w:rPr>
              <w:t>：</w:t>
            </w:r>
            <w:bookmarkStart w:id="4" w:name="_GoBack"/>
            <w:bookmarkEnd w:id="4"/>
          </w:p>
        </w:tc>
        <w:tc>
          <w:tcPr>
            <w:tcW w:w="6295" w:type="dxa"/>
            <w:vAlign w:val="center"/>
          </w:tcPr>
          <w:p>
            <w:pPr>
              <w:spacing w:line="400" w:lineRule="exact"/>
              <w:jc w:val="left"/>
              <w:rPr>
                <w:rFonts w:hint="eastAsia" w:ascii="宋体" w:hAnsi="宋体" w:eastAsia="宋体" w:cs="宋体"/>
                <w:color w:val="auto"/>
                <w:sz w:val="24"/>
                <w:szCs w:val="24"/>
                <w:highlight w:val="none"/>
              </w:rPr>
            </w:pPr>
            <w:r>
              <w:rPr>
                <w:rFonts w:ascii="宋体" w:hAnsi="宋体" w:eastAsia="宋体" w:cs="宋体"/>
                <w:sz w:val="24"/>
                <w:szCs w:val="24"/>
              </w:rPr>
              <w:t>Yao.Lu3@geely.com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投诉、举报电话</w:t>
            </w:r>
            <w:r>
              <w:rPr>
                <w:rFonts w:hint="eastAsia" w:ascii="宋体" w:hAnsi="宋体" w:eastAsia="宋体" w:cs="宋体"/>
                <w:color w:val="auto"/>
                <w:kern w:val="2"/>
                <w:sz w:val="24"/>
                <w:szCs w:val="24"/>
                <w:highlight w:val="none"/>
                <w:lang w:eastAsia="zh-CN"/>
              </w:rPr>
              <w:t>：</w:t>
            </w:r>
          </w:p>
        </w:tc>
        <w:tc>
          <w:tcPr>
            <w:tcW w:w="6295" w:type="dxa"/>
            <w:vAlign w:val="center"/>
          </w:tcPr>
          <w:p>
            <w:pPr>
              <w:spacing w:line="400" w:lineRule="exact"/>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0571-28098168（</w:t>
            </w:r>
            <w:r>
              <w:rPr>
                <w:rFonts w:hint="eastAsia" w:ascii="宋体" w:hAnsi="宋体" w:eastAsia="宋体" w:cs="宋体"/>
                <w:color w:val="auto"/>
                <w:kern w:val="2"/>
                <w:sz w:val="24"/>
                <w:szCs w:val="24"/>
                <w:highlight w:val="none"/>
                <w:lang w:eastAsia="zh-CN"/>
              </w:rPr>
              <w:t>供应链管理部</w:t>
            </w:r>
            <w:r>
              <w:rPr>
                <w:rFonts w:hint="eastAsia" w:ascii="宋体" w:hAnsi="宋体" w:eastAsia="宋体" w:cs="宋体"/>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818" w:type="dxa"/>
            <w:tcMar>
              <w:left w:w="28" w:type="dxa"/>
              <w:right w:w="28" w:type="dxa"/>
            </w:tcMar>
            <w:vAlign w:val="center"/>
          </w:tcPr>
          <w:p>
            <w:pPr>
              <w:spacing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kern w:val="2"/>
                <w:sz w:val="24"/>
                <w:szCs w:val="24"/>
                <w:highlight w:val="none"/>
              </w:rPr>
              <w:t>举报邮箱</w:t>
            </w:r>
            <w:r>
              <w:rPr>
                <w:rFonts w:hint="eastAsia" w:ascii="宋体" w:hAnsi="宋体" w:eastAsia="宋体" w:cs="宋体"/>
                <w:color w:val="auto"/>
                <w:kern w:val="2"/>
                <w:sz w:val="24"/>
                <w:szCs w:val="24"/>
                <w:highlight w:val="none"/>
                <w:lang w:eastAsia="zh-CN"/>
              </w:rPr>
              <w:t>：</w:t>
            </w:r>
          </w:p>
        </w:tc>
        <w:tc>
          <w:tcPr>
            <w:tcW w:w="6295" w:type="dxa"/>
            <w:vAlign w:val="center"/>
          </w:tcPr>
          <w:p>
            <w:pPr>
              <w:pStyle w:val="18"/>
              <w:jc w:val="left"/>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rPr>
              <w:t>geelytech.bid@geely.com</w:t>
            </w:r>
          </w:p>
        </w:tc>
      </w:tr>
    </w:tbl>
    <w:p>
      <w:pPr>
        <w:pStyle w:val="18"/>
        <w:rPr>
          <w:rFonts w:hint="eastAsia" w:ascii="宋体" w:hAnsi="宋体" w:eastAsia="宋体" w:cs="宋体"/>
          <w:color w:val="auto"/>
          <w:kern w:val="2"/>
          <w:sz w:val="24"/>
          <w:szCs w:val="24"/>
          <w:highlight w:val="none"/>
        </w:rPr>
      </w:pPr>
    </w:p>
    <w:p>
      <w:pPr>
        <w:pStyle w:val="20"/>
        <w:rPr>
          <w:rFonts w:hint="eastAsia" w:ascii="宋体" w:hAnsi="宋体" w:eastAsia="宋体" w:cs="宋体"/>
          <w:color w:val="auto"/>
          <w:kern w:val="2"/>
          <w:sz w:val="24"/>
          <w:szCs w:val="24"/>
          <w:highlight w:val="none"/>
          <w:lang w:val="en-US" w:eastAsia="zh-CN"/>
        </w:rPr>
      </w:pPr>
    </w:p>
    <w:p>
      <w:pPr>
        <w:spacing w:before="181"/>
        <w:ind w:left="4940" w:firstLine="480" w:firstLineChars="200"/>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eastAsia="zh-CN"/>
        </w:rPr>
        <w:t>田林百矿田田碳素有限公司</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80"/>
        <w:jc w:val="center"/>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 xml:space="preserve">                                       </w:t>
      </w:r>
      <w:r>
        <w:rPr>
          <w:rFonts w:hint="eastAsia" w:ascii="宋体" w:hAnsi="宋体" w:eastAsia="宋体" w:cs="宋体"/>
          <w:color w:val="auto"/>
          <w:kern w:val="2"/>
          <w:sz w:val="24"/>
          <w:szCs w:val="24"/>
          <w:highlight w:val="none"/>
          <w:lang w:eastAsia="zh-CN"/>
        </w:rPr>
        <w:t>202</w:t>
      </w: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lang w:eastAsia="zh-CN"/>
        </w:rPr>
        <w:t>年</w:t>
      </w:r>
      <w:r>
        <w:rPr>
          <w:rFonts w:hint="eastAsia" w:ascii="宋体" w:hAnsi="宋体" w:eastAsia="宋体" w:cs="宋体"/>
          <w:color w:val="auto"/>
          <w:kern w:val="2"/>
          <w:sz w:val="24"/>
          <w:szCs w:val="24"/>
          <w:highlight w:val="none"/>
          <w:lang w:val="en-US" w:eastAsia="zh-CN"/>
        </w:rPr>
        <w:t>11</w:t>
      </w:r>
      <w:r>
        <w:rPr>
          <w:rFonts w:hint="eastAsia" w:ascii="宋体" w:hAnsi="宋体" w:eastAsia="宋体" w:cs="宋体"/>
          <w:color w:val="auto"/>
          <w:kern w:val="2"/>
          <w:sz w:val="24"/>
          <w:szCs w:val="24"/>
          <w:highlight w:val="none"/>
          <w:lang w:eastAsia="zh-CN"/>
        </w:rPr>
        <w:t>月</w:t>
      </w:r>
      <w:r>
        <w:rPr>
          <w:rFonts w:hint="eastAsia" w:ascii="宋体" w:hAnsi="宋体" w:eastAsia="宋体" w:cs="宋体"/>
          <w:color w:val="auto"/>
          <w:kern w:val="2"/>
          <w:sz w:val="24"/>
          <w:szCs w:val="24"/>
          <w:highlight w:val="none"/>
          <w:lang w:val="en-US" w:eastAsia="zh-CN"/>
        </w:rPr>
        <w:t>7</w:t>
      </w:r>
      <w:r>
        <w:rPr>
          <w:rFonts w:hint="eastAsia" w:ascii="宋体" w:hAnsi="宋体" w:eastAsia="宋体" w:cs="宋体"/>
          <w:color w:val="auto"/>
          <w:kern w:val="2"/>
          <w:sz w:val="24"/>
          <w:szCs w:val="24"/>
          <w:highlight w:val="none"/>
          <w:lang w:eastAsia="zh-CN"/>
        </w:rPr>
        <w:t>日</w:t>
      </w:r>
    </w:p>
    <w:p>
      <w:pPr>
        <w:pStyle w:val="18"/>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pPr>
        <w:pStyle w:val="20"/>
        <w:rPr>
          <w:rFonts w:hint="eastAsia" w:ascii="宋体" w:hAnsi="宋体" w:eastAsia="宋体" w:cs="宋体"/>
          <w:color w:val="auto"/>
          <w:kern w:val="2"/>
          <w:sz w:val="24"/>
          <w:szCs w:val="24"/>
          <w:highlight w:val="none"/>
          <w:lang w:eastAsia="zh-CN"/>
        </w:rPr>
      </w:pPr>
    </w:p>
    <w:p/>
    <w:sectPr>
      <w:headerReference r:id="rId3" w:type="default"/>
      <w:footerReference r:id="rId4" w:type="default"/>
      <w:footerReference r:id="rId5" w:type="even"/>
      <w:pgSz w:w="11906" w:h="16838"/>
      <w:pgMar w:top="1417" w:right="1417" w:bottom="1134"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33</w:t>
                    </w:r>
                    <w:r>
                      <w:fldChar w:fldCharType="end"/>
                    </w:r>
                    <w:r>
                      <w:t xml:space="preserve"> 页</w:t>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Theme="minorEastAsia" w:hAnsiTheme="minorEastAsia"/>
        <w:sz w:val="24"/>
        <w:szCs w:val="24"/>
      </w:rPr>
    </w:pPr>
    <w:r>
      <w:rPr>
        <w:rFonts w:hint="eastAsia" w:asciiTheme="minorEastAsia" w:hAnsiTheme="minorEastAsia"/>
        <w:sz w:val="24"/>
        <w:szCs w:val="24"/>
      </w:rPr>
      <w:t>-2-</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zZDcxMzc4ZDYzOTczMzYzNTY5NTcwOGM2ZDhlOGEifQ=="/>
  </w:docVars>
  <w:rsids>
    <w:rsidRoot w:val="00172A27"/>
    <w:rsid w:val="00125861"/>
    <w:rsid w:val="001D7D8F"/>
    <w:rsid w:val="002A31E3"/>
    <w:rsid w:val="00371807"/>
    <w:rsid w:val="006171D9"/>
    <w:rsid w:val="00664C99"/>
    <w:rsid w:val="00734D2C"/>
    <w:rsid w:val="008925C5"/>
    <w:rsid w:val="00A34580"/>
    <w:rsid w:val="00A7001A"/>
    <w:rsid w:val="00F22F9D"/>
    <w:rsid w:val="010C2718"/>
    <w:rsid w:val="0176292B"/>
    <w:rsid w:val="019801D0"/>
    <w:rsid w:val="01EA6151"/>
    <w:rsid w:val="02100864"/>
    <w:rsid w:val="024D2111"/>
    <w:rsid w:val="025455B2"/>
    <w:rsid w:val="02B046A6"/>
    <w:rsid w:val="02B510FA"/>
    <w:rsid w:val="02EA4873"/>
    <w:rsid w:val="02FB4A5D"/>
    <w:rsid w:val="033E4BBF"/>
    <w:rsid w:val="03675EC4"/>
    <w:rsid w:val="03CF73B2"/>
    <w:rsid w:val="03D143FF"/>
    <w:rsid w:val="03E80368"/>
    <w:rsid w:val="03EE1054"/>
    <w:rsid w:val="03EF1A15"/>
    <w:rsid w:val="040A4AA1"/>
    <w:rsid w:val="043F0BEF"/>
    <w:rsid w:val="0449381C"/>
    <w:rsid w:val="04695C6C"/>
    <w:rsid w:val="04714B20"/>
    <w:rsid w:val="047B2B1B"/>
    <w:rsid w:val="04877EA0"/>
    <w:rsid w:val="049A2CD6"/>
    <w:rsid w:val="049B5F9F"/>
    <w:rsid w:val="04A01F97"/>
    <w:rsid w:val="04B97278"/>
    <w:rsid w:val="04EF4072"/>
    <w:rsid w:val="05157BA2"/>
    <w:rsid w:val="053C512E"/>
    <w:rsid w:val="05507F33"/>
    <w:rsid w:val="05926AFC"/>
    <w:rsid w:val="05D37841"/>
    <w:rsid w:val="05E80E12"/>
    <w:rsid w:val="062067FE"/>
    <w:rsid w:val="063D115E"/>
    <w:rsid w:val="066570F6"/>
    <w:rsid w:val="06A173BE"/>
    <w:rsid w:val="06B331CE"/>
    <w:rsid w:val="06B95525"/>
    <w:rsid w:val="06BC064E"/>
    <w:rsid w:val="06BD5DFB"/>
    <w:rsid w:val="06BE46F4"/>
    <w:rsid w:val="076467EA"/>
    <w:rsid w:val="076B2508"/>
    <w:rsid w:val="07C35693"/>
    <w:rsid w:val="07D7113E"/>
    <w:rsid w:val="07DC6755"/>
    <w:rsid w:val="08066011"/>
    <w:rsid w:val="08161C67"/>
    <w:rsid w:val="081D0714"/>
    <w:rsid w:val="083672A6"/>
    <w:rsid w:val="08524424"/>
    <w:rsid w:val="08AC6127"/>
    <w:rsid w:val="08E1104C"/>
    <w:rsid w:val="09233892"/>
    <w:rsid w:val="09434AE4"/>
    <w:rsid w:val="096128B0"/>
    <w:rsid w:val="096518D6"/>
    <w:rsid w:val="098D703C"/>
    <w:rsid w:val="09DB4F16"/>
    <w:rsid w:val="09FE0C04"/>
    <w:rsid w:val="0A2E773B"/>
    <w:rsid w:val="0A951569"/>
    <w:rsid w:val="0A960BA9"/>
    <w:rsid w:val="0AC736EC"/>
    <w:rsid w:val="0B1D3D7C"/>
    <w:rsid w:val="0B333027"/>
    <w:rsid w:val="0B4D0B41"/>
    <w:rsid w:val="0B5362AB"/>
    <w:rsid w:val="0B5D1214"/>
    <w:rsid w:val="0B7A250D"/>
    <w:rsid w:val="0B7E024F"/>
    <w:rsid w:val="0B8E7D66"/>
    <w:rsid w:val="0B913733"/>
    <w:rsid w:val="0BB023D2"/>
    <w:rsid w:val="0BD0037E"/>
    <w:rsid w:val="0C470AAF"/>
    <w:rsid w:val="0C4F0FDA"/>
    <w:rsid w:val="0C807E08"/>
    <w:rsid w:val="0C825B1D"/>
    <w:rsid w:val="0C8E11E7"/>
    <w:rsid w:val="0CB37785"/>
    <w:rsid w:val="0CE62A84"/>
    <w:rsid w:val="0CE926FB"/>
    <w:rsid w:val="0D0C53E6"/>
    <w:rsid w:val="0D1B387B"/>
    <w:rsid w:val="0D441024"/>
    <w:rsid w:val="0D530AAA"/>
    <w:rsid w:val="0D543193"/>
    <w:rsid w:val="0DC851EA"/>
    <w:rsid w:val="0DF85FA5"/>
    <w:rsid w:val="0E767028"/>
    <w:rsid w:val="0EB675B9"/>
    <w:rsid w:val="0EC0292C"/>
    <w:rsid w:val="0EC248F6"/>
    <w:rsid w:val="0ED83283"/>
    <w:rsid w:val="0EF451D0"/>
    <w:rsid w:val="0F36499C"/>
    <w:rsid w:val="0F476BAA"/>
    <w:rsid w:val="0F56415A"/>
    <w:rsid w:val="0F607C6B"/>
    <w:rsid w:val="0F9965A1"/>
    <w:rsid w:val="0FFE1C30"/>
    <w:rsid w:val="10090303"/>
    <w:rsid w:val="107435F9"/>
    <w:rsid w:val="108300B5"/>
    <w:rsid w:val="10B136ED"/>
    <w:rsid w:val="10B4026F"/>
    <w:rsid w:val="10C233A9"/>
    <w:rsid w:val="10DE1D04"/>
    <w:rsid w:val="10EC5B3E"/>
    <w:rsid w:val="10FE14EA"/>
    <w:rsid w:val="11010579"/>
    <w:rsid w:val="110765F0"/>
    <w:rsid w:val="11237CDE"/>
    <w:rsid w:val="11627CCB"/>
    <w:rsid w:val="11765524"/>
    <w:rsid w:val="11A942B8"/>
    <w:rsid w:val="11B65C1C"/>
    <w:rsid w:val="11DA1F24"/>
    <w:rsid w:val="11E44815"/>
    <w:rsid w:val="11FC704A"/>
    <w:rsid w:val="12105979"/>
    <w:rsid w:val="12165383"/>
    <w:rsid w:val="1222745A"/>
    <w:rsid w:val="1266241B"/>
    <w:rsid w:val="129760CA"/>
    <w:rsid w:val="12A46107"/>
    <w:rsid w:val="12AB021B"/>
    <w:rsid w:val="12BE53D5"/>
    <w:rsid w:val="12C1204E"/>
    <w:rsid w:val="12DA6F1D"/>
    <w:rsid w:val="12E85956"/>
    <w:rsid w:val="130E2D43"/>
    <w:rsid w:val="13203999"/>
    <w:rsid w:val="13367661"/>
    <w:rsid w:val="13574F3A"/>
    <w:rsid w:val="135950FD"/>
    <w:rsid w:val="13731254"/>
    <w:rsid w:val="13741F37"/>
    <w:rsid w:val="138E06B8"/>
    <w:rsid w:val="13A24CF6"/>
    <w:rsid w:val="13CD55D7"/>
    <w:rsid w:val="13CE43F7"/>
    <w:rsid w:val="13DB54A7"/>
    <w:rsid w:val="13E175CD"/>
    <w:rsid w:val="140212F1"/>
    <w:rsid w:val="141379A2"/>
    <w:rsid w:val="14235F78"/>
    <w:rsid w:val="143A44EA"/>
    <w:rsid w:val="143F0797"/>
    <w:rsid w:val="14667AD2"/>
    <w:rsid w:val="146C382B"/>
    <w:rsid w:val="14755F67"/>
    <w:rsid w:val="148D505F"/>
    <w:rsid w:val="149E7CD8"/>
    <w:rsid w:val="14B338CD"/>
    <w:rsid w:val="14B80ED7"/>
    <w:rsid w:val="14EA231D"/>
    <w:rsid w:val="151205EE"/>
    <w:rsid w:val="1523268F"/>
    <w:rsid w:val="15407DFB"/>
    <w:rsid w:val="15485429"/>
    <w:rsid w:val="156A2636"/>
    <w:rsid w:val="15866F89"/>
    <w:rsid w:val="15DC72C0"/>
    <w:rsid w:val="15DD2016"/>
    <w:rsid w:val="15FA0478"/>
    <w:rsid w:val="165A52E4"/>
    <w:rsid w:val="1689600C"/>
    <w:rsid w:val="169336AF"/>
    <w:rsid w:val="16941135"/>
    <w:rsid w:val="16C601B0"/>
    <w:rsid w:val="16DE0379"/>
    <w:rsid w:val="16E15B36"/>
    <w:rsid w:val="16E7773C"/>
    <w:rsid w:val="170802F2"/>
    <w:rsid w:val="171952CF"/>
    <w:rsid w:val="178400CF"/>
    <w:rsid w:val="17C76AD9"/>
    <w:rsid w:val="17D25EBC"/>
    <w:rsid w:val="183B2BE1"/>
    <w:rsid w:val="18495410"/>
    <w:rsid w:val="18637686"/>
    <w:rsid w:val="18B4270C"/>
    <w:rsid w:val="18B47BD7"/>
    <w:rsid w:val="18D66130"/>
    <w:rsid w:val="191D5994"/>
    <w:rsid w:val="1945415A"/>
    <w:rsid w:val="199972CD"/>
    <w:rsid w:val="19B317F0"/>
    <w:rsid w:val="19BC67C0"/>
    <w:rsid w:val="19DE4419"/>
    <w:rsid w:val="19EC0189"/>
    <w:rsid w:val="19F84525"/>
    <w:rsid w:val="1A4131B9"/>
    <w:rsid w:val="1A424BA0"/>
    <w:rsid w:val="1A457CBD"/>
    <w:rsid w:val="1A6D2150"/>
    <w:rsid w:val="1A7F114B"/>
    <w:rsid w:val="1A935399"/>
    <w:rsid w:val="1A9B5F15"/>
    <w:rsid w:val="1AAF3709"/>
    <w:rsid w:val="1AD567BD"/>
    <w:rsid w:val="1AFF2A2E"/>
    <w:rsid w:val="1B310052"/>
    <w:rsid w:val="1B617245"/>
    <w:rsid w:val="1B950C9D"/>
    <w:rsid w:val="1B981B60"/>
    <w:rsid w:val="1BB11F7A"/>
    <w:rsid w:val="1BD23F86"/>
    <w:rsid w:val="1BD84A1C"/>
    <w:rsid w:val="1C0320AA"/>
    <w:rsid w:val="1C0F130E"/>
    <w:rsid w:val="1C1B73F4"/>
    <w:rsid w:val="1C2F4C4D"/>
    <w:rsid w:val="1C3B71E9"/>
    <w:rsid w:val="1C406E5A"/>
    <w:rsid w:val="1C4D38FF"/>
    <w:rsid w:val="1C587BEB"/>
    <w:rsid w:val="1C5F3784"/>
    <w:rsid w:val="1C7F6721"/>
    <w:rsid w:val="1C8E5E18"/>
    <w:rsid w:val="1C9B22E3"/>
    <w:rsid w:val="1CE04199"/>
    <w:rsid w:val="1D7C6F7B"/>
    <w:rsid w:val="1D8B4DA1"/>
    <w:rsid w:val="1D8B7E73"/>
    <w:rsid w:val="1D927B8A"/>
    <w:rsid w:val="1DA515CF"/>
    <w:rsid w:val="1DF47EFC"/>
    <w:rsid w:val="1DF833A9"/>
    <w:rsid w:val="1E0041B6"/>
    <w:rsid w:val="1E0C793C"/>
    <w:rsid w:val="1E2C0B70"/>
    <w:rsid w:val="1E504BF2"/>
    <w:rsid w:val="1E625304"/>
    <w:rsid w:val="1E635082"/>
    <w:rsid w:val="1E94380D"/>
    <w:rsid w:val="1E9B47CD"/>
    <w:rsid w:val="1EBA7398"/>
    <w:rsid w:val="1EE336A5"/>
    <w:rsid w:val="1EF94E9C"/>
    <w:rsid w:val="1F0C74C8"/>
    <w:rsid w:val="1F3802BD"/>
    <w:rsid w:val="1F505606"/>
    <w:rsid w:val="1F5E6095"/>
    <w:rsid w:val="1FA3656E"/>
    <w:rsid w:val="1FD73859"/>
    <w:rsid w:val="1FF8316D"/>
    <w:rsid w:val="204F58BE"/>
    <w:rsid w:val="205253AE"/>
    <w:rsid w:val="20621A95"/>
    <w:rsid w:val="208E288A"/>
    <w:rsid w:val="20B302B7"/>
    <w:rsid w:val="20BB11A5"/>
    <w:rsid w:val="20C04A0E"/>
    <w:rsid w:val="20D519CB"/>
    <w:rsid w:val="20DD2ECA"/>
    <w:rsid w:val="21130D5E"/>
    <w:rsid w:val="21DE6040"/>
    <w:rsid w:val="21DE79D4"/>
    <w:rsid w:val="21E1450B"/>
    <w:rsid w:val="21EB7868"/>
    <w:rsid w:val="21ED1206"/>
    <w:rsid w:val="22095287"/>
    <w:rsid w:val="220D3F37"/>
    <w:rsid w:val="221152CA"/>
    <w:rsid w:val="221C055F"/>
    <w:rsid w:val="22280FC9"/>
    <w:rsid w:val="224979A9"/>
    <w:rsid w:val="225A73C1"/>
    <w:rsid w:val="225C3529"/>
    <w:rsid w:val="22D0336F"/>
    <w:rsid w:val="22E90452"/>
    <w:rsid w:val="22F92EA7"/>
    <w:rsid w:val="235B2DA4"/>
    <w:rsid w:val="239A1BA6"/>
    <w:rsid w:val="23EE3640"/>
    <w:rsid w:val="23F725D0"/>
    <w:rsid w:val="2421271B"/>
    <w:rsid w:val="245E53C3"/>
    <w:rsid w:val="247F5B01"/>
    <w:rsid w:val="24AF0882"/>
    <w:rsid w:val="24D27A98"/>
    <w:rsid w:val="25551BC9"/>
    <w:rsid w:val="25A0388E"/>
    <w:rsid w:val="25D4717E"/>
    <w:rsid w:val="26202C93"/>
    <w:rsid w:val="264C3CB0"/>
    <w:rsid w:val="265775F2"/>
    <w:rsid w:val="266A026F"/>
    <w:rsid w:val="26AF633F"/>
    <w:rsid w:val="26EF7E56"/>
    <w:rsid w:val="26F50A4F"/>
    <w:rsid w:val="2744257A"/>
    <w:rsid w:val="27484AEA"/>
    <w:rsid w:val="27486A51"/>
    <w:rsid w:val="27584D0F"/>
    <w:rsid w:val="277773B2"/>
    <w:rsid w:val="27D72D69"/>
    <w:rsid w:val="28001741"/>
    <w:rsid w:val="281210C5"/>
    <w:rsid w:val="284127AF"/>
    <w:rsid w:val="28562891"/>
    <w:rsid w:val="286C6E98"/>
    <w:rsid w:val="28BE7072"/>
    <w:rsid w:val="28DE370E"/>
    <w:rsid w:val="28E676DC"/>
    <w:rsid w:val="290D1F44"/>
    <w:rsid w:val="29124D6E"/>
    <w:rsid w:val="29416C3C"/>
    <w:rsid w:val="29420B46"/>
    <w:rsid w:val="29477A7A"/>
    <w:rsid w:val="29581C87"/>
    <w:rsid w:val="296072FA"/>
    <w:rsid w:val="297D16EE"/>
    <w:rsid w:val="29961D73"/>
    <w:rsid w:val="29992827"/>
    <w:rsid w:val="29BD6562"/>
    <w:rsid w:val="29CB58F0"/>
    <w:rsid w:val="29DF0131"/>
    <w:rsid w:val="29F35C36"/>
    <w:rsid w:val="2A1B0CCC"/>
    <w:rsid w:val="2A375D41"/>
    <w:rsid w:val="2A487B51"/>
    <w:rsid w:val="2A562521"/>
    <w:rsid w:val="2AC31A97"/>
    <w:rsid w:val="2AFA4B40"/>
    <w:rsid w:val="2AFA6CE1"/>
    <w:rsid w:val="2B1B11BE"/>
    <w:rsid w:val="2B7B4934"/>
    <w:rsid w:val="2B870602"/>
    <w:rsid w:val="2BAC1E16"/>
    <w:rsid w:val="2BAE1354"/>
    <w:rsid w:val="2BFF706A"/>
    <w:rsid w:val="2C2E6CCF"/>
    <w:rsid w:val="2C3369BB"/>
    <w:rsid w:val="2C453755"/>
    <w:rsid w:val="2C536736"/>
    <w:rsid w:val="2C9973F8"/>
    <w:rsid w:val="2CB03B88"/>
    <w:rsid w:val="2D2B215C"/>
    <w:rsid w:val="2D2E0A6A"/>
    <w:rsid w:val="2D5409B8"/>
    <w:rsid w:val="2D940DB4"/>
    <w:rsid w:val="2DAF51E8"/>
    <w:rsid w:val="2DF90FEB"/>
    <w:rsid w:val="2E086552"/>
    <w:rsid w:val="2E26466C"/>
    <w:rsid w:val="2E441B11"/>
    <w:rsid w:val="2E44718D"/>
    <w:rsid w:val="2E7110F5"/>
    <w:rsid w:val="2E777D30"/>
    <w:rsid w:val="2ECD03AF"/>
    <w:rsid w:val="2F232D99"/>
    <w:rsid w:val="2F4964B7"/>
    <w:rsid w:val="2F5702EB"/>
    <w:rsid w:val="2F920605"/>
    <w:rsid w:val="2FDD2BAB"/>
    <w:rsid w:val="2FE63BE9"/>
    <w:rsid w:val="30135355"/>
    <w:rsid w:val="301B756B"/>
    <w:rsid w:val="303A3765"/>
    <w:rsid w:val="305736C6"/>
    <w:rsid w:val="30576DE8"/>
    <w:rsid w:val="30707114"/>
    <w:rsid w:val="307E0ABC"/>
    <w:rsid w:val="307F7AFA"/>
    <w:rsid w:val="309B7A48"/>
    <w:rsid w:val="30A74BC1"/>
    <w:rsid w:val="30AB0964"/>
    <w:rsid w:val="30BA3228"/>
    <w:rsid w:val="30DB6CFA"/>
    <w:rsid w:val="30E570E0"/>
    <w:rsid w:val="30F5600E"/>
    <w:rsid w:val="30F6566A"/>
    <w:rsid w:val="31A82723"/>
    <w:rsid w:val="31AF2660"/>
    <w:rsid w:val="31D60AC4"/>
    <w:rsid w:val="320D2FDB"/>
    <w:rsid w:val="322A5242"/>
    <w:rsid w:val="3276317E"/>
    <w:rsid w:val="32B94127"/>
    <w:rsid w:val="32BC47BB"/>
    <w:rsid w:val="32E21E22"/>
    <w:rsid w:val="33092244"/>
    <w:rsid w:val="331A7FAD"/>
    <w:rsid w:val="33484942"/>
    <w:rsid w:val="334B378A"/>
    <w:rsid w:val="33BC3083"/>
    <w:rsid w:val="341056AE"/>
    <w:rsid w:val="348326C4"/>
    <w:rsid w:val="351C25FA"/>
    <w:rsid w:val="3574714E"/>
    <w:rsid w:val="357838DE"/>
    <w:rsid w:val="35872826"/>
    <w:rsid w:val="35A9059B"/>
    <w:rsid w:val="35AC0F1C"/>
    <w:rsid w:val="35E80367"/>
    <w:rsid w:val="35EA0DDB"/>
    <w:rsid w:val="35F60FC8"/>
    <w:rsid w:val="36055FB1"/>
    <w:rsid w:val="361B0413"/>
    <w:rsid w:val="365B4B65"/>
    <w:rsid w:val="367E2601"/>
    <w:rsid w:val="36D30B9F"/>
    <w:rsid w:val="36D44B1E"/>
    <w:rsid w:val="36D87F64"/>
    <w:rsid w:val="36FA581D"/>
    <w:rsid w:val="372B3785"/>
    <w:rsid w:val="372D5FD0"/>
    <w:rsid w:val="37461371"/>
    <w:rsid w:val="37533157"/>
    <w:rsid w:val="378B4569"/>
    <w:rsid w:val="37983B97"/>
    <w:rsid w:val="37BF1123"/>
    <w:rsid w:val="37BF4B9C"/>
    <w:rsid w:val="380B6635"/>
    <w:rsid w:val="381C6576"/>
    <w:rsid w:val="38244D74"/>
    <w:rsid w:val="383E03FD"/>
    <w:rsid w:val="38402CAF"/>
    <w:rsid w:val="385D21B2"/>
    <w:rsid w:val="385E2E31"/>
    <w:rsid w:val="38856620"/>
    <w:rsid w:val="38E06631"/>
    <w:rsid w:val="397D4DF2"/>
    <w:rsid w:val="39A14A8C"/>
    <w:rsid w:val="39A51FB7"/>
    <w:rsid w:val="39CE38A0"/>
    <w:rsid w:val="3A335C4A"/>
    <w:rsid w:val="3A4E5CD0"/>
    <w:rsid w:val="3A932306"/>
    <w:rsid w:val="3A9B19D4"/>
    <w:rsid w:val="3AA50AA5"/>
    <w:rsid w:val="3AED7D56"/>
    <w:rsid w:val="3AFF323F"/>
    <w:rsid w:val="3B037579"/>
    <w:rsid w:val="3B1B48C3"/>
    <w:rsid w:val="3B3C56A0"/>
    <w:rsid w:val="3B4A51A8"/>
    <w:rsid w:val="3B4F6072"/>
    <w:rsid w:val="3B523475"/>
    <w:rsid w:val="3B627E9D"/>
    <w:rsid w:val="3B676A8B"/>
    <w:rsid w:val="3B8F3CAA"/>
    <w:rsid w:val="3B9D25DA"/>
    <w:rsid w:val="3BC211E2"/>
    <w:rsid w:val="3BC5272B"/>
    <w:rsid w:val="3BF23CE7"/>
    <w:rsid w:val="3BFE2889"/>
    <w:rsid w:val="3C5E4033"/>
    <w:rsid w:val="3C65629E"/>
    <w:rsid w:val="3C756FCB"/>
    <w:rsid w:val="3C7A05B9"/>
    <w:rsid w:val="3C835B1D"/>
    <w:rsid w:val="3C844C04"/>
    <w:rsid w:val="3CAA05F4"/>
    <w:rsid w:val="3CB638C7"/>
    <w:rsid w:val="3CB704EE"/>
    <w:rsid w:val="3CC176EC"/>
    <w:rsid w:val="3CDA6878"/>
    <w:rsid w:val="3CF33D49"/>
    <w:rsid w:val="3CF7166D"/>
    <w:rsid w:val="3CFF6AF3"/>
    <w:rsid w:val="3D4249FF"/>
    <w:rsid w:val="3D527AF5"/>
    <w:rsid w:val="3DD21A5C"/>
    <w:rsid w:val="3DE9514C"/>
    <w:rsid w:val="3DEF6388"/>
    <w:rsid w:val="3E304603"/>
    <w:rsid w:val="3E410EBD"/>
    <w:rsid w:val="3E483849"/>
    <w:rsid w:val="3E571BF5"/>
    <w:rsid w:val="3EAB2402"/>
    <w:rsid w:val="3EB3014F"/>
    <w:rsid w:val="3EB968CD"/>
    <w:rsid w:val="3ED876F1"/>
    <w:rsid w:val="3F9A411B"/>
    <w:rsid w:val="3FCC2FD1"/>
    <w:rsid w:val="3FF102E8"/>
    <w:rsid w:val="403311B0"/>
    <w:rsid w:val="404E1382"/>
    <w:rsid w:val="40842F0A"/>
    <w:rsid w:val="408E3D89"/>
    <w:rsid w:val="4090365D"/>
    <w:rsid w:val="40BA4B7E"/>
    <w:rsid w:val="40D30C94"/>
    <w:rsid w:val="40E63BC5"/>
    <w:rsid w:val="412B29A8"/>
    <w:rsid w:val="413D1A37"/>
    <w:rsid w:val="41442400"/>
    <w:rsid w:val="41461F1A"/>
    <w:rsid w:val="41525EBB"/>
    <w:rsid w:val="41764A2B"/>
    <w:rsid w:val="419E624E"/>
    <w:rsid w:val="41A76EB0"/>
    <w:rsid w:val="41D8350E"/>
    <w:rsid w:val="41EC0D67"/>
    <w:rsid w:val="426426E1"/>
    <w:rsid w:val="426E5FEC"/>
    <w:rsid w:val="429A07C3"/>
    <w:rsid w:val="42BE0955"/>
    <w:rsid w:val="42D921E0"/>
    <w:rsid w:val="43035753"/>
    <w:rsid w:val="431F680D"/>
    <w:rsid w:val="434A3F97"/>
    <w:rsid w:val="436F233C"/>
    <w:rsid w:val="441D7456"/>
    <w:rsid w:val="444066D4"/>
    <w:rsid w:val="446B0669"/>
    <w:rsid w:val="447A4D50"/>
    <w:rsid w:val="448E7DF1"/>
    <w:rsid w:val="44B57B36"/>
    <w:rsid w:val="44BF6C07"/>
    <w:rsid w:val="44FE459A"/>
    <w:rsid w:val="450B16DB"/>
    <w:rsid w:val="4516341F"/>
    <w:rsid w:val="454B4DFF"/>
    <w:rsid w:val="454C55F1"/>
    <w:rsid w:val="455F7B5C"/>
    <w:rsid w:val="45667082"/>
    <w:rsid w:val="458138DD"/>
    <w:rsid w:val="45A75961"/>
    <w:rsid w:val="45F26630"/>
    <w:rsid w:val="46004114"/>
    <w:rsid w:val="463131AB"/>
    <w:rsid w:val="46345C9D"/>
    <w:rsid w:val="466960D4"/>
    <w:rsid w:val="466B6545"/>
    <w:rsid w:val="468A3E08"/>
    <w:rsid w:val="469D2CCA"/>
    <w:rsid w:val="46D63D94"/>
    <w:rsid w:val="46EE732F"/>
    <w:rsid w:val="47022DDB"/>
    <w:rsid w:val="47121270"/>
    <w:rsid w:val="4717222D"/>
    <w:rsid w:val="47234CFB"/>
    <w:rsid w:val="47285F3F"/>
    <w:rsid w:val="47370CD6"/>
    <w:rsid w:val="47746B34"/>
    <w:rsid w:val="47AA6B90"/>
    <w:rsid w:val="47E037C5"/>
    <w:rsid w:val="47F70466"/>
    <w:rsid w:val="48052B82"/>
    <w:rsid w:val="48102E25"/>
    <w:rsid w:val="4812457C"/>
    <w:rsid w:val="48214F16"/>
    <w:rsid w:val="482C23F3"/>
    <w:rsid w:val="482F7BFF"/>
    <w:rsid w:val="483B2A48"/>
    <w:rsid w:val="48DB4BFB"/>
    <w:rsid w:val="494A344A"/>
    <w:rsid w:val="49520049"/>
    <w:rsid w:val="49522B6D"/>
    <w:rsid w:val="49544F98"/>
    <w:rsid w:val="496025F6"/>
    <w:rsid w:val="49A87C69"/>
    <w:rsid w:val="4A1277D9"/>
    <w:rsid w:val="4A2A68D0"/>
    <w:rsid w:val="4A527BD5"/>
    <w:rsid w:val="4A7531D6"/>
    <w:rsid w:val="4A867BE5"/>
    <w:rsid w:val="4A8D15A5"/>
    <w:rsid w:val="4B057D75"/>
    <w:rsid w:val="4B165404"/>
    <w:rsid w:val="4B1D01E3"/>
    <w:rsid w:val="4B341CE6"/>
    <w:rsid w:val="4B38326F"/>
    <w:rsid w:val="4B3F6DC9"/>
    <w:rsid w:val="4BA23901"/>
    <w:rsid w:val="4BB226CF"/>
    <w:rsid w:val="4BC90725"/>
    <w:rsid w:val="4BD765E4"/>
    <w:rsid w:val="4C3C5B7B"/>
    <w:rsid w:val="4CAF749A"/>
    <w:rsid w:val="4CC76658"/>
    <w:rsid w:val="4CDF6259"/>
    <w:rsid w:val="4CE24CB6"/>
    <w:rsid w:val="4D162575"/>
    <w:rsid w:val="4D29462F"/>
    <w:rsid w:val="4D337AB8"/>
    <w:rsid w:val="4D3E17F5"/>
    <w:rsid w:val="4D4E28D6"/>
    <w:rsid w:val="4D6D36A4"/>
    <w:rsid w:val="4D891815"/>
    <w:rsid w:val="4DC83227"/>
    <w:rsid w:val="4DD347B4"/>
    <w:rsid w:val="4DEF40B9"/>
    <w:rsid w:val="4E7168CB"/>
    <w:rsid w:val="4E8A706E"/>
    <w:rsid w:val="4F0B26AA"/>
    <w:rsid w:val="4F3F2E1E"/>
    <w:rsid w:val="4F505DEA"/>
    <w:rsid w:val="4F732300"/>
    <w:rsid w:val="4F932C84"/>
    <w:rsid w:val="4F9C50E5"/>
    <w:rsid w:val="4FAC4FDD"/>
    <w:rsid w:val="4FDA433C"/>
    <w:rsid w:val="4FEB1C3C"/>
    <w:rsid w:val="4FF30377"/>
    <w:rsid w:val="50030775"/>
    <w:rsid w:val="503B403F"/>
    <w:rsid w:val="506F3094"/>
    <w:rsid w:val="50795EBC"/>
    <w:rsid w:val="50B11AF9"/>
    <w:rsid w:val="50D4180D"/>
    <w:rsid w:val="50D91050"/>
    <w:rsid w:val="50E1774A"/>
    <w:rsid w:val="50EB4750"/>
    <w:rsid w:val="50F223AC"/>
    <w:rsid w:val="5124794A"/>
    <w:rsid w:val="512C4CD3"/>
    <w:rsid w:val="51385D77"/>
    <w:rsid w:val="517E3E5E"/>
    <w:rsid w:val="51D83FB9"/>
    <w:rsid w:val="52020133"/>
    <w:rsid w:val="523F4EE3"/>
    <w:rsid w:val="52541382"/>
    <w:rsid w:val="5272689E"/>
    <w:rsid w:val="52BF051D"/>
    <w:rsid w:val="52FC5658"/>
    <w:rsid w:val="531D5A98"/>
    <w:rsid w:val="534327B1"/>
    <w:rsid w:val="535B35DE"/>
    <w:rsid w:val="53D31D87"/>
    <w:rsid w:val="53DA3854"/>
    <w:rsid w:val="541067D7"/>
    <w:rsid w:val="54694499"/>
    <w:rsid w:val="549332C4"/>
    <w:rsid w:val="54B34C03"/>
    <w:rsid w:val="54DD3215"/>
    <w:rsid w:val="550448B0"/>
    <w:rsid w:val="550B5550"/>
    <w:rsid w:val="553828BD"/>
    <w:rsid w:val="55496A0F"/>
    <w:rsid w:val="55BA1450"/>
    <w:rsid w:val="55C027DF"/>
    <w:rsid w:val="55F41EB4"/>
    <w:rsid w:val="561D378D"/>
    <w:rsid w:val="56363C1B"/>
    <w:rsid w:val="564B02FA"/>
    <w:rsid w:val="567D313C"/>
    <w:rsid w:val="570454D5"/>
    <w:rsid w:val="574A2841"/>
    <w:rsid w:val="57631674"/>
    <w:rsid w:val="57896598"/>
    <w:rsid w:val="57AB2DF2"/>
    <w:rsid w:val="57B65C47"/>
    <w:rsid w:val="57C813FC"/>
    <w:rsid w:val="57C816E7"/>
    <w:rsid w:val="57EA58F1"/>
    <w:rsid w:val="57ED1672"/>
    <w:rsid w:val="57EE47D9"/>
    <w:rsid w:val="58070251"/>
    <w:rsid w:val="58730342"/>
    <w:rsid w:val="58747956"/>
    <w:rsid w:val="587D6765"/>
    <w:rsid w:val="587E54A5"/>
    <w:rsid w:val="58FB441B"/>
    <w:rsid w:val="5900038B"/>
    <w:rsid w:val="593B5C71"/>
    <w:rsid w:val="594A3C46"/>
    <w:rsid w:val="5952179F"/>
    <w:rsid w:val="595461AF"/>
    <w:rsid w:val="596010F1"/>
    <w:rsid w:val="59631FEE"/>
    <w:rsid w:val="596439B2"/>
    <w:rsid w:val="597A43B9"/>
    <w:rsid w:val="59A13921"/>
    <w:rsid w:val="59AD1771"/>
    <w:rsid w:val="59F06CC2"/>
    <w:rsid w:val="5A055466"/>
    <w:rsid w:val="5A13192B"/>
    <w:rsid w:val="5A5B0A00"/>
    <w:rsid w:val="5A63421E"/>
    <w:rsid w:val="5A821E11"/>
    <w:rsid w:val="5AC470B7"/>
    <w:rsid w:val="5AC71F19"/>
    <w:rsid w:val="5ACA62B5"/>
    <w:rsid w:val="5AD45511"/>
    <w:rsid w:val="5ADB38CB"/>
    <w:rsid w:val="5AE95636"/>
    <w:rsid w:val="5AF04D43"/>
    <w:rsid w:val="5AF23025"/>
    <w:rsid w:val="5B062A42"/>
    <w:rsid w:val="5B2353A2"/>
    <w:rsid w:val="5B314A5A"/>
    <w:rsid w:val="5B4E48DD"/>
    <w:rsid w:val="5B4F263B"/>
    <w:rsid w:val="5B8F3186"/>
    <w:rsid w:val="5BA31793"/>
    <w:rsid w:val="5BB12BF2"/>
    <w:rsid w:val="5BF9175D"/>
    <w:rsid w:val="5C006A47"/>
    <w:rsid w:val="5C470FA3"/>
    <w:rsid w:val="5C4A4BB0"/>
    <w:rsid w:val="5C4D246E"/>
    <w:rsid w:val="5C8A4190"/>
    <w:rsid w:val="5CB50403"/>
    <w:rsid w:val="5CB87248"/>
    <w:rsid w:val="5D1272B3"/>
    <w:rsid w:val="5D437F7D"/>
    <w:rsid w:val="5D5850AB"/>
    <w:rsid w:val="5D8B6B1F"/>
    <w:rsid w:val="5D963C63"/>
    <w:rsid w:val="5DE11544"/>
    <w:rsid w:val="5E105508"/>
    <w:rsid w:val="5E1F5DFE"/>
    <w:rsid w:val="5ED6097D"/>
    <w:rsid w:val="5EE36949"/>
    <w:rsid w:val="5EF123E7"/>
    <w:rsid w:val="5EF15762"/>
    <w:rsid w:val="5F36042E"/>
    <w:rsid w:val="5F4C6694"/>
    <w:rsid w:val="5F531FCE"/>
    <w:rsid w:val="5F536535"/>
    <w:rsid w:val="5F5E109E"/>
    <w:rsid w:val="5F6540D0"/>
    <w:rsid w:val="5F814D8D"/>
    <w:rsid w:val="5F9349F3"/>
    <w:rsid w:val="5FA65E4B"/>
    <w:rsid w:val="5FB32A6C"/>
    <w:rsid w:val="5FD10A67"/>
    <w:rsid w:val="5FD44EBD"/>
    <w:rsid w:val="603911C4"/>
    <w:rsid w:val="604A43A0"/>
    <w:rsid w:val="60681DE6"/>
    <w:rsid w:val="60AE3C5C"/>
    <w:rsid w:val="61265654"/>
    <w:rsid w:val="6147188F"/>
    <w:rsid w:val="61747F7F"/>
    <w:rsid w:val="617F52FC"/>
    <w:rsid w:val="61812E22"/>
    <w:rsid w:val="618E6D3B"/>
    <w:rsid w:val="61CC56D8"/>
    <w:rsid w:val="61F21FBB"/>
    <w:rsid w:val="621C011D"/>
    <w:rsid w:val="622B7232"/>
    <w:rsid w:val="62332AEA"/>
    <w:rsid w:val="62373E29"/>
    <w:rsid w:val="624D4504"/>
    <w:rsid w:val="628E67D5"/>
    <w:rsid w:val="62CF2FBC"/>
    <w:rsid w:val="62DD49EA"/>
    <w:rsid w:val="631E2B3E"/>
    <w:rsid w:val="6331362E"/>
    <w:rsid w:val="633E6E7E"/>
    <w:rsid w:val="63471E49"/>
    <w:rsid w:val="63925DCB"/>
    <w:rsid w:val="63A4104A"/>
    <w:rsid w:val="63DA3640"/>
    <w:rsid w:val="63FA72E8"/>
    <w:rsid w:val="63FC41B5"/>
    <w:rsid w:val="64260D50"/>
    <w:rsid w:val="6478540D"/>
    <w:rsid w:val="64CE166F"/>
    <w:rsid w:val="64E64BB9"/>
    <w:rsid w:val="652E506F"/>
    <w:rsid w:val="65501489"/>
    <w:rsid w:val="65764C68"/>
    <w:rsid w:val="657A02B4"/>
    <w:rsid w:val="659A6BA8"/>
    <w:rsid w:val="65AF1064"/>
    <w:rsid w:val="65CC5CFA"/>
    <w:rsid w:val="65F41B5F"/>
    <w:rsid w:val="660364FC"/>
    <w:rsid w:val="661070A1"/>
    <w:rsid w:val="664D3C1B"/>
    <w:rsid w:val="673426E5"/>
    <w:rsid w:val="673C134E"/>
    <w:rsid w:val="67621CBB"/>
    <w:rsid w:val="676C0174"/>
    <w:rsid w:val="677E1BB2"/>
    <w:rsid w:val="679413D5"/>
    <w:rsid w:val="67A12167"/>
    <w:rsid w:val="67E90BBA"/>
    <w:rsid w:val="68442DFB"/>
    <w:rsid w:val="687A6B13"/>
    <w:rsid w:val="68BC5088"/>
    <w:rsid w:val="68BE2BAE"/>
    <w:rsid w:val="69046B0D"/>
    <w:rsid w:val="69057C39"/>
    <w:rsid w:val="69366FB6"/>
    <w:rsid w:val="69475668"/>
    <w:rsid w:val="695D4175"/>
    <w:rsid w:val="696A4AE4"/>
    <w:rsid w:val="69714D18"/>
    <w:rsid w:val="69845BA5"/>
    <w:rsid w:val="69931D97"/>
    <w:rsid w:val="69BA15C7"/>
    <w:rsid w:val="6A357B03"/>
    <w:rsid w:val="6A3C1223"/>
    <w:rsid w:val="6A622B92"/>
    <w:rsid w:val="6A6634FD"/>
    <w:rsid w:val="6A6D6639"/>
    <w:rsid w:val="6A6E77C4"/>
    <w:rsid w:val="6A86594D"/>
    <w:rsid w:val="6AE02E8A"/>
    <w:rsid w:val="6AEA1A38"/>
    <w:rsid w:val="6B472799"/>
    <w:rsid w:val="6B480229"/>
    <w:rsid w:val="6B484C3E"/>
    <w:rsid w:val="6BA77061"/>
    <w:rsid w:val="6BD12C1C"/>
    <w:rsid w:val="6BDB1979"/>
    <w:rsid w:val="6BE84243"/>
    <w:rsid w:val="6BEC7A32"/>
    <w:rsid w:val="6BF377E9"/>
    <w:rsid w:val="6C1D5E3D"/>
    <w:rsid w:val="6C276E42"/>
    <w:rsid w:val="6C384A25"/>
    <w:rsid w:val="6C3F1435"/>
    <w:rsid w:val="6C4F0AAB"/>
    <w:rsid w:val="6C58731C"/>
    <w:rsid w:val="6CA068D4"/>
    <w:rsid w:val="6CA744DE"/>
    <w:rsid w:val="6CB024E5"/>
    <w:rsid w:val="6CC30197"/>
    <w:rsid w:val="6CDA0891"/>
    <w:rsid w:val="6CE82EAD"/>
    <w:rsid w:val="6CF21078"/>
    <w:rsid w:val="6D070820"/>
    <w:rsid w:val="6D0B0FEC"/>
    <w:rsid w:val="6D140385"/>
    <w:rsid w:val="6D3D10EF"/>
    <w:rsid w:val="6D567859"/>
    <w:rsid w:val="6DA21ABD"/>
    <w:rsid w:val="6DC36570"/>
    <w:rsid w:val="6DC634D1"/>
    <w:rsid w:val="6DDE7F68"/>
    <w:rsid w:val="6DEC3D19"/>
    <w:rsid w:val="6DF85D28"/>
    <w:rsid w:val="6EAE16EA"/>
    <w:rsid w:val="6EBC7B8F"/>
    <w:rsid w:val="6F7C517B"/>
    <w:rsid w:val="6FC52A74"/>
    <w:rsid w:val="6FFC7F82"/>
    <w:rsid w:val="704F058F"/>
    <w:rsid w:val="70755745"/>
    <w:rsid w:val="70CB230C"/>
    <w:rsid w:val="70D94705"/>
    <w:rsid w:val="70FA6B7B"/>
    <w:rsid w:val="70FE448F"/>
    <w:rsid w:val="710A4C45"/>
    <w:rsid w:val="71381023"/>
    <w:rsid w:val="71A32941"/>
    <w:rsid w:val="71B022EE"/>
    <w:rsid w:val="71C5287D"/>
    <w:rsid w:val="72184E0E"/>
    <w:rsid w:val="72184E79"/>
    <w:rsid w:val="7231619E"/>
    <w:rsid w:val="726447C6"/>
    <w:rsid w:val="72C2329A"/>
    <w:rsid w:val="72D509D3"/>
    <w:rsid w:val="72DC5216"/>
    <w:rsid w:val="72DC7494"/>
    <w:rsid w:val="72DF3E4C"/>
    <w:rsid w:val="7357013F"/>
    <w:rsid w:val="73B9644B"/>
    <w:rsid w:val="73D239B1"/>
    <w:rsid w:val="73DE7507"/>
    <w:rsid w:val="7407627D"/>
    <w:rsid w:val="742529DB"/>
    <w:rsid w:val="7476108D"/>
    <w:rsid w:val="7494602B"/>
    <w:rsid w:val="749A6048"/>
    <w:rsid w:val="74B65081"/>
    <w:rsid w:val="75614247"/>
    <w:rsid w:val="75842A89"/>
    <w:rsid w:val="75B4336E"/>
    <w:rsid w:val="75E20A21"/>
    <w:rsid w:val="75EC2C69"/>
    <w:rsid w:val="762A53DF"/>
    <w:rsid w:val="7634625D"/>
    <w:rsid w:val="764D37C3"/>
    <w:rsid w:val="76515A45"/>
    <w:rsid w:val="76530C47"/>
    <w:rsid w:val="76645971"/>
    <w:rsid w:val="768F7938"/>
    <w:rsid w:val="76D07E61"/>
    <w:rsid w:val="76E13C50"/>
    <w:rsid w:val="76E83563"/>
    <w:rsid w:val="76F66F20"/>
    <w:rsid w:val="76F94EB0"/>
    <w:rsid w:val="771266B0"/>
    <w:rsid w:val="77B749F4"/>
    <w:rsid w:val="77B85EE8"/>
    <w:rsid w:val="77C33D3D"/>
    <w:rsid w:val="781C51FB"/>
    <w:rsid w:val="782D565A"/>
    <w:rsid w:val="78796056"/>
    <w:rsid w:val="788A6608"/>
    <w:rsid w:val="78977DD6"/>
    <w:rsid w:val="78D930EC"/>
    <w:rsid w:val="78DD0E2E"/>
    <w:rsid w:val="790C2D62"/>
    <w:rsid w:val="792E168A"/>
    <w:rsid w:val="797F3361"/>
    <w:rsid w:val="79BA6503"/>
    <w:rsid w:val="79CF798A"/>
    <w:rsid w:val="79D7762B"/>
    <w:rsid w:val="7A505630"/>
    <w:rsid w:val="7A665F33"/>
    <w:rsid w:val="7A7441C6"/>
    <w:rsid w:val="7A820FE2"/>
    <w:rsid w:val="7A861051"/>
    <w:rsid w:val="7A9C5C09"/>
    <w:rsid w:val="7AB61937"/>
    <w:rsid w:val="7AC57DCC"/>
    <w:rsid w:val="7AD95625"/>
    <w:rsid w:val="7AF03942"/>
    <w:rsid w:val="7B0C0F79"/>
    <w:rsid w:val="7B130B37"/>
    <w:rsid w:val="7B1936C4"/>
    <w:rsid w:val="7B58707B"/>
    <w:rsid w:val="7B971768"/>
    <w:rsid w:val="7B9A6B62"/>
    <w:rsid w:val="7BCD097D"/>
    <w:rsid w:val="7BD45209"/>
    <w:rsid w:val="7C2E374F"/>
    <w:rsid w:val="7C63164A"/>
    <w:rsid w:val="7C6B49A3"/>
    <w:rsid w:val="7C933BEE"/>
    <w:rsid w:val="7CCD740C"/>
    <w:rsid w:val="7CCE274E"/>
    <w:rsid w:val="7CDB7B03"/>
    <w:rsid w:val="7CF66946"/>
    <w:rsid w:val="7D390712"/>
    <w:rsid w:val="7D3A2102"/>
    <w:rsid w:val="7D456FA2"/>
    <w:rsid w:val="7D4D43F3"/>
    <w:rsid w:val="7D5F4F94"/>
    <w:rsid w:val="7DAE7CF4"/>
    <w:rsid w:val="7DD547CA"/>
    <w:rsid w:val="7DF82266"/>
    <w:rsid w:val="7E1370A0"/>
    <w:rsid w:val="7E16443C"/>
    <w:rsid w:val="7E2E6163"/>
    <w:rsid w:val="7E434750"/>
    <w:rsid w:val="7E701182"/>
    <w:rsid w:val="7E786F03"/>
    <w:rsid w:val="7E825B96"/>
    <w:rsid w:val="7EAF4D12"/>
    <w:rsid w:val="7EBB39C0"/>
    <w:rsid w:val="7EFB200E"/>
    <w:rsid w:val="7F054BD0"/>
    <w:rsid w:val="7F0C6276"/>
    <w:rsid w:val="7F2B127E"/>
    <w:rsid w:val="7F5D6825"/>
    <w:rsid w:val="7F9F0E2D"/>
    <w:rsid w:val="7FBB179D"/>
    <w:rsid w:val="7FCA19E0"/>
    <w:rsid w:val="7FDD5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9"/>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b/>
      <w:kern w:val="44"/>
      <w:sz w:val="48"/>
      <w:szCs w:val="48"/>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ind w:left="380"/>
    </w:pPr>
  </w:style>
  <w:style w:type="paragraph" w:styleId="5">
    <w:name w:val="Body Text Indent"/>
    <w:basedOn w:val="1"/>
    <w:qFormat/>
    <w:uiPriority w:val="0"/>
    <w:pPr>
      <w:ind w:firstLine="444"/>
    </w:pPr>
    <w:rPr>
      <w:b/>
      <w:sz w:val="24"/>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Title"/>
    <w:basedOn w:val="1"/>
    <w:qFormat/>
    <w:uiPriority w:val="10"/>
    <w:pPr>
      <w:spacing w:before="240" w:after="60"/>
      <w:jc w:val="center"/>
      <w:outlineLvl w:val="0"/>
    </w:pPr>
    <w:rPr>
      <w:rFonts w:ascii="Arial" w:hAnsi="Arial"/>
      <w:b/>
      <w:sz w:val="32"/>
    </w:rPr>
  </w:style>
  <w:style w:type="paragraph" w:styleId="10">
    <w:name w:val="Body Text First Indent 2"/>
    <w:basedOn w:val="5"/>
    <w:next w:val="1"/>
    <w:unhideWhenUsed/>
    <w:qFormat/>
    <w:uiPriority w:val="99"/>
    <w:pPr>
      <w:spacing w:after="120"/>
      <w:ind w:left="420" w:leftChars="200" w:firstLine="420" w:firstLineChars="200"/>
    </w:pPr>
    <w:rPr>
      <w:b w:val="0"/>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bCs/>
    </w:rPr>
  </w:style>
  <w:style w:type="character" w:styleId="15">
    <w:name w:val="FollowedHyperlink"/>
    <w:basedOn w:val="13"/>
    <w:qFormat/>
    <w:uiPriority w:val="0"/>
    <w:rPr>
      <w:color w:val="444444"/>
      <w:u w:val="none"/>
    </w:rPr>
  </w:style>
  <w:style w:type="character" w:styleId="16">
    <w:name w:val="Emphasis"/>
    <w:basedOn w:val="13"/>
    <w:qFormat/>
    <w:uiPriority w:val="0"/>
    <w:rPr>
      <w:rFonts w:hint="eastAsia" w:ascii="微软雅黑" w:hAnsi="微软雅黑" w:eastAsia="微软雅黑" w:cs="微软雅黑"/>
    </w:rPr>
  </w:style>
  <w:style w:type="character" w:styleId="17">
    <w:name w:val="Hyperlink"/>
    <w:basedOn w:val="13"/>
    <w:qFormat/>
    <w:uiPriority w:val="0"/>
    <w:rPr>
      <w:color w:val="444444"/>
      <w:u w:val="none"/>
    </w:rPr>
  </w:style>
  <w:style w:type="paragraph" w:customStyle="1" w:styleId="18">
    <w:name w:val="Default"/>
    <w:basedOn w:val="19"/>
    <w:next w:val="20"/>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9">
    <w:name w:val="纯文本1"/>
    <w:basedOn w:val="1"/>
    <w:qFormat/>
    <w:uiPriority w:val="0"/>
    <w:pPr>
      <w:textAlignment w:val="baseline"/>
    </w:pPr>
    <w:rPr>
      <w:rFonts w:hAnsi="Courier New" w:cs="Times New Roman"/>
    </w:rPr>
  </w:style>
  <w:style w:type="paragraph" w:customStyle="1" w:styleId="20">
    <w:name w:val="正文1"/>
    <w:basedOn w:val="1"/>
    <w:qFormat/>
    <w:uiPriority w:val="0"/>
    <w:pPr>
      <w:adjustRightInd w:val="0"/>
      <w:spacing w:line="360" w:lineRule="atLeast"/>
      <w:jc w:val="left"/>
    </w:pPr>
    <w:rPr>
      <w:rFonts w:ascii="宋体"/>
      <w:kern w:val="0"/>
      <w:sz w:val="24"/>
    </w:rPr>
  </w:style>
  <w:style w:type="paragraph" w:customStyle="1" w:styleId="21">
    <w:name w:val="样式1"/>
    <w:basedOn w:val="1"/>
    <w:qFormat/>
    <w:uiPriority w:val="0"/>
    <w:rPr>
      <w:b/>
      <w:color w:val="538135"/>
      <w:sz w:val="28"/>
    </w:rPr>
  </w:style>
  <w:style w:type="character" w:customStyle="1" w:styleId="22">
    <w:name w:val="enter"/>
    <w:basedOn w:val="13"/>
    <w:qFormat/>
    <w:uiPriority w:val="0"/>
  </w:style>
  <w:style w:type="character" w:customStyle="1" w:styleId="23">
    <w:name w:val="realname"/>
    <w:basedOn w:val="13"/>
    <w:qFormat/>
    <w:uiPriority w:val="0"/>
  </w:style>
  <w:style w:type="character" w:customStyle="1" w:styleId="24">
    <w:name w:val="realname1"/>
    <w:basedOn w:val="13"/>
    <w:qFormat/>
    <w:uiPriority w:val="0"/>
  </w:style>
  <w:style w:type="character" w:customStyle="1" w:styleId="25">
    <w:name w:val="bwvip"/>
    <w:basedOn w:val="13"/>
    <w:qFormat/>
    <w:uiPriority w:val="0"/>
  </w:style>
  <w:style w:type="character" w:customStyle="1" w:styleId="26">
    <w:name w:val="vip"/>
    <w:basedOn w:val="13"/>
    <w:qFormat/>
    <w:uiPriority w:val="0"/>
  </w:style>
  <w:style w:type="character" w:customStyle="1" w:styleId="27">
    <w:name w:val="book"/>
    <w:basedOn w:val="13"/>
    <w:qFormat/>
    <w:uiPriority w:val="0"/>
  </w:style>
  <w:style w:type="character" w:customStyle="1" w:styleId="28">
    <w:name w:val="enter1"/>
    <w:basedOn w:val="13"/>
    <w:qFormat/>
    <w:uiPriority w:val="0"/>
  </w:style>
  <w:style w:type="paragraph" w:customStyle="1" w:styleId="29">
    <w:name w:val="Other|1"/>
    <w:basedOn w:val="1"/>
    <w:qFormat/>
    <w:uiPriority w:val="0"/>
    <w:pPr>
      <w:widowControl w:val="0"/>
      <w:shd w:val="clear" w:color="auto" w:fill="auto"/>
      <w:spacing w:line="434" w:lineRule="auto"/>
      <w:ind w:firstLine="400"/>
    </w:pPr>
    <w:rPr>
      <w:rFonts w:ascii="宋体" w:hAnsi="宋体" w:eastAsia="宋体" w:cs="宋体"/>
      <w:sz w:val="22"/>
      <w:szCs w:val="22"/>
      <w:u w:val="none"/>
      <w:shd w:val="clear" w:color="auto" w:fill="auto"/>
      <w:lang w:val="zh-TW" w:eastAsia="zh-TW" w:bidi="zh-TW"/>
    </w:rPr>
  </w:style>
  <w:style w:type="character" w:customStyle="1" w:styleId="30">
    <w:name w:val="font31"/>
    <w:basedOn w:val="13"/>
    <w:qFormat/>
    <w:uiPriority w:val="0"/>
    <w:rPr>
      <w:rFonts w:hint="default" w:ascii="等线" w:hAnsi="等线" w:eastAsia="等线" w:cs="等线"/>
      <w:color w:val="000000"/>
      <w:sz w:val="24"/>
      <w:szCs w:val="24"/>
      <w:u w:val="none"/>
    </w:rPr>
  </w:style>
  <w:style w:type="character" w:customStyle="1" w:styleId="31">
    <w:name w:val="font61"/>
    <w:basedOn w:val="13"/>
    <w:qFormat/>
    <w:uiPriority w:val="0"/>
    <w:rPr>
      <w:rFonts w:hint="eastAsia" w:ascii="宋体" w:hAnsi="宋体" w:eastAsia="宋体" w:cs="宋体"/>
      <w:color w:val="000000"/>
      <w:sz w:val="21"/>
      <w:szCs w:val="21"/>
      <w:u w:val="none"/>
    </w:rPr>
  </w:style>
  <w:style w:type="character" w:customStyle="1" w:styleId="32">
    <w:name w:val="font51"/>
    <w:basedOn w:val="13"/>
    <w:qFormat/>
    <w:uiPriority w:val="0"/>
    <w:rPr>
      <w:rFonts w:hint="eastAsia" w:ascii="宋体" w:hAnsi="宋体" w:eastAsia="宋体" w:cs="宋体"/>
      <w:color w:val="000000"/>
      <w:sz w:val="20"/>
      <w:szCs w:val="20"/>
      <w:u w:val="none"/>
    </w:rPr>
  </w:style>
  <w:style w:type="character" w:customStyle="1" w:styleId="33">
    <w:name w:val="font81"/>
    <w:basedOn w:val="13"/>
    <w:qFormat/>
    <w:uiPriority w:val="0"/>
    <w:rPr>
      <w:rFonts w:hint="default" w:ascii="Times New Roman" w:hAnsi="Times New Roman" w:cs="Times New Roman"/>
      <w:color w:val="000000"/>
      <w:sz w:val="21"/>
      <w:szCs w:val="21"/>
      <w:u w:val="none"/>
    </w:rPr>
  </w:style>
  <w:style w:type="paragraph" w:customStyle="1" w:styleId="34">
    <w:name w:val="Normal_9"/>
    <w:qFormat/>
    <w:uiPriority w:val="0"/>
    <w:pPr>
      <w:spacing w:before="120" w:after="240"/>
      <w:jc w:val="both"/>
    </w:pPr>
    <w:rPr>
      <w:rFonts w:ascii="Calibri" w:hAnsi="Calibri" w:eastAsia="Calibri" w:cs="Times New Roman"/>
      <w:sz w:val="22"/>
      <w:szCs w:val="22"/>
      <w:lang w:val="en-US" w:eastAsia="en-US"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rPr>
      <w:rFonts w:ascii="宋体" w:hAnsi="宋体" w:eastAsia="宋体" w:cs="宋体"/>
    </w:rPr>
  </w:style>
  <w:style w:type="paragraph" w:customStyle="1" w:styleId="37">
    <w:name w:val="正文 A"/>
    <w:basedOn w:val="1"/>
    <w:qFormat/>
    <w:uiPriority w:val="0"/>
    <w:rPr>
      <w:rFonts w:eastAsia="Arial Unicode MS" w:cs="Arial Unicode MS"/>
      <w:color w:val="000000"/>
      <w:szCs w:val="21"/>
    </w:rPr>
  </w:style>
  <w:style w:type="table" w:customStyle="1" w:styleId="38">
    <w:name w:val="Table Normal"/>
    <w:semiHidden/>
    <w:unhideWhenUsed/>
    <w:qFormat/>
    <w:uiPriority w:val="0"/>
    <w:tblPr>
      <w:tblCellMar>
        <w:top w:w="0" w:type="dxa"/>
        <w:left w:w="0" w:type="dxa"/>
        <w:bottom w:w="0" w:type="dxa"/>
        <w:right w:w="0" w:type="dxa"/>
      </w:tblCellMar>
    </w:tblPr>
  </w:style>
  <w:style w:type="character" w:customStyle="1" w:styleId="39">
    <w:name w:val="标题 1 Char"/>
    <w:link w:val="2"/>
    <w:qFormat/>
    <w:uiPriority w:val="0"/>
    <w:rPr>
      <w:rFonts w:ascii="微软雅黑" w:hAnsi="微软雅黑" w:eastAsia="微软雅黑" w:cs="微软雅黑"/>
      <w:b/>
      <w:kern w:val="44"/>
      <w:sz w:val="48"/>
      <w:szCs w:val="48"/>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2528</Words>
  <Characters>3037</Characters>
  <Lines>0</Lines>
  <Paragraphs>0</Paragraphs>
  <TotalTime>294</TotalTime>
  <ScaleCrop>false</ScaleCrop>
  <LinksUpToDate>false</LinksUpToDate>
  <CharactersWithSpaces>3115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邓琪翔</cp:lastModifiedBy>
  <cp:lastPrinted>2021-03-30T08:55:00Z</cp:lastPrinted>
  <dcterms:modified xsi:type="dcterms:W3CDTF">2024-11-07T08:17:34Z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D9B365EEE6534AF1939F658D80BBBD74_13</vt:lpwstr>
  </property>
  <property fmtid="{D5CDD505-2E9C-101B-9397-08002B2CF9AE}" pid="4" name="EagleCloud">
    <vt:lpwstr>{"watermark_type":"track","current_time":"2024-11-01 14:41","employee_id":"emp_95843305-9c6d-47e4-854c-e07e3b8f3dba","agent_id":"bab15266ad1e75479e76c26960f321749902295f4fca82d01203bd959060dcde","process":"","custom_content":"科技租户","total_content":"2024-11-01 14:41-emp_95843305-9c6d-47e4-854c-e07e3b8f3dba-bab15266ad1e75479e76c26960f321749902295f4fca82d01203bd959060dcde-{{process}}-科技租户"}</vt:lpwstr>
  </property>
</Properties>
</file>