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8CCEF">
      <w:pPr>
        <w:jc w:val="center"/>
        <w:rPr>
          <w:rFonts w:hint="eastAsia" w:ascii="微软雅黑" w:hAnsi="微软雅黑" w:eastAsia="微软雅黑" w:cs="Times New Roman"/>
          <w:b/>
          <w:sz w:val="32"/>
          <w:szCs w:val="32"/>
          <w:lang w:val="en-US" w:eastAsia="zh-CN"/>
        </w:rPr>
      </w:pPr>
      <w:r>
        <w:rPr>
          <w:rFonts w:hint="eastAsia" w:ascii="微软雅黑" w:hAnsi="微软雅黑" w:eastAsia="微软雅黑" w:cs="Times New Roman"/>
          <w:b/>
          <w:sz w:val="32"/>
          <w:szCs w:val="32"/>
          <w:lang w:val="en-US" w:eastAsia="zh-CN"/>
        </w:rPr>
        <w:t>田林百矿田田碳素有限公司2025年锯末采购项目</w:t>
      </w:r>
    </w:p>
    <w:p w14:paraId="5E029A45">
      <w:pPr>
        <w:jc w:val="center"/>
        <w:rPr>
          <w:rFonts w:hint="eastAsia" w:ascii="微软雅黑" w:hAnsi="微软雅黑" w:eastAsia="微软雅黑" w:cs="Times New Roman"/>
          <w:b/>
          <w:sz w:val="32"/>
          <w:szCs w:val="32"/>
          <w:lang w:val="en-US" w:eastAsia="zh-CN"/>
        </w:rPr>
      </w:pPr>
      <w:r>
        <w:rPr>
          <w:rFonts w:hint="eastAsia" w:ascii="微软雅黑" w:hAnsi="微软雅黑" w:eastAsia="微软雅黑" w:cs="Times New Roman"/>
          <w:b/>
          <w:sz w:val="32"/>
          <w:szCs w:val="32"/>
          <w:lang w:val="en-US" w:eastAsia="zh-CN"/>
        </w:rPr>
        <w:t>邀请书</w:t>
      </w:r>
    </w:p>
    <w:p w14:paraId="4DC58547">
      <w:pPr>
        <w:pStyle w:val="2"/>
        <w:rPr>
          <w:rFonts w:hint="eastAsia"/>
          <w:lang w:val="en-US" w:eastAsia="zh-CN"/>
        </w:rPr>
      </w:pPr>
    </w:p>
    <w:p w14:paraId="72E6CC13">
      <w:pPr>
        <w:pStyle w:val="2"/>
        <w:pageBreakBefore w:val="0"/>
        <w:kinsoku/>
        <w:wordWrap/>
        <w:overflowPunct/>
        <w:topLinePunct w:val="0"/>
        <w:bidi w:val="0"/>
        <w:spacing w:line="400" w:lineRule="atLeas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采购类别：生产辅料类（注：新用户时请选择此类别，否则无法报名）</w:t>
      </w:r>
    </w:p>
    <w:p w14:paraId="3BCA3171">
      <w:pPr>
        <w:pStyle w:val="31"/>
        <w:pageBreakBefore w:val="0"/>
        <w:kinsoku/>
        <w:wordWrap/>
        <w:overflowPunct/>
        <w:topLinePunct w:val="0"/>
        <w:bidi w:val="0"/>
        <w:spacing w:line="400" w:lineRule="atLeast"/>
        <w:textAlignment w:val="auto"/>
        <w:rPr>
          <w:rFonts w:hint="eastAsia" w:ascii="宋体" w:hAnsi="宋体" w:eastAsia="宋体" w:cs="宋体"/>
          <w:b/>
          <w:bCs/>
          <w:sz w:val="24"/>
          <w:szCs w:val="24"/>
        </w:rPr>
      </w:pPr>
      <w:bookmarkStart w:id="0" w:name="_Toc33189455"/>
      <w:r>
        <w:rPr>
          <w:rFonts w:hint="eastAsia" w:ascii="宋体" w:hAnsi="宋体" w:eastAsia="宋体" w:cs="宋体"/>
          <w:b/>
          <w:bCs/>
          <w:sz w:val="24"/>
          <w:szCs w:val="24"/>
        </w:rPr>
        <w:t xml:space="preserve">1. </w:t>
      </w:r>
      <w:r>
        <w:rPr>
          <w:rFonts w:hint="eastAsia" w:ascii="宋体" w:hAnsi="宋体" w:eastAsia="宋体" w:cs="宋体"/>
          <w:b/>
          <w:bCs/>
          <w:sz w:val="24"/>
          <w:szCs w:val="24"/>
          <w:lang w:val="en-US" w:eastAsia="zh-CN"/>
        </w:rPr>
        <w:t>采购项目</w:t>
      </w:r>
      <w:r>
        <w:rPr>
          <w:rFonts w:hint="eastAsia" w:ascii="宋体" w:hAnsi="宋体" w:eastAsia="宋体" w:cs="宋体"/>
          <w:b/>
          <w:bCs/>
          <w:sz w:val="24"/>
          <w:szCs w:val="24"/>
        </w:rPr>
        <w:t>条件</w:t>
      </w:r>
      <w:bookmarkEnd w:id="0"/>
    </w:p>
    <w:p w14:paraId="01D7AF4C">
      <w:pPr>
        <w:pageBreakBefore w:val="0"/>
        <w:kinsoku/>
        <w:wordWrap/>
        <w:overflowPunct/>
        <w:topLinePunct w:val="0"/>
        <w:bidi w:val="0"/>
        <w:spacing w:line="400" w:lineRule="atLeast"/>
        <w:textAlignment w:val="auto"/>
        <w:rPr>
          <w:rFonts w:hint="eastAsia" w:ascii="宋体" w:hAnsi="宋体" w:eastAsia="宋体" w:cs="宋体"/>
          <w:b w:val="0"/>
          <w:bCs w:val="0"/>
          <w:kern w:val="2"/>
          <w:sz w:val="24"/>
          <w:szCs w:val="24"/>
          <w:u w:val="single"/>
          <w:lang w:val="en-US" w:eastAsia="zh-CN" w:bidi="ar-SA"/>
        </w:rPr>
      </w:pPr>
      <w:r>
        <w:rPr>
          <w:rFonts w:hint="eastAsia" w:ascii="宋体" w:hAnsi="宋体" w:eastAsia="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u w:val="single"/>
          <w:lang w:val="en-US" w:eastAsia="zh-CN" w:bidi="ar-SA"/>
        </w:rPr>
        <w:t>各锯末供应商：</w:t>
      </w:r>
    </w:p>
    <w:p w14:paraId="5A12BCAE">
      <w:pPr>
        <w:pageBreakBefore w:val="0"/>
        <w:numPr>
          <w:ilvl w:val="0"/>
          <w:numId w:val="0"/>
        </w:numPr>
        <w:kinsoku/>
        <w:wordWrap/>
        <w:overflowPunct/>
        <w:topLinePunct w:val="0"/>
        <w:bidi w:val="0"/>
        <w:spacing w:line="400" w:lineRule="atLeast"/>
        <w:ind w:firstLine="480" w:firstLineChars="200"/>
        <w:textAlignment w:val="auto"/>
        <w:rPr>
          <w:rFonts w:hint="eastAsia" w:ascii="宋体" w:hAnsi="宋体" w:eastAsia="宋体" w:cs="宋体"/>
          <w:sz w:val="24"/>
          <w:lang w:val="en-US" w:eastAsia="zh-CN"/>
        </w:rPr>
      </w:pPr>
      <w:r>
        <w:rPr>
          <w:rFonts w:hint="eastAsia" w:ascii="宋体" w:hAnsi="宋体" w:eastAsia="宋体" w:cs="宋体"/>
          <w:b w:val="0"/>
          <w:bCs w:val="0"/>
          <w:sz w:val="24"/>
          <w:szCs w:val="24"/>
          <w:lang w:val="en-US" w:eastAsia="zh-CN"/>
        </w:rPr>
        <w:t>吉利百矿集团下属田林百矿田田碳素有限公司2024年锯末采购项目</w:t>
      </w:r>
      <w:r>
        <w:rPr>
          <w:rFonts w:hint="eastAsia" w:ascii="宋体" w:hAnsi="宋体" w:eastAsia="宋体" w:cs="宋体"/>
          <w:sz w:val="24"/>
          <w:lang w:val="en-US" w:eastAsia="zh-CN"/>
        </w:rPr>
        <w:t>已具备采购条件，现邀请贵司参与本项目报单。</w:t>
      </w:r>
    </w:p>
    <w:p w14:paraId="034B5422">
      <w:pPr>
        <w:pageBreakBefore w:val="0"/>
        <w:numPr>
          <w:ilvl w:val="0"/>
          <w:numId w:val="0"/>
        </w:numPr>
        <w:kinsoku/>
        <w:wordWrap/>
        <w:overflowPunct/>
        <w:topLinePunct w:val="0"/>
        <w:bidi w:val="0"/>
        <w:spacing w:line="400" w:lineRule="atLeast"/>
        <w:textAlignment w:val="auto"/>
        <w:rPr>
          <w:rFonts w:hint="eastAsia" w:ascii="宋体" w:hAnsi="宋体" w:eastAsia="宋体" w:cs="宋体"/>
          <w:b/>
          <w:sz w:val="24"/>
          <w:szCs w:val="24"/>
        </w:rPr>
      </w:pPr>
      <w:r>
        <w:rPr>
          <w:rFonts w:hint="eastAsia" w:ascii="宋体" w:hAnsi="宋体" w:eastAsia="宋体" w:cs="宋体"/>
          <w:b/>
          <w:sz w:val="24"/>
          <w:szCs w:val="24"/>
        </w:rPr>
        <w:t>2.项目概况</w:t>
      </w:r>
    </w:p>
    <w:p w14:paraId="6F057207">
      <w:pPr>
        <w:pageBreakBefore w:val="0"/>
        <w:kinsoku/>
        <w:wordWrap/>
        <w:overflowPunct/>
        <w:topLinePunct w:val="0"/>
        <w:bidi w:val="0"/>
        <w:spacing w:line="400" w:lineRule="atLeast"/>
        <w:textAlignment w:val="auto"/>
        <w:rPr>
          <w:rFonts w:hint="eastAsia" w:ascii="宋体" w:hAnsi="宋体" w:eastAsia="宋体" w:cs="宋体"/>
          <w:b/>
          <w:bCs/>
          <w:sz w:val="24"/>
          <w:szCs w:val="24"/>
        </w:rPr>
      </w:pPr>
      <w:r>
        <w:rPr>
          <w:rFonts w:hint="eastAsia" w:ascii="宋体" w:hAnsi="宋体" w:eastAsia="宋体"/>
          <w:b/>
          <w:bCs/>
          <w:sz w:val="24"/>
          <w:szCs w:val="24"/>
        </w:rPr>
        <w:t>2.1</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范围：</w:t>
      </w:r>
    </w:p>
    <w:tbl>
      <w:tblPr>
        <w:tblStyle w:val="13"/>
        <w:tblW w:w="8760" w:type="dxa"/>
        <w:tblInd w:w="0" w:type="dxa"/>
        <w:shd w:val="clear" w:color="auto" w:fill="auto"/>
        <w:tblLayout w:type="fixed"/>
        <w:tblCellMar>
          <w:top w:w="0" w:type="dxa"/>
          <w:left w:w="0" w:type="dxa"/>
          <w:bottom w:w="0" w:type="dxa"/>
          <w:right w:w="0" w:type="dxa"/>
        </w:tblCellMar>
      </w:tblPr>
      <w:tblGrid>
        <w:gridCol w:w="752"/>
        <w:gridCol w:w="1711"/>
        <w:gridCol w:w="1156"/>
        <w:gridCol w:w="1211"/>
        <w:gridCol w:w="889"/>
        <w:gridCol w:w="1088"/>
        <w:gridCol w:w="1953"/>
      </w:tblGrid>
      <w:tr w14:paraId="02FB8BA4">
        <w:tblPrEx>
          <w:shd w:val="clear" w:color="auto" w:fill="auto"/>
          <w:tblCellMar>
            <w:top w:w="0" w:type="dxa"/>
            <w:left w:w="0" w:type="dxa"/>
            <w:bottom w:w="0" w:type="dxa"/>
            <w:right w:w="0" w:type="dxa"/>
          </w:tblCellMar>
        </w:tblPrEx>
        <w:trPr>
          <w:trHeight w:val="68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9358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79E2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204D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型号规格</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B58DC">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材质要求</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0FF53">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单位</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4ABC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B739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14:paraId="02D4CC87">
        <w:tblPrEx>
          <w:shd w:val="clear" w:color="auto" w:fill="auto"/>
          <w:tblCellMar>
            <w:top w:w="0" w:type="dxa"/>
            <w:left w:w="0" w:type="dxa"/>
            <w:bottom w:w="0" w:type="dxa"/>
            <w:right w:w="0" w:type="dxa"/>
          </w:tblCellMar>
        </w:tblPrEx>
        <w:trPr>
          <w:trHeight w:val="10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A48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4AC4A">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kern w:val="0"/>
                <w:sz w:val="24"/>
                <w:szCs w:val="24"/>
                <w:u w:val="none"/>
                <w:lang w:val="en-US" w:eastAsia="zh-CN" w:bidi="ar"/>
              </w:rPr>
              <w:t>锯末</w:t>
            </w: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48FC3">
            <w:pPr>
              <w:keepNext w:val="0"/>
              <w:keepLines w:val="0"/>
              <w:widowControl/>
              <w:suppressLineNumbers w:val="0"/>
              <w:jc w:val="center"/>
              <w:textAlignment w:val="center"/>
              <w:rPr>
                <w:rFonts w:hint="eastAsia" w:ascii="新宋体" w:hAnsi="新宋体" w:eastAsia="新宋体" w:cs="新宋体"/>
                <w:i w:val="0"/>
                <w:color w:val="auto"/>
                <w:sz w:val="21"/>
                <w:szCs w:val="21"/>
                <w:u w:val="none"/>
                <w:lang w:eastAsia="zh-CN"/>
              </w:rPr>
            </w:pPr>
            <w:r>
              <w:rPr>
                <w:rFonts w:hint="eastAsia" w:ascii="新宋体" w:hAnsi="新宋体" w:eastAsia="新宋体" w:cs="新宋体"/>
                <w:i w:val="0"/>
                <w:color w:val="auto"/>
                <w:sz w:val="21"/>
                <w:szCs w:val="21"/>
                <w:u w:val="none"/>
                <w:lang w:eastAsia="zh-CN"/>
              </w:rPr>
              <w:t>—</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0DA3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参照质量</w:t>
            </w:r>
          </w:p>
          <w:p w14:paraId="3590DD01">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指标要求</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777AA">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吨</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E3B5B">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750</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FB0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按照订单</w:t>
            </w:r>
          </w:p>
          <w:p w14:paraId="2F82A13C">
            <w:pPr>
              <w:keepNext w:val="0"/>
              <w:keepLines w:val="0"/>
              <w:pageBreakBefore w:val="0"/>
              <w:widowControl/>
              <w:suppressLineNumbers w:val="0"/>
              <w:kinsoku/>
              <w:wordWrap/>
              <w:overflowPunct/>
              <w:topLinePunct w:val="0"/>
              <w:autoSpaceDE/>
              <w:autoSpaceDN/>
              <w:bidi w:val="0"/>
              <w:adjustRightInd/>
              <w:snapToGrid/>
              <w:spacing w:line="240" w:lineRule="exact"/>
              <w:ind w:firstLine="630" w:firstLineChars="300"/>
              <w:jc w:val="both"/>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kern w:val="0"/>
                <w:sz w:val="21"/>
                <w:szCs w:val="21"/>
                <w:u w:val="none"/>
                <w:lang w:val="en-US" w:eastAsia="zh-CN" w:bidi="ar"/>
              </w:rPr>
              <w:t>批性到货</w:t>
            </w:r>
          </w:p>
        </w:tc>
      </w:tr>
    </w:tbl>
    <w:p w14:paraId="73443A1E">
      <w:pPr>
        <w:pageBreakBefore w:val="0"/>
        <w:tabs>
          <w:tab w:val="left" w:pos="780"/>
          <w:tab w:val="left" w:pos="5700"/>
        </w:tabs>
        <w:kinsoku/>
        <w:wordWrap/>
        <w:overflowPunct/>
        <w:topLinePunct w:val="0"/>
        <w:bidi w:val="0"/>
        <w:adjustRightInd w:val="0"/>
        <w:snapToGrid w:val="0"/>
        <w:spacing w:line="400" w:lineRule="atLeast"/>
        <w:textAlignment w:val="auto"/>
        <w:rPr>
          <w:rFonts w:hint="eastAsia" w:ascii="宋体" w:hAnsi="宋体" w:eastAsia="宋体" w:cs="宋体"/>
          <w:b/>
          <w:bCs/>
          <w:sz w:val="16"/>
          <w:szCs w:val="16"/>
          <w:lang w:val="en-US" w:eastAsia="zh-CN"/>
        </w:rPr>
      </w:pPr>
    </w:p>
    <w:p w14:paraId="14C3E9C0">
      <w:pPr>
        <w:keepNext w:val="0"/>
        <w:keepLines w:val="0"/>
        <w:pageBreakBefore w:val="0"/>
        <w:tabs>
          <w:tab w:val="left" w:pos="780"/>
          <w:tab w:val="left" w:pos="5700"/>
        </w:tabs>
        <w:kinsoku/>
        <w:wordWrap/>
        <w:overflowPunct/>
        <w:topLinePunct w:val="0"/>
        <w:bidi w:val="0"/>
        <w:adjustRightInd w:val="0"/>
        <w:snapToGrid w:val="0"/>
        <w:spacing w:line="400" w:lineRule="atLeas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开标时间</w:t>
      </w:r>
    </w:p>
    <w:p w14:paraId="1D70F56F">
      <w:pPr>
        <w:keepNext w:val="0"/>
        <w:keepLines w:val="0"/>
        <w:pageBreakBefore w:val="0"/>
        <w:tabs>
          <w:tab w:val="left" w:pos="780"/>
          <w:tab w:val="left" w:pos="5700"/>
        </w:tabs>
        <w:kinsoku/>
        <w:wordWrap/>
        <w:overflowPunct/>
        <w:topLinePunct w:val="0"/>
        <w:bidi w:val="0"/>
        <w:adjustRightInd w:val="0"/>
        <w:snapToGrid w:val="0"/>
        <w:spacing w:line="400" w:lineRule="atLeas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开标时间：</w:t>
      </w:r>
      <w:r>
        <w:rPr>
          <w:rFonts w:hint="eastAsia" w:ascii="宋体" w:hAnsi="宋体"/>
          <w:sz w:val="24"/>
          <w:lang w:val="en-US" w:eastAsia="zh-CN"/>
        </w:rPr>
        <w:t>以采购主管单位通知为准</w:t>
      </w:r>
    </w:p>
    <w:p w14:paraId="36C4EDCC">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000000"/>
          <w:sz w:val="24"/>
          <w:szCs w:val="24"/>
          <w:lang w:eastAsia="zh-CN"/>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4供货</w:t>
      </w:r>
      <w:r>
        <w:rPr>
          <w:rFonts w:hint="eastAsia" w:ascii="宋体" w:hAnsi="宋体" w:eastAsia="宋体" w:cs="华文仿宋"/>
          <w:b/>
          <w:bCs/>
          <w:color w:val="000000"/>
          <w:sz w:val="24"/>
          <w:szCs w:val="24"/>
        </w:rPr>
        <w:t>地点</w:t>
      </w:r>
      <w:r>
        <w:rPr>
          <w:rFonts w:hint="eastAsia" w:ascii="宋体" w:hAnsi="宋体" w:eastAsia="宋体" w:cs="华文仿宋"/>
          <w:b/>
          <w:bCs/>
          <w:color w:val="000000"/>
          <w:sz w:val="24"/>
          <w:szCs w:val="24"/>
          <w:lang w:eastAsia="zh-CN"/>
        </w:rPr>
        <w:t>：</w:t>
      </w:r>
    </w:p>
    <w:p w14:paraId="1A8949ED">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sz w:val="24"/>
          <w:lang w:val="en-US" w:eastAsia="zh-CN"/>
        </w:rPr>
      </w:pPr>
      <w:r>
        <w:rPr>
          <w:rFonts w:hint="eastAsia" w:ascii="宋体" w:hAnsi="宋体"/>
          <w:sz w:val="24"/>
          <w:lang w:val="en-US" w:eastAsia="zh-CN"/>
        </w:rPr>
        <w:t>广西百色田林县旧州镇百矿经济产业园区田田碳素厂区内；</w:t>
      </w:r>
    </w:p>
    <w:p w14:paraId="30883CD2">
      <w:pPr>
        <w:keepNext w:val="0"/>
        <w:keepLines w:val="0"/>
        <w:pageBreakBefore w:val="0"/>
        <w:kinsoku/>
        <w:wordWrap/>
        <w:overflowPunct/>
        <w:topLinePunct w:val="0"/>
        <w:bidi w:val="0"/>
        <w:spacing w:line="400" w:lineRule="atLeast"/>
        <w:textAlignment w:val="auto"/>
        <w:rPr>
          <w:rFonts w:hint="default"/>
          <w:color w:val="auto"/>
          <w:lang w:val="en-US" w:eastAsia="zh-CN"/>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5供货时间及方式：</w:t>
      </w:r>
    </w:p>
    <w:p w14:paraId="65296A2D">
      <w:pPr>
        <w:keepNext w:val="0"/>
        <w:keepLines w:val="0"/>
        <w:pageBreakBefore w:val="0"/>
        <w:widowControl w:val="0"/>
        <w:tabs>
          <w:tab w:val="left" w:pos="600"/>
        </w:tabs>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Theme="minorEastAsia"/>
          <w:color w:val="FF0000"/>
          <w:sz w:val="24"/>
          <w:lang w:val="en-US" w:eastAsia="zh-CN"/>
        </w:rPr>
      </w:pPr>
      <w:r>
        <w:rPr>
          <w:rFonts w:hint="eastAsia" w:ascii="宋体" w:hAnsi="宋体"/>
          <w:color w:val="auto"/>
          <w:sz w:val="24"/>
          <w:highlight w:val="none"/>
          <w:lang w:val="en-US" w:eastAsia="zh-CN"/>
        </w:rPr>
        <w:t>批次性到货，以甲方订单通知为准。</w:t>
      </w:r>
    </w:p>
    <w:p w14:paraId="6499BDA4">
      <w:pPr>
        <w:keepNext w:val="0"/>
        <w:keepLines w:val="0"/>
        <w:pageBreakBefore w:val="0"/>
        <w:kinsoku/>
        <w:wordWrap/>
        <w:overflowPunct/>
        <w:topLinePunct w:val="0"/>
        <w:bidi w:val="0"/>
        <w:spacing w:line="400" w:lineRule="atLeast"/>
        <w:textAlignment w:val="auto"/>
        <w:rPr>
          <w:rFonts w:hint="eastAsia" w:ascii="宋体" w:hAnsi="宋体" w:eastAsia="宋体" w:cs="宋体"/>
          <w:color w:val="auto"/>
          <w:spacing w:val="-20"/>
          <w:sz w:val="24"/>
          <w:szCs w:val="24"/>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6技术</w:t>
      </w:r>
      <w:r>
        <w:rPr>
          <w:rFonts w:hint="eastAsia" w:ascii="宋体" w:hAnsi="宋体" w:eastAsia="宋体" w:cs="华文仿宋"/>
          <w:b/>
          <w:bCs/>
          <w:color w:val="auto"/>
          <w:sz w:val="24"/>
          <w:szCs w:val="24"/>
        </w:rPr>
        <w:t>要求</w:t>
      </w:r>
      <w:r>
        <w:rPr>
          <w:rFonts w:hint="eastAsia" w:ascii="仿宋" w:hAnsi="仿宋" w:eastAsia="仿宋" w:cs="仿宋"/>
          <w:b/>
          <w:bCs/>
          <w:color w:val="auto"/>
          <w:sz w:val="28"/>
          <w:szCs w:val="28"/>
          <w:lang w:val="en-US" w:eastAsia="zh-CN"/>
        </w:rPr>
        <w:t xml:space="preserve"> </w:t>
      </w:r>
      <w:r>
        <w:rPr>
          <w:rFonts w:hint="eastAsia" w:ascii="宋体" w:hAnsi="宋体" w:eastAsia="宋体" w:cs="宋体"/>
          <w:color w:val="auto"/>
          <w:spacing w:val="-20"/>
          <w:sz w:val="24"/>
          <w:szCs w:val="24"/>
        </w:rPr>
        <w:t xml:space="preserve"> </w:t>
      </w:r>
    </w:p>
    <w:p w14:paraId="12AB03ED">
      <w:pPr>
        <w:pStyle w:val="2"/>
        <w:ind w:firstLine="480" w:firstLineChars="200"/>
        <w:rPr>
          <w:rFonts w:hint="eastAsia" w:ascii="宋体" w:hAnsi="宋体" w:eastAsiaTheme="minorEastAsia" w:cstheme="minorBidi"/>
          <w:color w:val="FF0000"/>
          <w:kern w:val="2"/>
          <w:sz w:val="24"/>
          <w:szCs w:val="22"/>
          <w:highlight w:val="none"/>
          <w:lang w:val="en-US" w:eastAsia="zh-CN" w:bidi="ar-SA"/>
        </w:rPr>
      </w:pPr>
      <w:r>
        <w:rPr>
          <w:rFonts w:hint="eastAsia" w:ascii="宋体" w:hAnsi="宋体" w:eastAsiaTheme="minorEastAsia" w:cstheme="minorBidi"/>
          <w:color w:val="auto"/>
          <w:kern w:val="2"/>
          <w:sz w:val="24"/>
          <w:szCs w:val="22"/>
          <w:highlight w:val="none"/>
          <w:lang w:val="en-US" w:eastAsia="zh-CN" w:bidi="ar-SA"/>
        </w:rPr>
        <w:t>按照质量指标要求。</w:t>
      </w:r>
    </w:p>
    <w:p w14:paraId="7554FD08">
      <w:pPr>
        <w:keepNext w:val="0"/>
        <w:keepLines w:val="0"/>
        <w:pageBreakBefore w:val="0"/>
        <w:numPr>
          <w:ilvl w:val="0"/>
          <w:numId w:val="0"/>
        </w:numPr>
        <w:kinsoku/>
        <w:wordWrap/>
        <w:overflowPunct/>
        <w:topLinePunct w:val="0"/>
        <w:bidi w:val="0"/>
        <w:spacing w:line="400" w:lineRule="atLeast"/>
        <w:textAlignment w:val="auto"/>
        <w:rPr>
          <w:rFonts w:hint="eastAsia" w:ascii="黑体" w:hAnsi="黑体" w:eastAsia="黑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报价</w:t>
      </w:r>
      <w:r>
        <w:rPr>
          <w:rFonts w:hint="eastAsia" w:ascii="宋体" w:hAnsi="宋体" w:eastAsia="宋体" w:cs="宋体"/>
          <w:b/>
          <w:color w:val="auto"/>
          <w:sz w:val="24"/>
          <w:szCs w:val="24"/>
        </w:rPr>
        <w:t>人资格要求</w:t>
      </w:r>
    </w:p>
    <w:p w14:paraId="7C6FB403">
      <w:pPr>
        <w:pageBreakBefore w:val="0"/>
        <w:numPr>
          <w:ilvl w:val="0"/>
          <w:numId w:val="0"/>
        </w:numPr>
        <w:kinsoku/>
        <w:wordWrap/>
        <w:overflowPunct/>
        <w:topLinePunct w:val="0"/>
        <w:autoSpaceDE/>
        <w:autoSpaceDN/>
        <w:bidi w:val="0"/>
        <w:adjustRightInd w:val="0"/>
        <w:snapToGrid w:val="0"/>
        <w:spacing w:line="400"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3.1 在中国境内注册，有独立法人资格和承担民事责任的能力。</w:t>
      </w:r>
    </w:p>
    <w:p w14:paraId="4479CE14">
      <w:pPr>
        <w:pageBreakBefore w:val="0"/>
        <w:numPr>
          <w:ilvl w:val="0"/>
          <w:numId w:val="0"/>
        </w:numPr>
        <w:kinsoku/>
        <w:wordWrap/>
        <w:overflowPunct/>
        <w:topLinePunct w:val="0"/>
        <w:autoSpaceDE/>
        <w:autoSpaceDN/>
        <w:bidi w:val="0"/>
        <w:adjustRightInd w:val="0"/>
        <w:snapToGrid w:val="0"/>
        <w:spacing w:line="400"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3.2 遵守中华人民共和国有关法律、法规和条例。</w:t>
      </w:r>
    </w:p>
    <w:p w14:paraId="01AF5678">
      <w:pPr>
        <w:pageBreakBefore w:val="0"/>
        <w:numPr>
          <w:ilvl w:val="0"/>
          <w:numId w:val="0"/>
        </w:numPr>
        <w:kinsoku/>
        <w:wordWrap/>
        <w:overflowPunct/>
        <w:topLinePunct w:val="0"/>
        <w:autoSpaceDE/>
        <w:autoSpaceDN/>
        <w:bidi w:val="0"/>
        <w:adjustRightInd w:val="0"/>
        <w:snapToGrid w:val="0"/>
        <w:spacing w:line="400"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3.3 近年来有较好业绩且无不良商业行为。</w:t>
      </w:r>
    </w:p>
    <w:p w14:paraId="26C31C6C">
      <w:pPr>
        <w:pageBreakBefore w:val="0"/>
        <w:numPr>
          <w:ilvl w:val="0"/>
          <w:numId w:val="0"/>
        </w:numPr>
        <w:kinsoku/>
        <w:wordWrap/>
        <w:overflowPunct/>
        <w:topLinePunct w:val="0"/>
        <w:autoSpaceDE/>
        <w:autoSpaceDN/>
        <w:bidi w:val="0"/>
        <w:adjustRightInd w:val="0"/>
        <w:snapToGrid w:val="0"/>
        <w:spacing w:line="400"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3.4 具有林木经营范围。</w:t>
      </w:r>
    </w:p>
    <w:p w14:paraId="36B32AA1">
      <w:pPr>
        <w:pageBreakBefore w:val="0"/>
        <w:numPr>
          <w:ilvl w:val="0"/>
          <w:numId w:val="0"/>
        </w:numPr>
        <w:kinsoku/>
        <w:wordWrap/>
        <w:overflowPunct/>
        <w:topLinePunct w:val="0"/>
        <w:autoSpaceDE/>
        <w:autoSpaceDN/>
        <w:bidi w:val="0"/>
        <w:adjustRightInd w:val="0"/>
        <w:snapToGrid w:val="0"/>
        <w:spacing w:line="400"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3.5 具有良好的商业信誉和健全的财务会计制度。</w:t>
      </w:r>
    </w:p>
    <w:p w14:paraId="5CDE2333">
      <w:pPr>
        <w:pageBreakBefore w:val="0"/>
        <w:numPr>
          <w:ilvl w:val="0"/>
          <w:numId w:val="0"/>
        </w:numPr>
        <w:kinsoku/>
        <w:wordWrap/>
        <w:overflowPunct/>
        <w:topLinePunct w:val="0"/>
        <w:autoSpaceDE/>
        <w:autoSpaceDN/>
        <w:bidi w:val="0"/>
        <w:adjustRightInd w:val="0"/>
        <w:snapToGrid w:val="0"/>
        <w:spacing w:line="400"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 xml:space="preserve">3.6 </w:t>
      </w:r>
      <w:r>
        <w:rPr>
          <w:rFonts w:hint="default" w:ascii="宋体" w:hAnsi="宋体" w:eastAsia="宋体" w:cstheme="minorBidi"/>
          <w:color w:val="auto"/>
          <w:kern w:val="2"/>
          <w:sz w:val="24"/>
          <w:szCs w:val="24"/>
          <w:highlight w:val="none"/>
          <w:lang w:val="en-US" w:eastAsia="zh-CN" w:bidi="ar-SA"/>
        </w:rPr>
        <w:t>本次报价不接受联合体报价。</w:t>
      </w:r>
    </w:p>
    <w:p w14:paraId="591D08BE">
      <w:pPr>
        <w:keepNext w:val="0"/>
        <w:keepLines w:val="0"/>
        <w:pageBreakBefore w:val="0"/>
        <w:numPr>
          <w:ilvl w:val="0"/>
          <w:numId w:val="0"/>
        </w:numPr>
        <w:kinsoku/>
        <w:wordWrap/>
        <w:overflowPunct/>
        <w:topLinePunct w:val="0"/>
        <w:bidi w:val="0"/>
        <w:spacing w:line="400" w:lineRule="atLeas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 xml:space="preserve">4. </w:t>
      </w:r>
      <w:r>
        <w:rPr>
          <w:rFonts w:hint="eastAsia" w:ascii="宋体" w:hAnsi="宋体" w:eastAsia="宋体" w:cs="宋体"/>
          <w:b/>
          <w:color w:val="auto"/>
          <w:sz w:val="24"/>
          <w:szCs w:val="24"/>
          <w:lang w:eastAsia="zh-CN"/>
        </w:rPr>
        <w:t>报</w:t>
      </w:r>
      <w:r>
        <w:rPr>
          <w:rFonts w:hint="eastAsia" w:ascii="宋体" w:hAnsi="宋体" w:eastAsia="宋体" w:cs="宋体"/>
          <w:b/>
          <w:color w:val="auto"/>
          <w:sz w:val="24"/>
          <w:szCs w:val="24"/>
          <w:lang w:val="en-US" w:eastAsia="zh-CN"/>
        </w:rPr>
        <w:t>价</w:t>
      </w:r>
      <w:r>
        <w:rPr>
          <w:rFonts w:hint="eastAsia" w:ascii="宋体" w:hAnsi="宋体" w:eastAsia="宋体" w:cs="宋体"/>
          <w:b/>
          <w:color w:val="auto"/>
          <w:sz w:val="24"/>
          <w:szCs w:val="24"/>
          <w:lang w:eastAsia="zh-CN"/>
        </w:rPr>
        <w:t>及相关要求</w:t>
      </w:r>
    </w:p>
    <w:p w14:paraId="213508F2">
      <w:pPr>
        <w:keepNext w:val="0"/>
        <w:keepLines w:val="0"/>
        <w:pageBreakBefore w:val="0"/>
        <w:kinsoku/>
        <w:wordWrap/>
        <w:overflowPunct/>
        <w:topLinePunct w:val="0"/>
        <w:bidi w:val="0"/>
        <w:spacing w:line="400" w:lineRule="atLeast"/>
        <w:textAlignment w:val="auto"/>
        <w:rPr>
          <w:rFonts w:hint="eastAsia"/>
          <w:color w:val="auto"/>
          <w:lang w:val="en-US" w:eastAsia="zh-CN"/>
        </w:rPr>
      </w:pPr>
      <w:r>
        <w:rPr>
          <w:rFonts w:hint="eastAsia" w:ascii="宋体" w:hAnsi="宋体" w:eastAsia="宋体" w:cs="华文仿宋"/>
          <w:b/>
          <w:bCs/>
          <w:color w:val="auto"/>
          <w:sz w:val="24"/>
          <w:szCs w:val="24"/>
          <w:lang w:val="en-US" w:eastAsia="zh-CN"/>
        </w:rPr>
        <w:t>4.1结算及付款方式</w:t>
      </w:r>
    </w:p>
    <w:p w14:paraId="5F217927">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outlineLvl w:val="0"/>
        <w:rPr>
          <w:rFonts w:ascii="宋体" w:hAnsi="宋体" w:cs="Arial"/>
          <w:sz w:val="24"/>
          <w:szCs w:val="24"/>
        </w:rPr>
      </w:pPr>
      <w:r>
        <w:rPr>
          <w:rFonts w:hint="eastAsia" w:ascii="宋体" w:hAnsi="宋体" w:cs="Arial"/>
          <w:sz w:val="24"/>
          <w:szCs w:val="24"/>
          <w:lang w:val="en-US" w:eastAsia="zh-CN"/>
        </w:rPr>
        <w:t>批次</w:t>
      </w:r>
      <w:r>
        <w:rPr>
          <w:rFonts w:hint="eastAsia" w:ascii="宋体" w:hAnsi="宋体" w:cs="Arial"/>
          <w:sz w:val="24"/>
          <w:szCs w:val="24"/>
        </w:rPr>
        <w:t>产品验收合格入库后，乙方应先开具</w:t>
      </w:r>
      <w:r>
        <w:rPr>
          <w:rFonts w:hint="eastAsia" w:ascii="宋体" w:hAnsi="宋体" w:cs="Arial"/>
          <w:sz w:val="24"/>
          <w:szCs w:val="24"/>
          <w:lang w:eastAsia="zh-CN"/>
        </w:rPr>
        <w:t>相应</w:t>
      </w:r>
      <w:r>
        <w:rPr>
          <w:rFonts w:hint="eastAsia" w:ascii="宋体" w:hAnsi="宋体" w:cs="Arial"/>
          <w:sz w:val="24"/>
          <w:szCs w:val="24"/>
        </w:rPr>
        <w:t>税率的增值税专用，发票入甲方财务账</w:t>
      </w:r>
      <w:r>
        <w:rPr>
          <w:rFonts w:hint="eastAsia" w:ascii="宋体" w:hAnsi="宋体" w:cs="Arial"/>
          <w:sz w:val="24"/>
          <w:szCs w:val="24"/>
          <w:highlight w:val="none"/>
          <w:lang w:val="en-US" w:eastAsia="zh-CN"/>
        </w:rPr>
        <w:t>35</w:t>
      </w:r>
      <w:r>
        <w:rPr>
          <w:rFonts w:hint="eastAsia" w:ascii="宋体" w:hAnsi="宋体" w:cs="Arial"/>
          <w:sz w:val="24"/>
          <w:szCs w:val="24"/>
          <w:highlight w:val="none"/>
        </w:rPr>
        <w:t>日</w:t>
      </w:r>
      <w:r>
        <w:rPr>
          <w:rFonts w:hint="eastAsia" w:ascii="宋体" w:hAnsi="宋体" w:cs="Arial"/>
          <w:sz w:val="24"/>
          <w:szCs w:val="24"/>
        </w:rPr>
        <w:t>内付款</w:t>
      </w:r>
      <w:r>
        <w:rPr>
          <w:rFonts w:ascii="宋体" w:hAnsi="宋体" w:cs="Arial"/>
          <w:sz w:val="24"/>
          <w:szCs w:val="24"/>
        </w:rPr>
        <w:t>。</w:t>
      </w:r>
    </w:p>
    <w:p w14:paraId="091CF134">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outlineLvl w:val="0"/>
        <w:rPr>
          <w:rFonts w:hint="eastAsia" w:ascii="宋体" w:hAnsi="宋体" w:cs="Arial"/>
          <w:color w:val="auto"/>
          <w:sz w:val="24"/>
        </w:rPr>
      </w:pPr>
      <w:r>
        <w:rPr>
          <w:rFonts w:hint="eastAsia" w:ascii="宋体" w:hAnsi="宋体" w:cs="Arial"/>
          <w:color w:val="auto"/>
          <w:sz w:val="24"/>
        </w:rPr>
        <w:t>若遇国家税率调整，应按调整后的最新税率计付合同款项，即合同不含税价格不受国家税率调整的影响。</w:t>
      </w:r>
    </w:p>
    <w:p w14:paraId="12EEEBF8">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240" w:firstLineChars="100"/>
        <w:textAlignment w:val="auto"/>
        <w:rPr>
          <w:rFonts w:ascii="宋体" w:hAnsi="宋体" w:cs="Arial"/>
          <w:color w:val="auto"/>
          <w:sz w:val="24"/>
        </w:rPr>
      </w:pPr>
      <w:r>
        <w:rPr>
          <w:rFonts w:hint="eastAsia" w:ascii="宋体" w:hAnsi="宋体" w:cs="Arial"/>
          <w:color w:val="auto"/>
          <w:sz w:val="24"/>
        </w:rPr>
        <w:t xml:space="preserve"> 甲方付款前，乙方必须开具对应批次产品全额的增值税专用发票，否则甲方有权拒绝付款，并不承担逾期付款的责任。</w:t>
      </w:r>
    </w:p>
    <w:p w14:paraId="4AF77F2E">
      <w:pPr>
        <w:keepNext w:val="0"/>
        <w:keepLines w:val="0"/>
        <w:pageBreakBefore w:val="0"/>
        <w:kinsoku/>
        <w:wordWrap/>
        <w:overflowPunct/>
        <w:topLinePunct w:val="0"/>
        <w:bidi w:val="0"/>
        <w:spacing w:line="400" w:lineRule="atLeast"/>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华文仿宋"/>
          <w:b/>
          <w:bCs/>
          <w:color w:val="auto"/>
          <w:sz w:val="24"/>
          <w:szCs w:val="24"/>
          <w:lang w:val="en-US" w:eastAsia="zh-CN"/>
        </w:rPr>
        <w:t>4.2议价方式</w:t>
      </w:r>
    </w:p>
    <w:p w14:paraId="51F1BF41">
      <w:pPr>
        <w:pStyle w:val="5"/>
        <w:keepNext w:val="0"/>
        <w:keepLines w:val="0"/>
        <w:pageBreakBefore w:val="0"/>
        <w:kinsoku/>
        <w:wordWrap/>
        <w:overflowPunct/>
        <w:topLinePunct w:val="0"/>
        <w:bidi w:val="0"/>
        <w:spacing w:line="400" w:lineRule="atLeast"/>
        <w:textAlignment w:val="auto"/>
        <w:rPr>
          <w:rFonts w:hint="default" w:ascii="宋体" w:hAnsi="宋体" w:eastAsia="宋体" w:cstheme="minorBidi"/>
          <w:color w:val="auto"/>
          <w:kern w:val="2"/>
          <w:sz w:val="24"/>
          <w:szCs w:val="24"/>
          <w:lang w:val="en-US" w:eastAsia="zh-CN" w:bidi="ar-SA"/>
        </w:rPr>
      </w:pPr>
      <w:r>
        <w:rPr>
          <w:rFonts w:hint="default" w:ascii="宋体" w:hAnsi="宋体" w:eastAsia="宋体" w:cstheme="minorBidi"/>
          <w:color w:val="auto"/>
          <w:kern w:val="2"/>
          <w:sz w:val="24"/>
          <w:szCs w:val="24"/>
          <w:lang w:val="en-US" w:eastAsia="zh-CN" w:bidi="ar-SA"/>
        </w:rPr>
        <w:t>本次采购项目通过采用电子平台竞价方式进行，请登录系统地址：</w:t>
      </w:r>
      <w:r>
        <w:rPr>
          <w:rFonts w:hint="default" w:ascii="宋体" w:hAnsi="宋体" w:eastAsia="宋体" w:cstheme="minorBidi"/>
          <w:color w:val="0000FF"/>
          <w:kern w:val="2"/>
          <w:sz w:val="24"/>
          <w:szCs w:val="24"/>
          <w:lang w:val="en-US" w:eastAsia="zh-CN" w:bidi="ar-SA"/>
        </w:rPr>
        <w:fldChar w:fldCharType="begin"/>
      </w:r>
      <w:r>
        <w:rPr>
          <w:rFonts w:hint="default" w:ascii="宋体" w:hAnsi="宋体" w:eastAsia="宋体" w:cstheme="minorBidi"/>
          <w:color w:val="0000FF"/>
          <w:kern w:val="2"/>
          <w:sz w:val="24"/>
          <w:szCs w:val="24"/>
          <w:lang w:val="en-US" w:eastAsia="zh-CN" w:bidi="ar-SA"/>
        </w:rPr>
        <w:instrText xml:space="preserve"> HYPERLINK "http://glzb.geely.com" </w:instrText>
      </w:r>
      <w:r>
        <w:rPr>
          <w:rFonts w:hint="default" w:ascii="宋体" w:hAnsi="宋体" w:eastAsia="宋体" w:cstheme="minorBidi"/>
          <w:color w:val="0000FF"/>
          <w:kern w:val="2"/>
          <w:sz w:val="24"/>
          <w:szCs w:val="24"/>
          <w:lang w:val="en-US" w:eastAsia="zh-CN" w:bidi="ar-SA"/>
        </w:rPr>
        <w:fldChar w:fldCharType="separate"/>
      </w:r>
      <w:r>
        <w:rPr>
          <w:rFonts w:hint="default" w:ascii="宋体" w:hAnsi="宋体" w:eastAsia="宋体" w:cstheme="minorBidi"/>
          <w:color w:val="0000FF"/>
          <w:kern w:val="2"/>
          <w:sz w:val="24"/>
          <w:szCs w:val="24"/>
          <w:lang w:val="en-US" w:eastAsia="zh-CN" w:bidi="ar-SA"/>
        </w:rPr>
        <w:t>http://glzb.geely.com</w:t>
      </w:r>
      <w:r>
        <w:rPr>
          <w:rFonts w:hint="default" w:ascii="宋体" w:hAnsi="宋体" w:eastAsia="宋体" w:cstheme="minorBidi"/>
          <w:color w:val="0000FF"/>
          <w:kern w:val="2"/>
          <w:sz w:val="24"/>
          <w:szCs w:val="24"/>
          <w:lang w:val="en-US" w:eastAsia="zh-CN" w:bidi="ar-SA"/>
        </w:rPr>
        <w:fldChar w:fldCharType="end"/>
      </w:r>
      <w:r>
        <w:rPr>
          <w:rFonts w:hint="default" w:ascii="宋体" w:hAnsi="宋体" w:eastAsia="宋体" w:cstheme="minorBidi"/>
          <w:color w:val="0000FF"/>
          <w:kern w:val="2"/>
          <w:sz w:val="24"/>
          <w:szCs w:val="24"/>
          <w:lang w:val="en-US" w:eastAsia="zh-CN" w:bidi="ar-SA"/>
        </w:rPr>
        <w:t>;</w:t>
      </w:r>
      <w:r>
        <w:rPr>
          <w:rFonts w:hint="default" w:ascii="宋体" w:hAnsi="宋体" w:eastAsia="宋体" w:cstheme="minorBidi"/>
          <w:color w:val="auto"/>
          <w:kern w:val="2"/>
          <w:sz w:val="24"/>
          <w:szCs w:val="24"/>
          <w:lang w:val="en-US" w:eastAsia="zh-CN" w:bidi="ar-SA"/>
        </w:rPr>
        <w:t>于竞价前自行注册账号，注册时请正确填写公司详细信息、联系人详细信息并上传相关营业执照、经营许可证及其它相关证书扫描件；请妥善保管您的账号和密码！</w:t>
      </w:r>
    </w:p>
    <w:p w14:paraId="2E1A68C1">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auto"/>
          <w:sz w:val="24"/>
          <w:szCs w:val="24"/>
          <w:lang w:val="en-US" w:eastAsia="zh-CN"/>
        </w:rPr>
      </w:pPr>
      <w:r>
        <w:rPr>
          <w:rFonts w:hint="eastAsia" w:ascii="宋体" w:hAnsi="宋体" w:eastAsia="宋体" w:cs="华文仿宋"/>
          <w:b/>
          <w:bCs/>
          <w:color w:val="auto"/>
          <w:sz w:val="24"/>
          <w:szCs w:val="24"/>
          <w:lang w:val="en-US" w:eastAsia="zh-CN"/>
        </w:rPr>
        <w:t>4.3 评定方法</w:t>
      </w:r>
    </w:p>
    <w:p w14:paraId="1CB6D253">
      <w:pPr>
        <w:pStyle w:val="5"/>
        <w:keepNext w:val="0"/>
        <w:keepLines w:val="0"/>
        <w:pageBreakBefore w:val="0"/>
        <w:kinsoku/>
        <w:wordWrap/>
        <w:overflowPunct/>
        <w:topLinePunct w:val="0"/>
        <w:bidi w:val="0"/>
        <w:spacing w:line="400" w:lineRule="atLeast"/>
        <w:ind w:left="0" w:leftChars="0" w:firstLine="480" w:firstLineChars="200"/>
        <w:textAlignment w:val="auto"/>
        <w:rPr>
          <w:rFonts w:hint="eastAsia" w:ascii="宋体" w:hAnsi="宋体" w:eastAsia="宋体" w:cs="宋体"/>
          <w:b/>
          <w:bCs w:val="0"/>
          <w:color w:val="auto"/>
          <w:kern w:val="2"/>
          <w:sz w:val="24"/>
          <w:szCs w:val="24"/>
          <w:lang w:val="en-US" w:eastAsia="zh-CN" w:bidi="ar-SA"/>
        </w:rPr>
      </w:pPr>
      <w:bookmarkStart w:id="1" w:name="_Toc33189460"/>
      <w:r>
        <w:rPr>
          <w:rFonts w:hint="eastAsia" w:ascii="宋体" w:hAnsi="宋体" w:eastAsia="宋体" w:cstheme="minorBidi"/>
          <w:color w:val="auto"/>
          <w:kern w:val="2"/>
          <w:sz w:val="24"/>
          <w:szCs w:val="24"/>
          <w:lang w:val="en-US" w:eastAsia="zh-CN" w:bidi="ar-SA"/>
        </w:rPr>
        <w:t>本次评标采用低价中标，按价格由低到高顺序确定中标人。</w:t>
      </w:r>
    </w:p>
    <w:p w14:paraId="64D34B04">
      <w:pPr>
        <w:pStyle w:val="5"/>
        <w:keepNext w:val="0"/>
        <w:keepLines w:val="0"/>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5.确认</w:t>
      </w:r>
      <w:bookmarkEnd w:id="1"/>
    </w:p>
    <w:p w14:paraId="2D1D0E8B">
      <w:pPr>
        <w:keepNext w:val="0"/>
        <w:keepLines w:val="0"/>
        <w:pageBreakBefore w:val="0"/>
        <w:kinsoku/>
        <w:wordWrap/>
        <w:overflowPunct/>
        <w:topLinePunct w:val="0"/>
        <w:bidi w:val="0"/>
        <w:spacing w:line="400" w:lineRule="atLeast"/>
        <w:ind w:firstLine="450"/>
        <w:textAlignment w:val="auto"/>
        <w:rPr>
          <w:rFonts w:hint="eastAsia" w:ascii="宋体" w:hAnsi="宋体" w:eastAsia="宋体"/>
          <w:color w:val="auto"/>
          <w:sz w:val="24"/>
          <w:szCs w:val="24"/>
        </w:rPr>
      </w:pPr>
      <w:r>
        <w:rPr>
          <w:rFonts w:hint="eastAsia" w:ascii="宋体" w:hAnsi="宋体" w:eastAsia="宋体"/>
          <w:color w:val="auto"/>
          <w:sz w:val="24"/>
          <w:szCs w:val="24"/>
          <w:lang w:eastAsia="zh-CN"/>
        </w:rPr>
        <w:t>贵公司</w:t>
      </w:r>
      <w:r>
        <w:rPr>
          <w:rFonts w:hint="eastAsia" w:ascii="宋体" w:hAnsi="宋体" w:eastAsia="宋体"/>
          <w:color w:val="auto"/>
          <w:sz w:val="24"/>
          <w:szCs w:val="24"/>
        </w:rPr>
        <w:t xml:space="preserve">收到本标邀请书后，请于 </w:t>
      </w:r>
      <w:r>
        <w:rPr>
          <w:rFonts w:hint="eastAsia" w:ascii="宋体" w:hAnsi="宋体" w:eastAsia="宋体"/>
          <w:color w:val="auto"/>
          <w:sz w:val="24"/>
          <w:szCs w:val="24"/>
          <w:u w:val="single"/>
          <w:lang w:val="en-US" w:eastAsia="zh-CN"/>
        </w:rPr>
        <w:t>2024</w:t>
      </w:r>
      <w:r>
        <w:rPr>
          <w:rFonts w:hint="eastAsia" w:ascii="宋体" w:hAnsi="宋体" w:eastAsia="宋体"/>
          <w:color w:val="auto"/>
          <w:sz w:val="24"/>
          <w:szCs w:val="24"/>
        </w:rPr>
        <w:t>年</w:t>
      </w:r>
      <w:r>
        <w:rPr>
          <w:rFonts w:hint="eastAsia" w:ascii="宋体" w:hAnsi="宋体" w:eastAsia="宋体"/>
          <w:color w:val="auto"/>
          <w:sz w:val="24"/>
          <w:szCs w:val="24"/>
          <w:u w:val="single"/>
          <w:lang w:val="en-US" w:eastAsia="zh-CN"/>
        </w:rPr>
        <w:t xml:space="preserve"> 12</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 xml:space="preserve">2 </w:t>
      </w:r>
      <w:r>
        <w:rPr>
          <w:rFonts w:hint="eastAsia" w:ascii="宋体" w:hAnsi="宋体" w:eastAsia="宋体"/>
          <w:color w:val="auto"/>
          <w:sz w:val="24"/>
          <w:szCs w:val="24"/>
        </w:rPr>
        <w:t>日</w:t>
      </w:r>
      <w:r>
        <w:rPr>
          <w:rFonts w:hint="eastAsia" w:ascii="宋体" w:hAnsi="宋体" w:eastAsia="宋体"/>
          <w:color w:val="auto"/>
          <w:sz w:val="24"/>
          <w:szCs w:val="24"/>
          <w:u w:val="single"/>
          <w:lang w:val="en-US" w:eastAsia="zh-CN"/>
        </w:rPr>
        <w:t xml:space="preserve"> 10</w:t>
      </w:r>
      <w:r>
        <w:rPr>
          <w:rFonts w:hint="eastAsia" w:ascii="宋体" w:hAnsi="宋体" w:eastAsia="宋体"/>
          <w:color w:val="auto"/>
          <w:sz w:val="24"/>
          <w:szCs w:val="24"/>
        </w:rPr>
        <w:t>时前将确认通知（附件</w:t>
      </w:r>
      <w:r>
        <w:rPr>
          <w:rFonts w:hint="eastAsia" w:ascii="宋体" w:hAnsi="宋体" w:eastAsia="宋体"/>
          <w:color w:val="auto"/>
          <w:sz w:val="24"/>
          <w:szCs w:val="24"/>
          <w:lang w:val="en-US" w:eastAsia="zh-CN"/>
        </w:rPr>
        <w:t>1</w:t>
      </w:r>
      <w:r>
        <w:rPr>
          <w:rFonts w:hint="eastAsia" w:ascii="宋体" w:hAnsi="宋体" w:eastAsia="宋体"/>
          <w:color w:val="auto"/>
          <w:sz w:val="24"/>
          <w:szCs w:val="24"/>
        </w:rPr>
        <w:t>）</w:t>
      </w:r>
      <w:bookmarkStart w:id="2" w:name="_GoBack"/>
      <w:bookmarkEnd w:id="2"/>
      <w:r>
        <w:rPr>
          <w:rFonts w:hint="eastAsia" w:ascii="宋体" w:hAnsi="宋体" w:eastAsia="宋体"/>
          <w:color w:val="auto"/>
          <w:sz w:val="24"/>
          <w:szCs w:val="24"/>
        </w:rPr>
        <w:t>以邮件方式反馈给招标人商务人员，以确认是否参加。在本投标邀请书规定的时间内未表示是否参加或明确表示不参加投标的，不得再参加投标。</w:t>
      </w:r>
    </w:p>
    <w:p w14:paraId="198D599C">
      <w:pPr>
        <w:pageBreakBefore w:val="0"/>
        <w:kinsoku/>
        <w:wordWrap/>
        <w:overflowPunct/>
        <w:topLinePunct w:val="0"/>
        <w:bidi w:val="0"/>
        <w:spacing w:line="400" w:lineRule="atLeast"/>
        <w:textAlignment w:val="auto"/>
        <w:rPr>
          <w:rFonts w:hint="eastAsia" w:ascii="宋体" w:hAnsi="宋体" w:eastAsia="宋体"/>
          <w:sz w:val="24"/>
          <w:szCs w:val="24"/>
          <w:highlight w:val="none"/>
        </w:rPr>
      </w:pPr>
      <w:r>
        <w:rPr>
          <w:rFonts w:hint="eastAsia" w:ascii="宋体" w:hAnsi="宋体" w:eastAsia="宋体"/>
          <w:b/>
          <w:bCs/>
          <w:sz w:val="24"/>
          <w:szCs w:val="24"/>
          <w:highlight w:val="none"/>
          <w:lang w:val="en-US" w:eastAsia="zh-CN"/>
        </w:rPr>
        <w:t>6.</w:t>
      </w:r>
      <w:r>
        <w:rPr>
          <w:rFonts w:hint="eastAsia" w:ascii="宋体" w:hAnsi="宋体" w:eastAsia="宋体"/>
          <w:b/>
          <w:bCs/>
          <w:sz w:val="24"/>
          <w:szCs w:val="24"/>
          <w:highlight w:val="none"/>
        </w:rPr>
        <w:t>投标保证金：</w:t>
      </w:r>
    </w:p>
    <w:p w14:paraId="4DFEB018">
      <w:pPr>
        <w:pageBreakBefore w:val="0"/>
        <w:kinsoku/>
        <w:wordWrap/>
        <w:overflowPunct/>
        <w:topLinePunct w:val="0"/>
        <w:bidi w:val="0"/>
        <w:spacing w:line="400" w:lineRule="atLeast"/>
        <w:textAlignment w:val="auto"/>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.1、投标单位在递交</w:t>
      </w:r>
      <w:r>
        <w:rPr>
          <w:rFonts w:hint="eastAsia" w:ascii="宋体" w:hAnsi="宋体" w:eastAsia="宋体"/>
          <w:sz w:val="24"/>
          <w:szCs w:val="24"/>
          <w:lang w:eastAsia="zh-CN"/>
        </w:rPr>
        <w:t>邀请书</w:t>
      </w:r>
      <w:r>
        <w:rPr>
          <w:rFonts w:hint="eastAsia" w:ascii="宋体" w:hAnsi="宋体" w:eastAsia="宋体"/>
          <w:sz w:val="24"/>
          <w:szCs w:val="24"/>
        </w:rPr>
        <w:t>时需交纳投标保证金，投标保证金电汇形式。</w:t>
      </w:r>
    </w:p>
    <w:p w14:paraId="4D87A74E">
      <w:pPr>
        <w:pageBreakBefore w:val="0"/>
        <w:kinsoku/>
        <w:wordWrap/>
        <w:overflowPunct/>
        <w:topLinePunct w:val="0"/>
        <w:bidi w:val="0"/>
        <w:spacing w:line="400" w:lineRule="atLeast"/>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投标保证金</w:t>
      </w:r>
      <w:r>
        <w:rPr>
          <w:rFonts w:hint="eastAsia" w:asciiTheme="majorEastAsia" w:hAnsiTheme="majorEastAsia" w:eastAsiaTheme="majorEastAsia" w:cstheme="majorEastAsia"/>
          <w:b w:val="0"/>
          <w:bCs w:val="0"/>
          <w:color w:val="auto"/>
          <w:sz w:val="24"/>
          <w:szCs w:val="24"/>
          <w:highlight w:val="none"/>
          <w:u w:val="single"/>
          <w:lang w:val="en-US" w:eastAsia="zh-CN"/>
        </w:rPr>
        <w:t>0.5</w:t>
      </w:r>
      <w:r>
        <w:rPr>
          <w:rFonts w:hint="eastAsia" w:ascii="宋体" w:hAnsi="宋体" w:eastAsia="宋体"/>
          <w:color w:val="auto"/>
          <w:sz w:val="24"/>
          <w:szCs w:val="24"/>
          <w:highlight w:val="none"/>
        </w:rPr>
        <w:t>万元电汇到以下账户：</w:t>
      </w:r>
    </w:p>
    <w:p w14:paraId="59BE4E53">
      <w:pPr>
        <w:pStyle w:val="2"/>
        <w:pageBreakBefore w:val="0"/>
        <w:kinsoku/>
        <w:wordWrap/>
        <w:overflowPunct/>
        <w:topLinePunct w:val="0"/>
        <w:bidi w:val="0"/>
        <w:spacing w:line="400" w:lineRule="atLeast"/>
        <w:textAlignment w:val="auto"/>
        <w:rPr>
          <w:rFonts w:hint="eastAsia" w:eastAsia="宋体"/>
          <w:color w:val="auto"/>
          <w:sz w:val="24"/>
          <w:szCs w:val="24"/>
          <w:highlight w:val="none"/>
          <w:lang w:eastAsia="zh-CN"/>
        </w:rPr>
      </w:pPr>
      <w:r>
        <w:rPr>
          <w:rFonts w:hint="eastAsia" w:eastAsia="宋体"/>
          <w:color w:val="auto"/>
          <w:sz w:val="24"/>
          <w:szCs w:val="24"/>
          <w:highlight w:val="none"/>
          <w:lang w:eastAsia="zh-CN"/>
        </w:rPr>
        <w:t>开</w:t>
      </w:r>
      <w:r>
        <w:rPr>
          <w:rFonts w:hint="eastAsia" w:eastAsia="宋体"/>
          <w:color w:val="auto"/>
          <w:sz w:val="24"/>
          <w:szCs w:val="24"/>
          <w:highlight w:val="none"/>
          <w:lang w:val="en-US" w:eastAsia="zh-CN"/>
        </w:rPr>
        <w:t xml:space="preserve"> </w:t>
      </w:r>
      <w:r>
        <w:rPr>
          <w:rFonts w:hint="eastAsia" w:eastAsia="宋体"/>
          <w:color w:val="auto"/>
          <w:sz w:val="24"/>
          <w:szCs w:val="24"/>
          <w:highlight w:val="none"/>
          <w:lang w:eastAsia="zh-CN"/>
        </w:rPr>
        <w:t>户</w:t>
      </w:r>
      <w:r>
        <w:rPr>
          <w:rFonts w:hint="eastAsia" w:eastAsia="宋体"/>
          <w:color w:val="auto"/>
          <w:sz w:val="24"/>
          <w:szCs w:val="24"/>
          <w:highlight w:val="none"/>
          <w:lang w:val="en-US" w:eastAsia="zh-CN"/>
        </w:rPr>
        <w:t xml:space="preserve"> </w:t>
      </w:r>
      <w:r>
        <w:rPr>
          <w:rFonts w:hint="eastAsia" w:eastAsia="宋体"/>
          <w:color w:val="auto"/>
          <w:sz w:val="24"/>
          <w:szCs w:val="24"/>
          <w:highlight w:val="none"/>
          <w:lang w:eastAsia="zh-CN"/>
        </w:rPr>
        <w:t>名：吉利百矿集团有限公司</w:t>
      </w:r>
    </w:p>
    <w:p w14:paraId="43F86571">
      <w:pPr>
        <w:pageBreakBefore w:val="0"/>
        <w:kinsoku/>
        <w:wordWrap/>
        <w:overflowPunct/>
        <w:topLinePunct w:val="0"/>
        <w:bidi w:val="0"/>
        <w:spacing w:line="400" w:lineRule="atLeast"/>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开户银行：建设银行百色中山支行</w:t>
      </w:r>
    </w:p>
    <w:p w14:paraId="6078CCB4">
      <w:pPr>
        <w:pageBreakBefore w:val="0"/>
        <w:kinsoku/>
        <w:wordWrap/>
        <w:overflowPunct/>
        <w:topLinePunct w:val="0"/>
        <w:bidi w:val="0"/>
        <w:spacing w:line="400" w:lineRule="atLeast"/>
        <w:jc w:val="left"/>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lang w:val="en-US" w:eastAsia="zh-CN"/>
        </w:rPr>
        <w:t>帐   号：4500 1676 1140 5070 2700</w:t>
      </w:r>
    </w:p>
    <w:p w14:paraId="07E55653">
      <w:pPr>
        <w:pageBreakBefore w:val="0"/>
        <w:kinsoku/>
        <w:wordWrap/>
        <w:overflowPunct/>
        <w:topLinePunct w:val="0"/>
        <w:bidi w:val="0"/>
        <w:spacing w:line="400" w:lineRule="atLeast"/>
        <w:textAlignment w:val="auto"/>
        <w:rPr>
          <w:rFonts w:hint="eastAsia" w:ascii="宋体" w:hAnsi="宋体" w:eastAsia="宋体"/>
          <w:color w:val="FF0000"/>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汇款时备注：</w:t>
      </w:r>
      <w:r>
        <w:rPr>
          <w:rFonts w:hint="eastAsia" w:ascii="宋体" w:hAnsi="宋体" w:eastAsia="宋体"/>
          <w:color w:val="auto"/>
          <w:sz w:val="24"/>
          <w:szCs w:val="24"/>
          <w:highlight w:val="none"/>
          <w:u w:val="single"/>
          <w:lang w:val="en-US" w:eastAsia="zh-CN"/>
        </w:rPr>
        <w:t>田林百矿田田碳素有限公司2025年锯末采购项目</w:t>
      </w:r>
      <w:r>
        <w:rPr>
          <w:rFonts w:hint="eastAsia" w:ascii="宋体" w:hAnsi="宋体" w:eastAsia="宋体"/>
          <w:color w:val="auto"/>
          <w:sz w:val="24"/>
          <w:szCs w:val="24"/>
          <w:highlight w:val="none"/>
          <w:u w:val="single"/>
        </w:rPr>
        <w:t>投标保证金</w:t>
      </w:r>
      <w:r>
        <w:rPr>
          <w:rFonts w:hint="eastAsia" w:ascii="宋体" w:hAnsi="宋体" w:eastAsia="宋体"/>
          <w:color w:val="auto"/>
          <w:sz w:val="24"/>
          <w:szCs w:val="24"/>
          <w:highlight w:val="none"/>
        </w:rPr>
        <w:t>）</w:t>
      </w:r>
    </w:p>
    <w:p w14:paraId="74F3CDA8">
      <w:pPr>
        <w:pageBreakBefore w:val="0"/>
        <w:kinsoku/>
        <w:wordWrap/>
        <w:overflowPunct/>
        <w:topLinePunct w:val="0"/>
        <w:bidi w:val="0"/>
        <w:spacing w:line="400" w:lineRule="atLeast"/>
        <w:textAlignment w:val="auto"/>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.2、投标保证金须在开标前到帐。</w:t>
      </w:r>
    </w:p>
    <w:p w14:paraId="735414DB">
      <w:pPr>
        <w:pageBreakBefore w:val="0"/>
        <w:kinsoku/>
        <w:wordWrap/>
        <w:overflowPunct/>
        <w:topLinePunct w:val="0"/>
        <w:bidi w:val="0"/>
        <w:spacing w:line="400" w:lineRule="atLeast"/>
        <w:textAlignment w:val="auto"/>
        <w:rPr>
          <w:rFonts w:hint="eastAsia" w:ascii="宋体" w:hAnsi="宋体" w:eastAsia="宋体" w:cs="宋体"/>
          <w:b w:val="0"/>
          <w:bCs w:val="0"/>
          <w:sz w:val="24"/>
          <w:szCs w:val="24"/>
        </w:rPr>
      </w:pPr>
      <w:r>
        <w:rPr>
          <w:rFonts w:hint="eastAsia" w:ascii="宋体" w:hAnsi="宋体" w:eastAsia="宋体"/>
          <w:color w:val="auto"/>
          <w:sz w:val="24"/>
          <w:szCs w:val="24"/>
          <w:lang w:val="en-US" w:eastAsia="zh-CN"/>
        </w:rPr>
        <w:t>6</w:t>
      </w:r>
      <w:r>
        <w:rPr>
          <w:rFonts w:hint="eastAsia" w:ascii="宋体" w:hAnsi="宋体" w:eastAsia="宋体"/>
          <w:color w:val="auto"/>
          <w:sz w:val="24"/>
          <w:szCs w:val="24"/>
        </w:rPr>
        <w:t>.3、</w:t>
      </w:r>
      <w:r>
        <w:rPr>
          <w:rFonts w:hint="eastAsia" w:ascii="宋体" w:hAnsi="宋体" w:eastAsia="宋体"/>
          <w:color w:val="auto"/>
          <w:sz w:val="24"/>
          <w:szCs w:val="24"/>
          <w:highlight w:val="none"/>
        </w:rPr>
        <w:t>中标人的投标保证金在中标人与招标方签订了经济合同</w:t>
      </w:r>
      <w:r>
        <w:rPr>
          <w:rFonts w:hint="eastAsia" w:ascii="宋体" w:hAnsi="宋体" w:eastAsia="宋体"/>
          <w:color w:val="auto"/>
          <w:sz w:val="24"/>
          <w:szCs w:val="24"/>
          <w:highlight w:val="none"/>
          <w:lang w:val="en-US" w:eastAsia="zh-CN"/>
        </w:rPr>
        <w:t>并重新缴纳履约金至业务单位后退还</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第二预中标人的投标保证金在</w:t>
      </w:r>
      <w:r>
        <w:rPr>
          <w:rFonts w:hint="eastAsia" w:ascii="宋体" w:hAnsi="宋体" w:eastAsia="宋体"/>
          <w:color w:val="auto"/>
          <w:sz w:val="24"/>
          <w:szCs w:val="24"/>
          <w:highlight w:val="none"/>
        </w:rPr>
        <w:t>中标人与招标方签订了经济合同后</w:t>
      </w:r>
      <w:r>
        <w:rPr>
          <w:rFonts w:hint="eastAsia" w:ascii="宋体" w:hAnsi="宋体" w:eastAsia="宋体"/>
          <w:color w:val="auto"/>
          <w:sz w:val="24"/>
          <w:szCs w:val="24"/>
          <w:highlight w:val="none"/>
          <w:lang w:val="en-US" w:eastAsia="zh-CN"/>
        </w:rPr>
        <w:t>退还，</w:t>
      </w:r>
      <w:r>
        <w:rPr>
          <w:rFonts w:hint="eastAsia" w:ascii="宋体" w:hAnsi="宋体" w:eastAsia="宋体" w:cs="宋体"/>
          <w:b w:val="0"/>
          <w:bCs w:val="0"/>
          <w:color w:val="auto"/>
          <w:sz w:val="24"/>
          <w:szCs w:val="24"/>
          <w:highlight w:val="none"/>
        </w:rPr>
        <w:t>其余未中标人的投标保证金将在确定中标人后无息退还。</w:t>
      </w:r>
    </w:p>
    <w:p w14:paraId="1A72F693">
      <w:pPr>
        <w:pageBreakBefore w:val="0"/>
        <w:kinsoku/>
        <w:wordWrap/>
        <w:overflowPunct/>
        <w:topLinePunct w:val="0"/>
        <w:bidi w:val="0"/>
        <w:spacing w:line="400" w:lineRule="atLeas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6.4</w:t>
      </w:r>
      <w:r>
        <w:rPr>
          <w:rFonts w:hint="eastAsia" w:ascii="宋体" w:hAnsi="宋体" w:eastAsia="宋体" w:cs="宋体"/>
          <w:b w:val="0"/>
          <w:bCs w:val="0"/>
          <w:sz w:val="24"/>
          <w:szCs w:val="24"/>
        </w:rPr>
        <w:t>如供应商有下列情况，投标保证金、履约保证金不予退还：</w:t>
      </w:r>
    </w:p>
    <w:p w14:paraId="51318672">
      <w:pPr>
        <w:pageBreakBefore w:val="0"/>
        <w:kinsoku/>
        <w:wordWrap/>
        <w:overflowPunct/>
        <w:topLinePunct w:val="0"/>
        <w:bidi w:val="0"/>
        <w:spacing w:line="400" w:lineRule="atLeast"/>
        <w:ind w:left="479" w:leftChars="228" w:firstLine="0" w:firstLineChars="0"/>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auto"/>
          <w:sz w:val="24"/>
          <w:szCs w:val="24"/>
          <w:highlight w:val="none"/>
          <w:lang w:val="en-US" w:eastAsia="zh-CN"/>
        </w:rPr>
        <w:t>中标人若明示或以其他行为不按规定时间签订或拒不签订正式合同的；</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2）中标人若明示或以其他行为不按规定时间提交招标文件已载明履约保证金的；</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3）中标人因恶意竞争、经营财务发生较大变化等自身原因要求放弃中标的；</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4）投标人在招标过程中存在违法行为或弄虚作假行为的；</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5）投标有效期内投标人撤销投标文件的</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w:t>
      </w:r>
    </w:p>
    <w:p w14:paraId="1F4BD128">
      <w:pPr>
        <w:pageBreakBefore w:val="0"/>
        <w:kinsoku/>
        <w:wordWrap/>
        <w:overflowPunct/>
        <w:topLinePunct w:val="0"/>
        <w:bidi w:val="0"/>
        <w:adjustRightInd w:val="0"/>
        <w:snapToGrid w:val="0"/>
        <w:spacing w:before="156" w:beforeLines="50" w:after="156" w:afterLines="50" w:line="400" w:lineRule="atLeast"/>
        <w:ind w:firstLine="241" w:firstLineChars="100"/>
        <w:textAlignment w:val="auto"/>
        <w:rPr>
          <w:rFonts w:hint="eastAsia" w:ascii="宋体" w:hAnsi="宋体" w:eastAsia="宋体" w:cs="Arial"/>
          <w:b/>
          <w:bCs/>
          <w:color w:val="auto"/>
          <w:sz w:val="24"/>
          <w:lang w:eastAsia="zh-CN"/>
        </w:rPr>
      </w:pPr>
      <w:r>
        <w:rPr>
          <w:rFonts w:hint="eastAsia" w:ascii="宋体" w:hAnsi="宋体" w:cs="Arial"/>
          <w:b/>
          <w:bCs/>
          <w:color w:val="auto"/>
          <w:sz w:val="24"/>
          <w:lang w:val="en-US" w:eastAsia="zh-CN"/>
        </w:rPr>
        <w:t>7.</w:t>
      </w:r>
      <w:r>
        <w:rPr>
          <w:rFonts w:hint="eastAsia" w:ascii="宋体" w:hAnsi="宋体" w:cs="Arial"/>
          <w:b/>
          <w:bCs/>
          <w:color w:val="auto"/>
          <w:sz w:val="24"/>
        </w:rPr>
        <w:t>履约保证金</w:t>
      </w:r>
      <w:r>
        <w:rPr>
          <w:rFonts w:hint="eastAsia" w:ascii="宋体" w:hAnsi="宋体" w:cs="Arial"/>
          <w:b/>
          <w:bCs/>
          <w:color w:val="auto"/>
          <w:sz w:val="24"/>
          <w:lang w:eastAsia="zh-CN"/>
        </w:rPr>
        <w:t>：</w:t>
      </w:r>
    </w:p>
    <w:p w14:paraId="781482F6">
      <w:pPr>
        <w:pageBreakBefore w:val="0"/>
        <w:kinsoku/>
        <w:wordWrap/>
        <w:overflowPunct/>
        <w:topLinePunct w:val="0"/>
        <w:bidi w:val="0"/>
        <w:adjustRightInd w:val="0"/>
        <w:snapToGrid w:val="0"/>
        <w:spacing w:before="156" w:beforeLines="50" w:after="156" w:afterLines="50" w:line="400" w:lineRule="atLeast"/>
        <w:ind w:firstLine="480" w:firstLineChars="200"/>
        <w:textAlignment w:val="auto"/>
        <w:rPr>
          <w:rFonts w:hint="default" w:ascii="宋体" w:hAnsi="宋体" w:cs="Arial" w:eastAsiaTheme="minorEastAsia"/>
          <w:color w:val="FF0000"/>
          <w:sz w:val="24"/>
          <w:lang w:val="en-US" w:eastAsia="zh-CN"/>
        </w:rPr>
      </w:pPr>
      <w:r>
        <w:rPr>
          <w:rFonts w:hint="eastAsia" w:ascii="宋体" w:hAnsi="宋体" w:cs="Arial"/>
          <w:color w:val="000000" w:themeColor="text1"/>
          <w:sz w:val="24"/>
          <w:lang w:val="en-US" w:eastAsia="zh-CN"/>
          <w14:textFill>
            <w14:solidFill>
              <w14:schemeClr w14:val="tx1"/>
            </w14:solidFill>
          </w14:textFill>
        </w:rPr>
        <w:t>7</w:t>
      </w:r>
      <w:r>
        <w:rPr>
          <w:rFonts w:hint="eastAsia" w:ascii="宋体" w:hAnsi="宋体" w:cs="Arial"/>
          <w:color w:val="000000" w:themeColor="text1"/>
          <w:sz w:val="24"/>
          <w14:textFill>
            <w14:solidFill>
              <w14:schemeClr w14:val="tx1"/>
            </w14:solidFill>
          </w14:textFill>
        </w:rPr>
        <w:t>.1</w:t>
      </w:r>
      <w:r>
        <w:rPr>
          <w:rFonts w:hint="eastAsia" w:ascii="宋体" w:hAnsi="宋体" w:cs="Arial"/>
          <w:color w:val="auto"/>
          <w:sz w:val="24"/>
        </w:rPr>
        <w:t>乙方须在本合同签订后</w:t>
      </w:r>
      <w:r>
        <w:rPr>
          <w:rFonts w:hint="eastAsia" w:ascii="宋体" w:hAnsi="宋体" w:cs="Arial"/>
          <w:color w:val="auto"/>
          <w:sz w:val="24"/>
          <w:lang w:val="en-US" w:eastAsia="zh-CN"/>
        </w:rPr>
        <w:t>7</w:t>
      </w:r>
      <w:r>
        <w:rPr>
          <w:rFonts w:hint="eastAsia" w:ascii="宋体" w:hAnsi="宋体" w:cs="Arial"/>
          <w:color w:val="auto"/>
          <w:sz w:val="24"/>
        </w:rPr>
        <w:t>日内向甲方缴纳</w:t>
      </w:r>
      <w:r>
        <w:rPr>
          <w:rFonts w:hint="eastAsia" w:ascii="宋体" w:hAnsi="宋体" w:cs="Arial"/>
          <w:color w:val="auto"/>
          <w:sz w:val="24"/>
          <w:lang w:val="en-US" w:eastAsia="zh-CN"/>
        </w:rPr>
        <w:t>合同金额的5%作为</w:t>
      </w:r>
      <w:r>
        <w:rPr>
          <w:rFonts w:hint="eastAsia" w:ascii="宋体" w:hAnsi="宋体" w:cs="Arial"/>
          <w:color w:val="auto"/>
          <w:sz w:val="24"/>
        </w:rPr>
        <w:t>履约保证金。乙方在投标时已经缴纳的投标保证金在本合同签订</w:t>
      </w:r>
      <w:r>
        <w:rPr>
          <w:rFonts w:hint="eastAsia" w:ascii="宋体" w:hAnsi="宋体" w:cs="Arial"/>
          <w:color w:val="auto"/>
          <w:sz w:val="24"/>
          <w:lang w:val="en-US" w:eastAsia="zh-CN"/>
        </w:rPr>
        <w:t>并重新缴纳</w:t>
      </w:r>
      <w:r>
        <w:rPr>
          <w:rFonts w:hint="eastAsia" w:ascii="宋体" w:hAnsi="宋体" w:cs="Arial"/>
          <w:color w:val="auto"/>
          <w:sz w:val="24"/>
        </w:rPr>
        <w:t>履约保证金后</w:t>
      </w:r>
      <w:r>
        <w:rPr>
          <w:rFonts w:hint="eastAsia" w:ascii="宋体" w:hAnsi="宋体" w:cs="Arial"/>
          <w:color w:val="auto"/>
          <w:sz w:val="24"/>
          <w:lang w:val="en-US" w:eastAsia="zh-CN"/>
        </w:rPr>
        <w:t>退回</w:t>
      </w:r>
      <w:r>
        <w:rPr>
          <w:rFonts w:hint="eastAsia" w:ascii="宋体" w:hAnsi="宋体" w:cs="Arial"/>
          <w:color w:val="000000" w:themeColor="text1"/>
          <w:sz w:val="24"/>
          <w:lang w:val="en-US" w:eastAsia="zh-CN"/>
          <w14:textFill>
            <w14:solidFill>
              <w14:schemeClr w14:val="tx1"/>
            </w14:solidFill>
          </w14:textFill>
        </w:rPr>
        <w:t>。</w:t>
      </w:r>
    </w:p>
    <w:p w14:paraId="25D02A9B">
      <w:pPr>
        <w:pageBreakBefore w:val="0"/>
        <w:kinsoku/>
        <w:wordWrap/>
        <w:overflowPunct/>
        <w:topLinePunct w:val="0"/>
        <w:bidi w:val="0"/>
        <w:adjustRightInd w:val="0"/>
        <w:snapToGrid w:val="0"/>
        <w:spacing w:before="156" w:beforeLines="50" w:after="156" w:afterLines="50" w:line="400" w:lineRule="atLeast"/>
        <w:ind w:firstLine="480" w:firstLineChars="200"/>
        <w:textAlignment w:val="auto"/>
        <w:rPr>
          <w:rFonts w:hint="eastAsia" w:ascii="宋体" w:hAnsi="宋体" w:cs="Arial"/>
          <w:color w:val="auto"/>
          <w:sz w:val="24"/>
        </w:rPr>
      </w:pPr>
      <w:r>
        <w:rPr>
          <w:rFonts w:hint="eastAsia" w:ascii="宋体" w:hAnsi="宋体" w:cs="Arial"/>
          <w:color w:val="auto"/>
          <w:sz w:val="24"/>
          <w:lang w:val="en-US" w:eastAsia="zh-CN"/>
        </w:rPr>
        <w:t>7</w:t>
      </w:r>
      <w:r>
        <w:rPr>
          <w:rFonts w:hint="eastAsia" w:ascii="宋体" w:hAnsi="宋体" w:cs="Arial"/>
          <w:color w:val="auto"/>
          <w:sz w:val="24"/>
        </w:rPr>
        <w:t>.2乙方因违约或其他情形出现给甲方造成损失的事件、事故，所涉违约金或赔偿金，甲方有权从乙方缴纳的履约保证金中扣除，履约保证金不足的，乙方须在不足之日起7日内予以补足（如果甲方尚有未支付给乙方的服务费，则该服务费可以直接转为履约保证金）。</w:t>
      </w:r>
    </w:p>
    <w:p w14:paraId="78C8E1B9">
      <w:pPr>
        <w:pageBreakBefore w:val="0"/>
        <w:kinsoku/>
        <w:wordWrap/>
        <w:overflowPunct/>
        <w:topLinePunct w:val="0"/>
        <w:bidi w:val="0"/>
        <w:adjustRightInd w:val="0"/>
        <w:snapToGrid w:val="0"/>
        <w:spacing w:before="156" w:beforeLines="50" w:after="156" w:afterLines="50" w:line="400" w:lineRule="atLeast"/>
        <w:ind w:firstLine="480" w:firstLineChars="200"/>
        <w:textAlignment w:val="auto"/>
        <w:rPr>
          <w:rFonts w:hint="eastAsia" w:ascii="宋体" w:hAnsi="宋体" w:eastAsia="宋体" w:cs="宋体"/>
          <w:b/>
          <w:bCs/>
          <w:kern w:val="0"/>
          <w:sz w:val="24"/>
          <w:lang w:val="en-US" w:eastAsia="zh-CN"/>
        </w:rPr>
      </w:pPr>
      <w:r>
        <w:rPr>
          <w:rFonts w:hint="eastAsia" w:ascii="宋体" w:hAnsi="宋体" w:cs="Arial"/>
          <w:color w:val="auto"/>
          <w:sz w:val="24"/>
          <w:lang w:val="en-US" w:eastAsia="zh-CN"/>
        </w:rPr>
        <w:t>7</w:t>
      </w:r>
      <w:r>
        <w:rPr>
          <w:rFonts w:hint="eastAsia" w:ascii="宋体" w:hAnsi="宋体" w:cs="Arial"/>
          <w:color w:val="auto"/>
          <w:sz w:val="24"/>
        </w:rPr>
        <w:t>.3履约保证金的退还：乙方按合同履约完成服务业务经甲方确认之日起30日内，甲方将履约保证金全额无息退还给乙方；如有违约金或损失赔偿金等需要扣除的，则退还扣除后的剩余部分。</w:t>
      </w:r>
    </w:p>
    <w:p w14:paraId="1855CCF4">
      <w:pPr>
        <w:pageBreakBefore w:val="0"/>
        <w:widowControl/>
        <w:kinsoku/>
        <w:wordWrap/>
        <w:overflowPunct/>
        <w:topLinePunct w:val="0"/>
        <w:bidi w:val="0"/>
        <w:snapToGrid w:val="0"/>
        <w:spacing w:line="400" w:lineRule="atLeast"/>
        <w:jc w:val="left"/>
        <w:textAlignment w:val="auto"/>
        <w:rPr>
          <w:rFonts w:hint="eastAsia" w:ascii="宋体" w:hAnsi="宋体" w:eastAsia="宋体" w:cs="宋体"/>
          <w:b/>
          <w:bCs/>
          <w:kern w:val="0"/>
          <w:sz w:val="24"/>
        </w:rPr>
      </w:pPr>
      <w:r>
        <w:rPr>
          <w:rFonts w:hint="eastAsia" w:ascii="宋体" w:hAnsi="宋体" w:eastAsia="宋体" w:cs="宋体"/>
          <w:b/>
          <w:bCs/>
          <w:kern w:val="0"/>
          <w:sz w:val="24"/>
          <w:lang w:val="en-US" w:eastAsia="zh-CN"/>
        </w:rPr>
        <w:t>8.</w:t>
      </w:r>
      <w:r>
        <w:rPr>
          <w:rFonts w:hint="eastAsia" w:ascii="宋体" w:hAnsi="宋体" w:eastAsia="宋体" w:cs="宋体"/>
          <w:b/>
          <w:bCs/>
          <w:kern w:val="0"/>
          <w:sz w:val="24"/>
        </w:rPr>
        <w:t>特别约定条款：</w:t>
      </w:r>
    </w:p>
    <w:p w14:paraId="353E8489">
      <w:pPr>
        <w:pageBreakBefore w:val="0"/>
        <w:widowControl/>
        <w:kinsoku/>
        <w:wordWrap/>
        <w:overflowPunct/>
        <w:topLinePunct w:val="0"/>
        <w:bidi w:val="0"/>
        <w:snapToGrid w:val="0"/>
        <w:spacing w:line="400" w:lineRule="atLeast"/>
        <w:ind w:firstLine="480" w:firstLineChars="200"/>
        <w:jc w:val="left"/>
        <w:textAlignment w:val="auto"/>
        <w:rPr>
          <w:rFonts w:hint="eastAsia" w:asciiTheme="majorEastAsia" w:hAnsiTheme="majorEastAsia" w:eastAsiaTheme="majorEastAsia" w:cstheme="majorEastAsia"/>
          <w:kern w:val="0"/>
          <w:sz w:val="24"/>
          <w:szCs w:val="24"/>
        </w:rPr>
      </w:pPr>
      <w:r>
        <w:rPr>
          <w:rFonts w:hint="eastAsia" w:ascii="宋体" w:hAnsi="宋体" w:eastAsia="宋体" w:cs="宋体"/>
          <w:b w:val="0"/>
          <w:bCs w:val="0"/>
          <w:kern w:val="0"/>
          <w:sz w:val="24"/>
        </w:rPr>
        <w:t>鉴于卖方通过参加买方的招投标活动或</w:t>
      </w:r>
      <w:r>
        <w:rPr>
          <w:rFonts w:hint="eastAsia" w:ascii="宋体" w:hAnsi="宋体" w:eastAsia="宋体"/>
          <w:kern w:val="0"/>
          <w:sz w:val="24"/>
          <w:lang w:eastAsia="zh-CN"/>
        </w:rPr>
        <w:t>竞</w:t>
      </w:r>
      <w:r>
        <w:rPr>
          <w:rFonts w:hint="eastAsia" w:ascii="宋体" w:hAnsi="宋体"/>
          <w:kern w:val="0"/>
          <w:sz w:val="24"/>
        </w:rPr>
        <w:t>争性谈判而取得签订本合同的资格，在合同签订后或者合同履行过程中，如果买方发现卖方在投标或者与买方谈判过程中有虚构事实，从而使买方误信卖方符合投标或者谈判条件，进而卖方中标并与买方签订合同的情形，则买方有权单方终止本合同，并且自买方口头或者书面通知卖方</w:t>
      </w:r>
      <w:r>
        <w:rPr>
          <w:rFonts w:hint="eastAsia" w:asciiTheme="majorEastAsia" w:hAnsiTheme="majorEastAsia" w:eastAsiaTheme="majorEastAsia" w:cstheme="majorEastAsia"/>
          <w:kern w:val="0"/>
          <w:sz w:val="24"/>
          <w:szCs w:val="24"/>
        </w:rPr>
        <w:t>合同终止日起本合同终止。</w:t>
      </w:r>
    </w:p>
    <w:p w14:paraId="4D8FF999">
      <w:pPr>
        <w:pStyle w:val="5"/>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kern w:val="2"/>
          <w:sz w:val="24"/>
          <w:szCs w:val="24"/>
          <w:lang w:val="en-US" w:eastAsia="zh-CN" w:bidi="ar-SA"/>
        </w:rPr>
      </w:pPr>
    </w:p>
    <w:p w14:paraId="117C163D">
      <w:pPr>
        <w:pStyle w:val="5"/>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kern w:val="2"/>
          <w:sz w:val="24"/>
          <w:szCs w:val="24"/>
          <w:lang w:val="en-US" w:eastAsia="zh-CN" w:bidi="ar-SA"/>
        </w:rPr>
      </w:pPr>
    </w:p>
    <w:p w14:paraId="5AD7E680">
      <w:pPr>
        <w:pStyle w:val="5"/>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9.联系方式</w:t>
      </w:r>
    </w:p>
    <w:tbl>
      <w:tblPr>
        <w:tblStyle w:val="14"/>
        <w:tblW w:w="6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84"/>
        <w:gridCol w:w="5114"/>
      </w:tblGrid>
      <w:tr w14:paraId="452E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14:paraId="3707B076">
            <w:pPr>
              <w:spacing w:line="400" w:lineRule="exact"/>
              <w:jc w:val="distribute"/>
              <w:rPr>
                <w:rFonts w:hint="eastAsia" w:eastAsiaTheme="minorEastAsia"/>
                <w:color w:val="auto"/>
                <w:kern w:val="0"/>
                <w:sz w:val="24"/>
                <w:szCs w:val="24"/>
                <w:lang w:eastAsia="zh-CN"/>
              </w:rPr>
            </w:pPr>
            <w:r>
              <w:rPr>
                <w:rFonts w:hint="eastAsia"/>
                <w:color w:val="auto"/>
                <w:kern w:val="0"/>
                <w:sz w:val="24"/>
                <w:szCs w:val="24"/>
                <w:lang w:val="en-US" w:eastAsia="zh-CN"/>
              </w:rPr>
              <w:t>公司</w:t>
            </w:r>
          </w:p>
        </w:tc>
        <w:tc>
          <w:tcPr>
            <w:tcW w:w="284" w:type="dxa"/>
            <w:tcBorders>
              <w:top w:val="nil"/>
              <w:left w:val="nil"/>
              <w:bottom w:val="nil"/>
              <w:right w:val="nil"/>
            </w:tcBorders>
            <w:tcMar>
              <w:left w:w="0" w:type="dxa"/>
              <w:right w:w="0" w:type="dxa"/>
            </w:tcMar>
            <w:vAlign w:val="center"/>
          </w:tcPr>
          <w:p w14:paraId="5817FDC4">
            <w:pPr>
              <w:spacing w:line="400" w:lineRule="exact"/>
              <w:rPr>
                <w:color w:val="auto"/>
                <w:kern w:val="0"/>
                <w:sz w:val="24"/>
                <w:szCs w:val="24"/>
              </w:rPr>
            </w:pPr>
            <w:r>
              <w:rPr>
                <w:rFonts w:hint="eastAsia"/>
                <w:color w:val="auto"/>
                <w:kern w:val="0"/>
                <w:sz w:val="24"/>
                <w:szCs w:val="24"/>
              </w:rPr>
              <w:t>：</w:t>
            </w:r>
          </w:p>
        </w:tc>
        <w:tc>
          <w:tcPr>
            <w:tcW w:w="5114" w:type="dxa"/>
            <w:tcBorders>
              <w:top w:val="nil"/>
              <w:left w:val="nil"/>
              <w:right w:val="nil"/>
            </w:tcBorders>
          </w:tcPr>
          <w:p w14:paraId="4F3EB5E8">
            <w:pPr>
              <w:spacing w:line="40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吉利百矿集团有限公司</w:t>
            </w:r>
          </w:p>
        </w:tc>
      </w:tr>
      <w:tr w14:paraId="526B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14:paraId="53164699">
            <w:pPr>
              <w:spacing w:line="400" w:lineRule="exact"/>
              <w:jc w:val="distribute"/>
              <w:rPr>
                <w:color w:val="auto"/>
                <w:kern w:val="0"/>
                <w:sz w:val="24"/>
                <w:szCs w:val="24"/>
              </w:rPr>
            </w:pPr>
            <w:r>
              <w:rPr>
                <w:rFonts w:hint="eastAsia"/>
                <w:color w:val="auto"/>
                <w:kern w:val="0"/>
                <w:sz w:val="24"/>
                <w:szCs w:val="24"/>
              </w:rPr>
              <w:t>地址</w:t>
            </w:r>
          </w:p>
        </w:tc>
        <w:tc>
          <w:tcPr>
            <w:tcW w:w="284" w:type="dxa"/>
            <w:tcBorders>
              <w:top w:val="nil"/>
              <w:left w:val="nil"/>
              <w:bottom w:val="nil"/>
              <w:right w:val="nil"/>
            </w:tcBorders>
            <w:tcMar>
              <w:left w:w="0" w:type="dxa"/>
              <w:right w:w="0" w:type="dxa"/>
            </w:tcMar>
            <w:vAlign w:val="center"/>
          </w:tcPr>
          <w:p w14:paraId="6405D0C5">
            <w:pPr>
              <w:spacing w:line="400" w:lineRule="exact"/>
              <w:rPr>
                <w:color w:val="auto"/>
                <w:kern w:val="0"/>
                <w:sz w:val="24"/>
                <w:szCs w:val="24"/>
              </w:rPr>
            </w:pPr>
            <w:r>
              <w:rPr>
                <w:rFonts w:hint="eastAsia"/>
                <w:color w:val="auto"/>
                <w:kern w:val="0"/>
                <w:sz w:val="24"/>
                <w:szCs w:val="24"/>
              </w:rPr>
              <w:t>：</w:t>
            </w:r>
          </w:p>
        </w:tc>
        <w:tc>
          <w:tcPr>
            <w:tcW w:w="5114" w:type="dxa"/>
            <w:tcBorders>
              <w:left w:val="nil"/>
              <w:right w:val="nil"/>
            </w:tcBorders>
          </w:tcPr>
          <w:p w14:paraId="2F08421A">
            <w:pPr>
              <w:spacing w:line="400" w:lineRule="exact"/>
              <w:rPr>
                <w:rFonts w:hint="eastAsia" w:ascii="宋体" w:hAnsi="宋体" w:eastAsia="宋体"/>
                <w:color w:val="auto"/>
                <w:sz w:val="24"/>
                <w:szCs w:val="24"/>
                <w:lang w:val="en-US" w:eastAsia="zh-CN"/>
              </w:rPr>
            </w:pPr>
            <w:r>
              <w:rPr>
                <w:rFonts w:hint="eastAsia" w:ascii="宋体" w:hAnsi="宋体" w:eastAsia="宋体"/>
                <w:color w:val="auto"/>
                <w:sz w:val="24"/>
                <w:szCs w:val="24"/>
              </w:rPr>
              <w:t>广西</w:t>
            </w:r>
            <w:r>
              <w:rPr>
                <w:rFonts w:hint="eastAsia" w:ascii="宋体" w:hAnsi="宋体" w:eastAsia="宋体"/>
                <w:color w:val="auto"/>
                <w:sz w:val="24"/>
                <w:szCs w:val="24"/>
                <w:lang w:eastAsia="zh-CN"/>
              </w:rPr>
              <w:t>百色市右江区东增路</w:t>
            </w:r>
            <w:r>
              <w:rPr>
                <w:rFonts w:hint="eastAsia" w:ascii="宋体" w:hAnsi="宋体" w:eastAsia="宋体"/>
                <w:color w:val="auto"/>
                <w:sz w:val="24"/>
                <w:szCs w:val="24"/>
                <w:lang w:val="en-US" w:eastAsia="zh-CN"/>
              </w:rPr>
              <w:t>188号</w:t>
            </w:r>
          </w:p>
        </w:tc>
      </w:tr>
      <w:tr w14:paraId="6E78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14:paraId="5EBCA507">
            <w:pPr>
              <w:spacing w:line="400" w:lineRule="exact"/>
              <w:jc w:val="distribute"/>
              <w:rPr>
                <w:color w:val="auto"/>
                <w:kern w:val="0"/>
                <w:sz w:val="24"/>
                <w:szCs w:val="24"/>
              </w:rPr>
            </w:pPr>
            <w:r>
              <w:rPr>
                <w:rFonts w:hint="eastAsia"/>
                <w:color w:val="auto"/>
                <w:kern w:val="0"/>
                <w:sz w:val="24"/>
                <w:szCs w:val="24"/>
              </w:rPr>
              <w:t>网址</w:t>
            </w:r>
          </w:p>
        </w:tc>
        <w:tc>
          <w:tcPr>
            <w:tcW w:w="284" w:type="dxa"/>
            <w:tcBorders>
              <w:top w:val="nil"/>
              <w:left w:val="nil"/>
              <w:bottom w:val="nil"/>
              <w:right w:val="nil"/>
            </w:tcBorders>
            <w:tcMar>
              <w:left w:w="0" w:type="dxa"/>
              <w:right w:w="0" w:type="dxa"/>
            </w:tcMar>
            <w:vAlign w:val="center"/>
          </w:tcPr>
          <w:p w14:paraId="5E480D65">
            <w:pPr>
              <w:spacing w:line="400" w:lineRule="exact"/>
              <w:rPr>
                <w:rFonts w:hint="eastAsia" w:ascii="宋体" w:hAnsi="宋体" w:eastAsia="宋体"/>
                <w:color w:val="auto"/>
                <w:sz w:val="24"/>
                <w:szCs w:val="24"/>
              </w:rPr>
            </w:pPr>
            <w:r>
              <w:rPr>
                <w:rFonts w:hint="eastAsia" w:ascii="宋体" w:hAnsi="宋体" w:eastAsia="宋体"/>
                <w:color w:val="auto"/>
                <w:sz w:val="24"/>
                <w:szCs w:val="24"/>
              </w:rPr>
              <w:t>：</w:t>
            </w:r>
          </w:p>
        </w:tc>
        <w:tc>
          <w:tcPr>
            <w:tcW w:w="5114" w:type="dxa"/>
            <w:tcBorders>
              <w:left w:val="nil"/>
              <w:right w:val="nil"/>
            </w:tcBorders>
          </w:tcPr>
          <w:p w14:paraId="5510B8A9">
            <w:pPr>
              <w:spacing w:line="400" w:lineRule="exact"/>
              <w:rPr>
                <w:rFonts w:hint="eastAsia" w:ascii="宋体" w:hAnsi="宋体" w:eastAsia="宋体"/>
                <w:color w:val="auto"/>
                <w:sz w:val="24"/>
                <w:szCs w:val="24"/>
              </w:rPr>
            </w:pP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HYPERLINK "https://glzb.geely.com" </w:instrText>
            </w:r>
            <w:r>
              <w:rPr>
                <w:rFonts w:hint="eastAsia" w:ascii="宋体" w:hAnsi="宋体" w:eastAsia="宋体"/>
                <w:color w:val="auto"/>
                <w:sz w:val="24"/>
                <w:szCs w:val="24"/>
              </w:rPr>
              <w:fldChar w:fldCharType="separate"/>
            </w:r>
            <w:r>
              <w:rPr>
                <w:rFonts w:hint="eastAsia" w:ascii="宋体" w:hAnsi="宋体" w:eastAsia="宋体"/>
                <w:color w:val="auto"/>
                <w:sz w:val="24"/>
                <w:szCs w:val="24"/>
              </w:rPr>
              <w:t>https://glzb.geely.com</w:t>
            </w:r>
            <w:r>
              <w:rPr>
                <w:rFonts w:hint="eastAsia" w:ascii="宋体" w:hAnsi="宋体" w:eastAsia="宋体"/>
                <w:color w:val="auto"/>
                <w:sz w:val="24"/>
                <w:szCs w:val="24"/>
              </w:rPr>
              <w:fldChar w:fldCharType="end"/>
            </w:r>
          </w:p>
        </w:tc>
      </w:tr>
      <w:tr w14:paraId="3B57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14:paraId="30779425">
            <w:pPr>
              <w:spacing w:line="400" w:lineRule="exact"/>
              <w:jc w:val="center"/>
              <w:rPr>
                <w:rFonts w:hint="eastAsia" w:ascii="宋体" w:hAnsi="宋体" w:eastAsia="宋体"/>
                <w:color w:val="auto"/>
                <w:sz w:val="24"/>
                <w:szCs w:val="24"/>
              </w:rPr>
            </w:pPr>
            <w:r>
              <w:rPr>
                <w:rFonts w:hint="eastAsia" w:ascii="宋体" w:hAnsi="宋体" w:eastAsia="宋体"/>
                <w:color w:val="auto"/>
                <w:sz w:val="24"/>
                <w:szCs w:val="24"/>
              </w:rPr>
              <w:t>联系人</w:t>
            </w:r>
          </w:p>
        </w:tc>
        <w:tc>
          <w:tcPr>
            <w:tcW w:w="284" w:type="dxa"/>
            <w:tcBorders>
              <w:top w:val="nil"/>
              <w:left w:val="nil"/>
              <w:bottom w:val="nil"/>
              <w:right w:val="nil"/>
            </w:tcBorders>
            <w:tcMar>
              <w:left w:w="0" w:type="dxa"/>
              <w:right w:w="0" w:type="dxa"/>
            </w:tcMar>
            <w:vAlign w:val="center"/>
          </w:tcPr>
          <w:p w14:paraId="45A2928A">
            <w:pPr>
              <w:spacing w:line="400" w:lineRule="exact"/>
              <w:rPr>
                <w:color w:val="auto"/>
                <w:kern w:val="0"/>
                <w:sz w:val="24"/>
                <w:szCs w:val="24"/>
              </w:rPr>
            </w:pPr>
            <w:r>
              <w:rPr>
                <w:rFonts w:hint="eastAsia"/>
                <w:color w:val="auto"/>
                <w:kern w:val="0"/>
                <w:sz w:val="24"/>
                <w:szCs w:val="24"/>
              </w:rPr>
              <w:t>：</w:t>
            </w:r>
          </w:p>
        </w:tc>
        <w:tc>
          <w:tcPr>
            <w:tcW w:w="5114" w:type="dxa"/>
            <w:tcBorders>
              <w:left w:val="nil"/>
              <w:right w:val="nil"/>
            </w:tcBorders>
          </w:tcPr>
          <w:p w14:paraId="6408CB2B">
            <w:pPr>
              <w:spacing w:line="400" w:lineRule="exact"/>
              <w:rPr>
                <w:rFonts w:hint="default" w:ascii="宋体" w:hAnsi="宋体" w:eastAsia="宋体"/>
                <w:color w:val="auto"/>
                <w:sz w:val="24"/>
                <w:szCs w:val="24"/>
                <w:lang w:val="en-US"/>
              </w:rPr>
            </w:pPr>
            <w:r>
              <w:rPr>
                <w:rFonts w:hint="eastAsia" w:ascii="宋体" w:hAnsi="宋体" w:eastAsia="宋体"/>
                <w:color w:val="auto"/>
                <w:sz w:val="24"/>
                <w:szCs w:val="24"/>
                <w:lang w:val="en-US" w:eastAsia="zh-CN"/>
              </w:rPr>
              <w:t>马龙剑15669223988</w:t>
            </w:r>
          </w:p>
        </w:tc>
      </w:tr>
      <w:tr w14:paraId="44F2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14:paraId="67B41EDC">
            <w:pPr>
              <w:spacing w:line="400" w:lineRule="exact"/>
              <w:jc w:val="distribute"/>
              <w:rPr>
                <w:color w:val="auto"/>
                <w:kern w:val="0"/>
                <w:sz w:val="24"/>
                <w:szCs w:val="24"/>
              </w:rPr>
            </w:pPr>
            <w:r>
              <w:rPr>
                <w:color w:val="auto"/>
                <w:kern w:val="0"/>
                <w:sz w:val="24"/>
                <w:szCs w:val="24"/>
              </w:rPr>
              <w:t>邮箱</w:t>
            </w:r>
          </w:p>
        </w:tc>
        <w:tc>
          <w:tcPr>
            <w:tcW w:w="284" w:type="dxa"/>
            <w:tcBorders>
              <w:top w:val="nil"/>
              <w:left w:val="nil"/>
              <w:bottom w:val="nil"/>
              <w:right w:val="nil"/>
            </w:tcBorders>
            <w:tcMar>
              <w:left w:w="0" w:type="dxa"/>
              <w:right w:w="0" w:type="dxa"/>
            </w:tcMar>
            <w:vAlign w:val="center"/>
          </w:tcPr>
          <w:p w14:paraId="607DF69A">
            <w:pPr>
              <w:spacing w:line="400" w:lineRule="exact"/>
              <w:rPr>
                <w:color w:val="auto"/>
                <w:kern w:val="0"/>
                <w:sz w:val="24"/>
                <w:szCs w:val="24"/>
              </w:rPr>
            </w:pPr>
            <w:r>
              <w:rPr>
                <w:rFonts w:hint="eastAsia"/>
                <w:color w:val="auto"/>
                <w:kern w:val="0"/>
                <w:sz w:val="24"/>
                <w:szCs w:val="24"/>
              </w:rPr>
              <w:t>：</w:t>
            </w:r>
          </w:p>
        </w:tc>
        <w:tc>
          <w:tcPr>
            <w:tcW w:w="5114" w:type="dxa"/>
            <w:tcBorders>
              <w:left w:val="nil"/>
              <w:right w:val="nil"/>
            </w:tcBorders>
          </w:tcPr>
          <w:p w14:paraId="1E9BBD35">
            <w:pPr>
              <w:spacing w:line="40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LongJian.Ma@geely.com</w:t>
            </w:r>
          </w:p>
        </w:tc>
      </w:tr>
    </w:tbl>
    <w:p w14:paraId="3543C781">
      <w:pPr>
        <w:pageBreakBefore w:val="0"/>
        <w:tabs>
          <w:tab w:val="left" w:pos="600"/>
        </w:tabs>
        <w:kinsoku/>
        <w:wordWrap/>
        <w:overflowPunct/>
        <w:topLinePunct w:val="0"/>
        <w:bidi w:val="0"/>
        <w:spacing w:line="400" w:lineRule="atLeast"/>
        <w:textAlignment w:val="auto"/>
        <w:rPr>
          <w:rFonts w:hint="eastAsia" w:asciiTheme="majorEastAsia" w:hAnsiTheme="majorEastAsia" w:eastAsiaTheme="majorEastAsia" w:cstheme="majorEastAsia"/>
          <w:b/>
          <w:szCs w:val="21"/>
        </w:rPr>
      </w:pPr>
      <w:r>
        <w:rPr>
          <w:rFonts w:hint="eastAsia" w:ascii="宋体" w:hAnsi="宋体" w:eastAsia="宋体"/>
          <w:sz w:val="24"/>
          <w:szCs w:val="24"/>
        </w:rPr>
        <w:t>注：无论</w:t>
      </w:r>
      <w:r>
        <w:rPr>
          <w:rFonts w:hint="eastAsia" w:ascii="宋体" w:hAnsi="宋体" w:eastAsia="宋体"/>
          <w:sz w:val="24"/>
          <w:szCs w:val="24"/>
          <w:lang w:val="en-US" w:eastAsia="zh-CN"/>
        </w:rPr>
        <w:t>报价</w:t>
      </w:r>
      <w:r>
        <w:rPr>
          <w:rFonts w:hint="eastAsia" w:ascii="宋体" w:hAnsi="宋体" w:eastAsia="宋体"/>
          <w:sz w:val="24"/>
          <w:szCs w:val="24"/>
        </w:rPr>
        <w:t>结果如何</w:t>
      </w:r>
      <w:r>
        <w:rPr>
          <w:rFonts w:hint="eastAsia" w:ascii="宋体" w:hAnsi="宋体" w:eastAsia="宋体"/>
          <w:sz w:val="24"/>
          <w:szCs w:val="24"/>
          <w:lang w:val="en-US" w:eastAsia="zh-CN"/>
        </w:rPr>
        <w:t>报价</w:t>
      </w:r>
      <w:r>
        <w:rPr>
          <w:rFonts w:hint="eastAsia" w:ascii="宋体" w:hAnsi="宋体" w:eastAsia="宋体"/>
          <w:sz w:val="24"/>
          <w:szCs w:val="24"/>
        </w:rPr>
        <w:t>人自行承担所有与参加</w:t>
      </w:r>
      <w:r>
        <w:rPr>
          <w:rFonts w:hint="eastAsia" w:ascii="宋体" w:hAnsi="宋体" w:eastAsia="宋体"/>
          <w:sz w:val="24"/>
          <w:szCs w:val="24"/>
          <w:lang w:val="en-US" w:eastAsia="zh-CN"/>
        </w:rPr>
        <w:t>采购</w:t>
      </w:r>
      <w:r>
        <w:rPr>
          <w:rFonts w:hint="eastAsia" w:ascii="宋体" w:hAnsi="宋体" w:eastAsia="宋体"/>
          <w:sz w:val="24"/>
          <w:szCs w:val="24"/>
        </w:rPr>
        <w:t>活动有关的全部费用。</w:t>
      </w:r>
    </w:p>
    <w:p w14:paraId="45D60B88">
      <w:pPr>
        <w:rPr>
          <w:rFonts w:hint="eastAsia" w:asciiTheme="majorEastAsia" w:hAnsiTheme="majorEastAsia" w:eastAsiaTheme="majorEastAsia" w:cstheme="majorEastAsia"/>
          <w:b/>
          <w:szCs w:val="21"/>
        </w:rPr>
      </w:pPr>
    </w:p>
    <w:p w14:paraId="3081215E">
      <w:pP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附件</w:t>
      </w:r>
      <w:r>
        <w:rPr>
          <w:rFonts w:hint="eastAsia" w:asciiTheme="majorEastAsia" w:hAnsiTheme="majorEastAsia" w:eastAsiaTheme="majorEastAsia" w:cstheme="majorEastAsia"/>
          <w:b/>
          <w:szCs w:val="21"/>
          <w:lang w:val="en-US" w:eastAsia="zh-CN"/>
        </w:rPr>
        <w:t>1</w:t>
      </w:r>
      <w:r>
        <w:rPr>
          <w:rFonts w:hint="eastAsia" w:asciiTheme="majorEastAsia" w:hAnsiTheme="majorEastAsia" w:eastAsiaTheme="majorEastAsia" w:cstheme="majorEastAsia"/>
          <w:b/>
          <w:szCs w:val="21"/>
        </w:rPr>
        <w:t>：</w:t>
      </w:r>
      <w:r>
        <w:rPr>
          <w:rFonts w:hint="eastAsia" w:asciiTheme="majorEastAsia" w:hAnsiTheme="majorEastAsia" w:eastAsiaTheme="majorEastAsia" w:cstheme="majorEastAsia"/>
          <w:b/>
          <w:szCs w:val="21"/>
          <w:lang w:val="en-US" w:eastAsia="zh-CN"/>
        </w:rPr>
        <w:t>参与</w:t>
      </w:r>
      <w:r>
        <w:rPr>
          <w:rFonts w:hint="eastAsia" w:asciiTheme="majorEastAsia" w:hAnsiTheme="majorEastAsia" w:eastAsiaTheme="majorEastAsia" w:cstheme="majorEastAsia"/>
          <w:b/>
          <w:szCs w:val="21"/>
        </w:rPr>
        <w:t>确认通知</w:t>
      </w:r>
    </w:p>
    <w:p w14:paraId="634875A1">
      <w:pPr>
        <w:spacing w:line="360" w:lineRule="auto"/>
        <w:ind w:firstLine="420"/>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 w:val="24"/>
          <w:szCs w:val="24"/>
          <w:lang w:val="en-US" w:eastAsia="zh-CN"/>
        </w:rPr>
        <w:t>参与</w:t>
      </w:r>
      <w:r>
        <w:rPr>
          <w:rFonts w:hint="eastAsia" w:asciiTheme="majorEastAsia" w:hAnsiTheme="majorEastAsia" w:eastAsiaTheme="majorEastAsia" w:cstheme="majorEastAsia"/>
          <w:b/>
          <w:sz w:val="24"/>
          <w:szCs w:val="24"/>
        </w:rPr>
        <w:t>确认通知</w:t>
      </w:r>
    </w:p>
    <w:p w14:paraId="45CEF72F">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bCs/>
          <w:sz w:val="21"/>
          <w:szCs w:val="21"/>
          <w:u w:val="single"/>
          <w:lang w:val="en-US" w:eastAsia="zh-CN"/>
        </w:rPr>
        <w:t>吉利百矿集团有限公司</w:t>
      </w:r>
      <w:r>
        <w:rPr>
          <w:rFonts w:hint="eastAsia" w:asciiTheme="majorEastAsia" w:hAnsiTheme="majorEastAsia" w:eastAsiaTheme="majorEastAsia" w:cstheme="majorEastAsia"/>
          <w:sz w:val="21"/>
          <w:szCs w:val="21"/>
        </w:rPr>
        <w:t>：</w:t>
      </w:r>
    </w:p>
    <w:p w14:paraId="33109367">
      <w:pPr>
        <w:spacing w:line="360" w:lineRule="auto"/>
        <w:ind w:firstLine="420"/>
        <w:rPr>
          <w:rFonts w:hint="eastAsia" w:asciiTheme="majorEastAsia" w:hAnsiTheme="majorEastAsia" w:eastAsiaTheme="majorEastAsia" w:cstheme="majorEastAsia"/>
          <w:sz w:val="21"/>
          <w:szCs w:val="21"/>
        </w:rPr>
      </w:pPr>
    </w:p>
    <w:p w14:paraId="6F113FA3">
      <w:pPr>
        <w:spacing w:line="360" w:lineRule="auto"/>
        <w:ind w:firstLine="42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我方已于</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日收到你方</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日发出的</w:t>
      </w:r>
      <w:r>
        <w:rPr>
          <w:rFonts w:hint="eastAsia" w:asciiTheme="majorEastAsia" w:hAnsiTheme="majorEastAsia" w:eastAsiaTheme="majorEastAsia" w:cstheme="majorEastAsia"/>
          <w:sz w:val="21"/>
          <w:szCs w:val="21"/>
          <w:u w:val="single"/>
        </w:rPr>
        <w:t xml:space="preserve">                           </w:t>
      </w:r>
      <w:r>
        <w:rPr>
          <w:rFonts w:hint="eastAsia" w:ascii="宋体" w:hAnsi="宋体" w:eastAsia="宋体" w:cs="宋体"/>
          <w:b w:val="0"/>
          <w:bCs w:val="0"/>
          <w:sz w:val="21"/>
          <w:szCs w:val="21"/>
        </w:rPr>
        <w:t>（</w:t>
      </w:r>
      <w:r>
        <w:rPr>
          <w:rFonts w:hint="eastAsia" w:asciiTheme="majorEastAsia" w:hAnsiTheme="majorEastAsia" w:eastAsiaTheme="majorEastAsia" w:cstheme="majorEastAsia"/>
          <w:b w:val="0"/>
          <w:bCs w:val="0"/>
          <w:sz w:val="21"/>
          <w:szCs w:val="21"/>
          <w:lang w:val="en-US" w:eastAsia="zh-CN"/>
        </w:rPr>
        <w:t>炉面接口控制组件采</w:t>
      </w:r>
      <w:r>
        <w:rPr>
          <w:rFonts w:hint="eastAsia" w:ascii="宋体" w:hAnsi="宋体" w:eastAsia="宋体" w:cs="宋体"/>
          <w:b w:val="0"/>
          <w:bCs w:val="0"/>
          <w:sz w:val="21"/>
          <w:szCs w:val="21"/>
          <w:lang w:val="en-US" w:eastAsia="zh-CN"/>
        </w:rPr>
        <w:t>购</w:t>
      </w:r>
      <w:r>
        <w:rPr>
          <w:rFonts w:hint="eastAsia" w:ascii="宋体" w:hAnsi="宋体" w:eastAsia="宋体" w:cs="宋体"/>
          <w:b w:val="0"/>
          <w:bCs w:val="0"/>
          <w:sz w:val="21"/>
          <w:szCs w:val="21"/>
        </w:rPr>
        <w:t>）</w:t>
      </w:r>
      <w:r>
        <w:rPr>
          <w:rFonts w:hint="eastAsia" w:asciiTheme="majorEastAsia" w:hAnsiTheme="majorEastAsia" w:eastAsiaTheme="majorEastAsia" w:cstheme="majorEastAsia"/>
          <w:sz w:val="21"/>
          <w:szCs w:val="21"/>
        </w:rPr>
        <w:t>的投标邀请书，并确认</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（参加/不参加）</w:t>
      </w:r>
      <w:r>
        <w:rPr>
          <w:rFonts w:hint="eastAsia" w:asciiTheme="majorEastAsia" w:hAnsiTheme="majorEastAsia" w:eastAsiaTheme="majorEastAsia" w:cstheme="majorEastAsia"/>
          <w:sz w:val="21"/>
          <w:szCs w:val="21"/>
          <w:lang w:val="en-US" w:eastAsia="zh-CN"/>
        </w:rPr>
        <w:t>竞价</w:t>
      </w:r>
      <w:r>
        <w:rPr>
          <w:rFonts w:hint="eastAsia" w:asciiTheme="majorEastAsia" w:hAnsiTheme="majorEastAsia" w:eastAsiaTheme="majorEastAsia" w:cstheme="majorEastAsia"/>
          <w:sz w:val="21"/>
          <w:szCs w:val="21"/>
        </w:rPr>
        <w:t>。</w:t>
      </w:r>
    </w:p>
    <w:p w14:paraId="6D3A1AC4">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u w:val="none"/>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1</w:t>
      </w: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u w:val="none"/>
        </w:rPr>
        <w:t>货物交货期为满足</w:t>
      </w:r>
      <w:r>
        <w:rPr>
          <w:rFonts w:hint="eastAsia" w:asciiTheme="majorEastAsia" w:hAnsiTheme="majorEastAsia" w:eastAsiaTheme="majorEastAsia" w:cstheme="majorEastAsia"/>
          <w:b w:val="0"/>
          <w:bCs w:val="0"/>
          <w:sz w:val="21"/>
          <w:szCs w:val="21"/>
          <w:u w:val="single"/>
          <w:lang w:val="en-US" w:eastAsia="zh-CN"/>
        </w:rPr>
        <w:t>田林百矿田田碳素有限公司2024年锯末采购项目</w:t>
      </w:r>
      <w:r>
        <w:rPr>
          <w:rFonts w:hint="eastAsia" w:asciiTheme="majorEastAsia" w:hAnsiTheme="majorEastAsia" w:eastAsiaTheme="majorEastAsia" w:cstheme="majorEastAsia"/>
          <w:b w:val="0"/>
          <w:bCs w:val="0"/>
          <w:sz w:val="21"/>
          <w:szCs w:val="21"/>
          <w:u w:val="none"/>
          <w:lang w:val="en-US" w:eastAsia="zh-CN"/>
        </w:rPr>
        <w:t>邀请书</w:t>
      </w:r>
      <w:r>
        <w:rPr>
          <w:rFonts w:hint="eastAsia" w:asciiTheme="majorEastAsia" w:hAnsiTheme="majorEastAsia" w:eastAsiaTheme="majorEastAsia" w:cstheme="majorEastAsia"/>
          <w:b w:val="0"/>
          <w:bCs w:val="0"/>
          <w:sz w:val="21"/>
          <w:szCs w:val="21"/>
          <w:u w:val="none"/>
        </w:rPr>
        <w:t>规定的交货期要求。</w:t>
      </w:r>
    </w:p>
    <w:p w14:paraId="4BDD4C93">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2</w:t>
      </w:r>
      <w:r>
        <w:rPr>
          <w:rFonts w:hint="eastAsia" w:asciiTheme="majorEastAsia" w:hAnsiTheme="majorEastAsia" w:eastAsiaTheme="majorEastAsia" w:cstheme="majorEastAsia"/>
          <w:b w:val="0"/>
          <w:bCs w:val="0"/>
          <w:sz w:val="21"/>
          <w:szCs w:val="21"/>
        </w:rPr>
        <w:t>)投标方已详细审查</w:t>
      </w:r>
      <w:r>
        <w:rPr>
          <w:rFonts w:hint="eastAsia" w:asciiTheme="majorEastAsia" w:hAnsiTheme="majorEastAsia" w:eastAsiaTheme="majorEastAsia" w:cstheme="majorEastAsia"/>
          <w:b w:val="0"/>
          <w:bCs w:val="0"/>
          <w:sz w:val="21"/>
          <w:szCs w:val="21"/>
          <w:u w:val="single"/>
          <w:lang w:val="en-US" w:eastAsia="zh-CN"/>
        </w:rPr>
        <w:t>田林百矿田田碳素有限公司2025年锯末采购项目</w:t>
      </w:r>
      <w:r>
        <w:rPr>
          <w:rFonts w:hint="eastAsia" w:asciiTheme="majorEastAsia" w:hAnsiTheme="majorEastAsia" w:eastAsiaTheme="majorEastAsia" w:cstheme="majorEastAsia"/>
          <w:b w:val="0"/>
          <w:bCs w:val="0"/>
          <w:sz w:val="21"/>
          <w:szCs w:val="21"/>
          <w:lang w:eastAsia="zh-CN"/>
        </w:rPr>
        <w:t>采购</w:t>
      </w:r>
      <w:r>
        <w:rPr>
          <w:rFonts w:hint="eastAsia" w:asciiTheme="majorEastAsia" w:hAnsiTheme="majorEastAsia" w:eastAsiaTheme="majorEastAsia" w:cstheme="majorEastAsia"/>
          <w:b w:val="0"/>
          <w:bCs w:val="0"/>
          <w:sz w:val="21"/>
          <w:szCs w:val="21"/>
          <w:lang w:val="en-US" w:eastAsia="zh-CN"/>
        </w:rPr>
        <w:t>项目</w:t>
      </w:r>
      <w:r>
        <w:rPr>
          <w:rFonts w:hint="eastAsia" w:asciiTheme="majorEastAsia" w:hAnsiTheme="majorEastAsia" w:eastAsiaTheme="majorEastAsia" w:cstheme="majorEastAsia"/>
          <w:b w:val="0"/>
          <w:bCs w:val="0"/>
          <w:sz w:val="21"/>
          <w:szCs w:val="21"/>
          <w:u w:val="none"/>
          <w:lang w:val="en-US" w:eastAsia="zh-CN"/>
        </w:rPr>
        <w:t>邀请书并响应（2.6技术要求）</w:t>
      </w:r>
      <w:r>
        <w:rPr>
          <w:rFonts w:hint="eastAsia" w:asciiTheme="majorEastAsia" w:hAnsiTheme="majorEastAsia" w:eastAsiaTheme="majorEastAsia" w:cstheme="majorEastAsia"/>
          <w:b w:val="0"/>
          <w:bCs w:val="0"/>
          <w:sz w:val="21"/>
          <w:szCs w:val="21"/>
        </w:rPr>
        <w:t>以及全部参考资料和有关附件。</w:t>
      </w:r>
    </w:p>
    <w:p w14:paraId="35E35D9C">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3）</w:t>
      </w:r>
      <w:r>
        <w:rPr>
          <w:rFonts w:hint="eastAsia" w:asciiTheme="majorEastAsia" w:hAnsiTheme="majorEastAsia" w:eastAsiaTheme="majorEastAsia" w:cstheme="majorEastAsia"/>
          <w:b w:val="0"/>
          <w:bCs w:val="0"/>
          <w:sz w:val="21"/>
          <w:szCs w:val="21"/>
        </w:rPr>
        <w:t>投标方将按</w:t>
      </w:r>
      <w:r>
        <w:rPr>
          <w:rFonts w:hint="eastAsia" w:asciiTheme="majorEastAsia" w:hAnsiTheme="majorEastAsia" w:eastAsiaTheme="majorEastAsia" w:cstheme="majorEastAsia"/>
          <w:b w:val="0"/>
          <w:bCs w:val="0"/>
          <w:sz w:val="21"/>
          <w:szCs w:val="21"/>
          <w:u w:val="single"/>
          <w:lang w:val="en-US" w:eastAsia="zh-CN"/>
        </w:rPr>
        <w:t>田林百矿田田碳素有限公司2025年锯末采购项目</w:t>
      </w:r>
      <w:r>
        <w:rPr>
          <w:rFonts w:hint="eastAsia" w:asciiTheme="majorEastAsia" w:hAnsiTheme="majorEastAsia" w:eastAsiaTheme="majorEastAsia" w:cstheme="majorEastAsia"/>
          <w:b w:val="0"/>
          <w:bCs w:val="0"/>
          <w:sz w:val="21"/>
          <w:szCs w:val="21"/>
          <w:lang w:eastAsia="zh-CN"/>
        </w:rPr>
        <w:t>采购项目邀请书</w:t>
      </w:r>
      <w:r>
        <w:rPr>
          <w:rFonts w:hint="eastAsia" w:asciiTheme="majorEastAsia" w:hAnsiTheme="majorEastAsia" w:eastAsiaTheme="majorEastAsia" w:cstheme="majorEastAsia"/>
          <w:b w:val="0"/>
          <w:bCs w:val="0"/>
          <w:sz w:val="21"/>
          <w:szCs w:val="21"/>
        </w:rPr>
        <w:t>的规定履行合同责任和义务。</w:t>
      </w:r>
    </w:p>
    <w:p w14:paraId="074C3DFD">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lang w:eastAsia="zh-CN"/>
        </w:rPr>
      </w:pPr>
      <w:r>
        <w:rPr>
          <w:rFonts w:hint="eastAsia" w:asciiTheme="majorEastAsia" w:hAnsiTheme="majorEastAsia" w:eastAsiaTheme="majorEastAsia" w:cstheme="majorEastAsia"/>
          <w:b w:val="0"/>
          <w:bCs w:val="0"/>
          <w:sz w:val="21"/>
          <w:szCs w:val="21"/>
          <w:lang w:val="en-US" w:eastAsia="zh-CN"/>
        </w:rPr>
        <w:t>(4</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sz w:val="21"/>
          <w:szCs w:val="21"/>
        </w:rPr>
        <w:t>邮箱</w:t>
      </w:r>
      <w:r>
        <w:rPr>
          <w:rFonts w:hint="eastAsia" w:asciiTheme="majorEastAsia" w:hAnsiTheme="majorEastAsia" w:eastAsiaTheme="majorEastAsia" w:cstheme="majorEastAsia"/>
          <w:b w:val="0"/>
          <w:bCs w:val="0"/>
          <w:sz w:val="21"/>
          <w:szCs w:val="21"/>
          <w:lang w:eastAsia="zh-CN"/>
        </w:rPr>
        <w:t>地址：</w:t>
      </w:r>
      <w:r>
        <w:rPr>
          <w:rFonts w:hint="eastAsia" w:ascii="宋体" w:hAnsi="宋体" w:eastAsia="宋体"/>
          <w:color w:val="auto"/>
          <w:sz w:val="24"/>
          <w:szCs w:val="24"/>
          <w:lang w:val="en-US" w:eastAsia="zh-CN"/>
        </w:rPr>
        <w:t>LongJian.Ma@geely.com</w:t>
      </w:r>
    </w:p>
    <w:p w14:paraId="1E2D8889">
      <w:pPr>
        <w:pStyle w:val="2"/>
        <w:rPr>
          <w:rFonts w:hint="eastAsia" w:asciiTheme="majorEastAsia" w:hAnsiTheme="majorEastAsia" w:eastAsiaTheme="majorEastAsia" w:cstheme="majorEastAsia"/>
          <w:lang w:eastAsia="zh-CN"/>
        </w:rPr>
      </w:pPr>
    </w:p>
    <w:p w14:paraId="45757989">
      <w:pPr>
        <w:pStyle w:val="2"/>
        <w:ind w:firstLine="840" w:firstLineChars="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特此确认。</w:t>
      </w:r>
    </w:p>
    <w:p w14:paraId="02FAF531">
      <w:pPr>
        <w:spacing w:line="360" w:lineRule="auto"/>
        <w:ind w:firstLine="420"/>
        <w:rPr>
          <w:rFonts w:hint="eastAsia" w:asciiTheme="majorEastAsia" w:hAnsiTheme="majorEastAsia" w:eastAsiaTheme="majorEastAsia" w:cstheme="majorEastAsia"/>
          <w:sz w:val="21"/>
          <w:szCs w:val="21"/>
        </w:rPr>
      </w:pPr>
    </w:p>
    <w:p w14:paraId="027BE791">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被邀请单位名称：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（盖单位章）</w:t>
      </w:r>
    </w:p>
    <w:p w14:paraId="3F8DB87E">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14:paraId="53DEB4D5">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14:paraId="64B5506D">
      <w:pPr>
        <w:rPr>
          <w:rFonts w:hint="eastAsia"/>
        </w:rPr>
      </w:pPr>
    </w:p>
    <w:p w14:paraId="6B55FDCE">
      <w:pPr>
        <w:spacing w:line="440" w:lineRule="exact"/>
        <w:rPr>
          <w:rFonts w:ascii="微软雅黑" w:hAnsi="微软雅黑" w:eastAsia="微软雅黑"/>
          <w:color w:val="FF0000"/>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14:paraId="16E53F9C">
        <w:pPr>
          <w:pStyle w:val="10"/>
          <w:jc w:val="center"/>
        </w:pPr>
        <w:r>
          <w:fldChar w:fldCharType="begin"/>
        </w:r>
        <w:r>
          <w:instrText xml:space="preserve">PAGE   \* MERGEFORMAT</w:instrText>
        </w:r>
        <w:r>
          <w:fldChar w:fldCharType="separate"/>
        </w:r>
        <w:r>
          <w:rPr>
            <w:lang w:val="zh-CN"/>
          </w:rPr>
          <w:t>3</w:t>
        </w:r>
        <w:r>
          <w:fldChar w:fldCharType="end"/>
        </w:r>
      </w:p>
    </w:sdtContent>
  </w:sdt>
  <w:p w14:paraId="115C405C">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D9396">
    <w:pPr>
      <w:pStyle w:val="10"/>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5E796">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93DE7">
    <w:pPr>
      <w:pStyle w:val="11"/>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8247A">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E1A5E">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lZWVkMTZkZjVlNjU3OTRkODdkMTU1MDIxYWI5NTU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2D720AE"/>
    <w:rsid w:val="03B234C9"/>
    <w:rsid w:val="052F65AB"/>
    <w:rsid w:val="05772429"/>
    <w:rsid w:val="05E66021"/>
    <w:rsid w:val="063B27C1"/>
    <w:rsid w:val="06F63781"/>
    <w:rsid w:val="07456121"/>
    <w:rsid w:val="0A420305"/>
    <w:rsid w:val="0B820F78"/>
    <w:rsid w:val="0C7C5845"/>
    <w:rsid w:val="0CAD008F"/>
    <w:rsid w:val="0DE54DDD"/>
    <w:rsid w:val="0E6C3CDC"/>
    <w:rsid w:val="0EB73B90"/>
    <w:rsid w:val="0F11688C"/>
    <w:rsid w:val="10032260"/>
    <w:rsid w:val="101C61EE"/>
    <w:rsid w:val="113A610C"/>
    <w:rsid w:val="12290200"/>
    <w:rsid w:val="12AC23E2"/>
    <w:rsid w:val="13296333"/>
    <w:rsid w:val="136B5FB3"/>
    <w:rsid w:val="13934C8A"/>
    <w:rsid w:val="139B2695"/>
    <w:rsid w:val="144D187B"/>
    <w:rsid w:val="159B0014"/>
    <w:rsid w:val="16DA3A46"/>
    <w:rsid w:val="17073614"/>
    <w:rsid w:val="17AB4329"/>
    <w:rsid w:val="17C15D97"/>
    <w:rsid w:val="188E5A7E"/>
    <w:rsid w:val="18C56ABE"/>
    <w:rsid w:val="18C740FB"/>
    <w:rsid w:val="1A174747"/>
    <w:rsid w:val="1B0325F3"/>
    <w:rsid w:val="1B070C4A"/>
    <w:rsid w:val="1BA12E75"/>
    <w:rsid w:val="1BE90CBC"/>
    <w:rsid w:val="1C0B4FDF"/>
    <w:rsid w:val="1C5B2F04"/>
    <w:rsid w:val="1C7571F8"/>
    <w:rsid w:val="1CD42A2E"/>
    <w:rsid w:val="1D5D2FEB"/>
    <w:rsid w:val="1DC3395B"/>
    <w:rsid w:val="1EA413BD"/>
    <w:rsid w:val="1F16393D"/>
    <w:rsid w:val="20DE38EC"/>
    <w:rsid w:val="217C545D"/>
    <w:rsid w:val="22B86521"/>
    <w:rsid w:val="233F1ADA"/>
    <w:rsid w:val="24782E39"/>
    <w:rsid w:val="256C065C"/>
    <w:rsid w:val="263920D0"/>
    <w:rsid w:val="271C3AA6"/>
    <w:rsid w:val="27FF17B9"/>
    <w:rsid w:val="28266776"/>
    <w:rsid w:val="2A7055D9"/>
    <w:rsid w:val="2BB655EB"/>
    <w:rsid w:val="2CA17371"/>
    <w:rsid w:val="2CFC4465"/>
    <w:rsid w:val="2DE03868"/>
    <w:rsid w:val="2E4E4E0D"/>
    <w:rsid w:val="2E691C16"/>
    <w:rsid w:val="2EFA0920"/>
    <w:rsid w:val="2F2E0DD3"/>
    <w:rsid w:val="2FDF0AC1"/>
    <w:rsid w:val="30530CB9"/>
    <w:rsid w:val="31241C20"/>
    <w:rsid w:val="31A606A8"/>
    <w:rsid w:val="3370188D"/>
    <w:rsid w:val="337C12F0"/>
    <w:rsid w:val="33A5028C"/>
    <w:rsid w:val="340A6022"/>
    <w:rsid w:val="34991DD6"/>
    <w:rsid w:val="34A26162"/>
    <w:rsid w:val="34D74C01"/>
    <w:rsid w:val="34E47465"/>
    <w:rsid w:val="360E21C1"/>
    <w:rsid w:val="36401C52"/>
    <w:rsid w:val="37861D96"/>
    <w:rsid w:val="37FD118C"/>
    <w:rsid w:val="38AC6F88"/>
    <w:rsid w:val="3A3E06A3"/>
    <w:rsid w:val="3AAB7859"/>
    <w:rsid w:val="3B0722D4"/>
    <w:rsid w:val="3B0E75CF"/>
    <w:rsid w:val="3B652E8B"/>
    <w:rsid w:val="3B6B54F4"/>
    <w:rsid w:val="3CCC43B5"/>
    <w:rsid w:val="3E4F3034"/>
    <w:rsid w:val="408373C1"/>
    <w:rsid w:val="40892DE6"/>
    <w:rsid w:val="409E30A8"/>
    <w:rsid w:val="40FC4CB0"/>
    <w:rsid w:val="41034C6C"/>
    <w:rsid w:val="41504F94"/>
    <w:rsid w:val="4389551C"/>
    <w:rsid w:val="45900927"/>
    <w:rsid w:val="47AB2817"/>
    <w:rsid w:val="487415C3"/>
    <w:rsid w:val="487B65BE"/>
    <w:rsid w:val="4A4444D0"/>
    <w:rsid w:val="4A760E79"/>
    <w:rsid w:val="4B166A95"/>
    <w:rsid w:val="4B493BD2"/>
    <w:rsid w:val="4B51444F"/>
    <w:rsid w:val="4C7157A4"/>
    <w:rsid w:val="4D2423DA"/>
    <w:rsid w:val="4F3E52A8"/>
    <w:rsid w:val="4F586394"/>
    <w:rsid w:val="50232F42"/>
    <w:rsid w:val="51486B7C"/>
    <w:rsid w:val="51DE68AB"/>
    <w:rsid w:val="52074CBA"/>
    <w:rsid w:val="533D0BDE"/>
    <w:rsid w:val="53411EE9"/>
    <w:rsid w:val="53513A3C"/>
    <w:rsid w:val="536F00DE"/>
    <w:rsid w:val="539313E4"/>
    <w:rsid w:val="55497E47"/>
    <w:rsid w:val="561B446B"/>
    <w:rsid w:val="565D1920"/>
    <w:rsid w:val="56B26B95"/>
    <w:rsid w:val="57005247"/>
    <w:rsid w:val="5780446C"/>
    <w:rsid w:val="57C021E2"/>
    <w:rsid w:val="57E0574B"/>
    <w:rsid w:val="59396DEE"/>
    <w:rsid w:val="59EE77DC"/>
    <w:rsid w:val="5A58599B"/>
    <w:rsid w:val="5AAC196A"/>
    <w:rsid w:val="5B0D2E79"/>
    <w:rsid w:val="5B1D587B"/>
    <w:rsid w:val="5B2172A6"/>
    <w:rsid w:val="5BEA4FE1"/>
    <w:rsid w:val="5C566D44"/>
    <w:rsid w:val="5D1619BA"/>
    <w:rsid w:val="5E6A71F7"/>
    <w:rsid w:val="5FD65ECC"/>
    <w:rsid w:val="600E2170"/>
    <w:rsid w:val="60240C8A"/>
    <w:rsid w:val="60934C78"/>
    <w:rsid w:val="60FC4012"/>
    <w:rsid w:val="6106280A"/>
    <w:rsid w:val="618F164B"/>
    <w:rsid w:val="61A241F9"/>
    <w:rsid w:val="61E77ED0"/>
    <w:rsid w:val="62976BA7"/>
    <w:rsid w:val="62D46057"/>
    <w:rsid w:val="63EF192E"/>
    <w:rsid w:val="640336FD"/>
    <w:rsid w:val="6534570D"/>
    <w:rsid w:val="65413FA7"/>
    <w:rsid w:val="65975B59"/>
    <w:rsid w:val="65BB3DCB"/>
    <w:rsid w:val="66D44B2F"/>
    <w:rsid w:val="67714B74"/>
    <w:rsid w:val="67A105BB"/>
    <w:rsid w:val="682806B6"/>
    <w:rsid w:val="686D619C"/>
    <w:rsid w:val="6A184051"/>
    <w:rsid w:val="6A661AE7"/>
    <w:rsid w:val="6ACD6C40"/>
    <w:rsid w:val="6B3E03B6"/>
    <w:rsid w:val="6BE91E82"/>
    <w:rsid w:val="6CFB43E6"/>
    <w:rsid w:val="6D226F1D"/>
    <w:rsid w:val="6E1038D1"/>
    <w:rsid w:val="6EA76F13"/>
    <w:rsid w:val="6F5D25CA"/>
    <w:rsid w:val="700720D9"/>
    <w:rsid w:val="71246855"/>
    <w:rsid w:val="716B46DE"/>
    <w:rsid w:val="724F2B10"/>
    <w:rsid w:val="72E55401"/>
    <w:rsid w:val="7343784D"/>
    <w:rsid w:val="73645753"/>
    <w:rsid w:val="73B93F82"/>
    <w:rsid w:val="7424048F"/>
    <w:rsid w:val="74E62BE1"/>
    <w:rsid w:val="7559600E"/>
    <w:rsid w:val="7600251B"/>
    <w:rsid w:val="76444236"/>
    <w:rsid w:val="76BF0406"/>
    <w:rsid w:val="789E2CA4"/>
    <w:rsid w:val="78E404CB"/>
    <w:rsid w:val="792917E7"/>
    <w:rsid w:val="798C6F6D"/>
    <w:rsid w:val="79AF27CF"/>
    <w:rsid w:val="7A53275F"/>
    <w:rsid w:val="7A9F6E02"/>
    <w:rsid w:val="7AAB2EC3"/>
    <w:rsid w:val="7B7113F0"/>
    <w:rsid w:val="7C8B31E4"/>
    <w:rsid w:val="7D2E00A7"/>
    <w:rsid w:val="7F6067F8"/>
    <w:rsid w:val="7F683C0C"/>
    <w:rsid w:val="7FA62F03"/>
    <w:rsid w:val="7FDC3B0C"/>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36"/>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autoRedefine/>
    <w:unhideWhenUsed/>
    <w:qFormat/>
    <w:uiPriority w:val="9"/>
    <w:pPr>
      <w:keepNext/>
      <w:adjustRightInd w:val="0"/>
      <w:spacing w:line="360" w:lineRule="atLeast"/>
      <w:jc w:val="left"/>
      <w:textAlignment w:val="baseline"/>
      <w:outlineLvl w:val="2"/>
    </w:pPr>
    <w:rPr>
      <w:rFonts w:ascii="Arial" w:hAnsi="Arial" w:cs="Arial"/>
      <w:b/>
      <w:bCs/>
      <w:kern w:val="0"/>
      <w:sz w:val="28"/>
      <w:szCs w:val="20"/>
    </w:rPr>
  </w:style>
  <w:style w:type="character" w:default="1" w:styleId="15">
    <w:name w:val="Default Paragraph Font"/>
    <w:link w:val="16"/>
    <w:autoRedefine/>
    <w:unhideWhenUsed/>
    <w:qFormat/>
    <w:uiPriority w:val="1"/>
    <w:rPr>
      <w:kern w:val="1"/>
    </w:rPr>
  </w:style>
  <w:style w:type="table" w:default="1" w:styleId="13">
    <w:name w:val="Normal Table"/>
    <w:autoRedefine/>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styleId="5">
    <w:name w:val="Normal Indent"/>
    <w:basedOn w:val="1"/>
    <w:autoRedefine/>
    <w:qFormat/>
    <w:uiPriority w:val="0"/>
    <w:pPr>
      <w:snapToGrid w:val="0"/>
      <w:spacing w:line="300" w:lineRule="auto"/>
      <w:ind w:firstLine="556"/>
    </w:pPr>
    <w:rPr>
      <w:rFonts w:ascii="仿宋_GB2312" w:hAnsi="Times New Roman" w:eastAsia="仿宋_GB2312"/>
      <w:kern w:val="0"/>
      <w:szCs w:val="20"/>
    </w:rPr>
  </w:style>
  <w:style w:type="paragraph" w:styleId="6">
    <w:name w:val="annotation text"/>
    <w:basedOn w:val="1"/>
    <w:link w:val="27"/>
    <w:autoRedefine/>
    <w:unhideWhenUsed/>
    <w:qFormat/>
    <w:uiPriority w:val="99"/>
    <w:pPr>
      <w:jc w:val="left"/>
    </w:pPr>
  </w:style>
  <w:style w:type="paragraph" w:styleId="7">
    <w:name w:val="Body Text"/>
    <w:basedOn w:val="1"/>
    <w:autoRedefine/>
    <w:qFormat/>
    <w:uiPriority w:val="1"/>
    <w:pPr>
      <w:ind w:left="169"/>
    </w:pPr>
    <w:rPr>
      <w:rFonts w:ascii="宋体" w:hAnsi="宋体" w:eastAsia="宋体" w:cs="宋体"/>
      <w:sz w:val="24"/>
      <w:szCs w:val="24"/>
      <w:lang w:val="zh-CN" w:eastAsia="zh-CN" w:bidi="zh-CN"/>
    </w:rPr>
  </w:style>
  <w:style w:type="paragraph" w:styleId="8">
    <w:name w:val="Date"/>
    <w:basedOn w:val="1"/>
    <w:next w:val="1"/>
    <w:link w:val="25"/>
    <w:autoRedefine/>
    <w:unhideWhenUsed/>
    <w:qFormat/>
    <w:uiPriority w:val="99"/>
    <w:pPr>
      <w:ind w:left="100" w:leftChars="2500"/>
    </w:pPr>
  </w:style>
  <w:style w:type="paragraph" w:styleId="9">
    <w:name w:val="Balloon Text"/>
    <w:basedOn w:val="1"/>
    <w:link w:val="28"/>
    <w:autoRedefine/>
    <w:unhideWhenUsed/>
    <w:qFormat/>
    <w:uiPriority w:val="99"/>
    <w:rPr>
      <w:sz w:val="18"/>
      <w:szCs w:val="18"/>
    </w:rPr>
  </w:style>
  <w:style w:type="paragraph" w:styleId="10">
    <w:name w:val="footer"/>
    <w:basedOn w:val="1"/>
    <w:link w:val="24"/>
    <w:autoRedefine/>
    <w:unhideWhenUsed/>
    <w:qFormat/>
    <w:uiPriority w:val="99"/>
    <w:pPr>
      <w:tabs>
        <w:tab w:val="center" w:pos="4153"/>
        <w:tab w:val="right" w:pos="8306"/>
      </w:tabs>
      <w:snapToGrid w:val="0"/>
      <w:jc w:val="left"/>
    </w:pPr>
    <w:rPr>
      <w:sz w:val="18"/>
      <w:szCs w:val="18"/>
    </w:rPr>
  </w:style>
  <w:style w:type="paragraph" w:styleId="11">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 Char"/>
    <w:basedOn w:val="1"/>
    <w:link w:val="15"/>
    <w:qFormat/>
    <w:uiPriority w:val="0"/>
    <w:rPr>
      <w:kern w:val="1"/>
    </w:rPr>
  </w:style>
  <w:style w:type="character" w:styleId="17">
    <w:name w:val="Strong"/>
    <w:basedOn w:val="15"/>
    <w:autoRedefine/>
    <w:qFormat/>
    <w:uiPriority w:val="22"/>
    <w:rPr>
      <w:b/>
      <w:bCs/>
    </w:rPr>
  </w:style>
  <w:style w:type="character" w:styleId="18">
    <w:name w:val="page number"/>
    <w:basedOn w:val="15"/>
    <w:autoRedefine/>
    <w:qFormat/>
    <w:uiPriority w:val="0"/>
  </w:style>
  <w:style w:type="character" w:styleId="19">
    <w:name w:val="FollowedHyperlink"/>
    <w:basedOn w:val="15"/>
    <w:autoRedefine/>
    <w:unhideWhenUsed/>
    <w:qFormat/>
    <w:uiPriority w:val="99"/>
    <w:rPr>
      <w:color w:val="800080" w:themeColor="followedHyperlink"/>
      <w:u w:val="single"/>
      <w14:textFill>
        <w14:solidFill>
          <w14:schemeClr w14:val="folHlink"/>
        </w14:solidFill>
      </w14:textFill>
    </w:rPr>
  </w:style>
  <w:style w:type="character" w:styleId="20">
    <w:name w:val="Emphasis"/>
    <w:basedOn w:val="15"/>
    <w:autoRedefine/>
    <w:qFormat/>
    <w:uiPriority w:val="20"/>
    <w:rPr>
      <w:i/>
    </w:rPr>
  </w:style>
  <w:style w:type="character" w:styleId="21">
    <w:name w:val="Hyperlink"/>
    <w:basedOn w:val="15"/>
    <w:autoRedefine/>
    <w:unhideWhenUsed/>
    <w:qFormat/>
    <w:uiPriority w:val="99"/>
    <w:rPr>
      <w:color w:val="0000FF"/>
      <w:u w:val="none"/>
    </w:rPr>
  </w:style>
  <w:style w:type="character" w:styleId="22">
    <w:name w:val="annotation reference"/>
    <w:basedOn w:val="15"/>
    <w:autoRedefine/>
    <w:unhideWhenUsed/>
    <w:qFormat/>
    <w:uiPriority w:val="99"/>
    <w:rPr>
      <w:sz w:val="21"/>
      <w:szCs w:val="21"/>
    </w:rPr>
  </w:style>
  <w:style w:type="character" w:customStyle="1" w:styleId="23">
    <w:name w:val="页眉 Char"/>
    <w:basedOn w:val="15"/>
    <w:link w:val="11"/>
    <w:qFormat/>
    <w:uiPriority w:val="99"/>
    <w:rPr>
      <w:sz w:val="18"/>
      <w:szCs w:val="18"/>
    </w:rPr>
  </w:style>
  <w:style w:type="character" w:customStyle="1" w:styleId="24">
    <w:name w:val="页脚 Char"/>
    <w:basedOn w:val="15"/>
    <w:link w:val="10"/>
    <w:autoRedefine/>
    <w:qFormat/>
    <w:uiPriority w:val="99"/>
    <w:rPr>
      <w:sz w:val="18"/>
      <w:szCs w:val="18"/>
    </w:rPr>
  </w:style>
  <w:style w:type="character" w:customStyle="1" w:styleId="25">
    <w:name w:val="日期 Char"/>
    <w:basedOn w:val="15"/>
    <w:link w:val="8"/>
    <w:semiHidden/>
    <w:qFormat/>
    <w:uiPriority w:val="99"/>
  </w:style>
  <w:style w:type="paragraph" w:customStyle="1" w:styleId="26">
    <w:name w:val="List Paragraph"/>
    <w:basedOn w:val="1"/>
    <w:autoRedefine/>
    <w:qFormat/>
    <w:uiPriority w:val="34"/>
    <w:pPr>
      <w:ind w:firstLine="420" w:firstLineChars="200"/>
    </w:pPr>
  </w:style>
  <w:style w:type="character" w:customStyle="1" w:styleId="27">
    <w:name w:val="批注文字 Char"/>
    <w:basedOn w:val="15"/>
    <w:link w:val="6"/>
    <w:semiHidden/>
    <w:qFormat/>
    <w:uiPriority w:val="99"/>
  </w:style>
  <w:style w:type="character" w:customStyle="1" w:styleId="28">
    <w:name w:val="批注框文本 Char"/>
    <w:basedOn w:val="15"/>
    <w:link w:val="9"/>
    <w:semiHidden/>
    <w:qFormat/>
    <w:uiPriority w:val="99"/>
    <w:rPr>
      <w:sz w:val="18"/>
      <w:szCs w:val="18"/>
    </w:rPr>
  </w:style>
  <w:style w:type="paragraph" w:customStyle="1" w:styleId="29">
    <w:name w:val="z0"/>
    <w:basedOn w:val="1"/>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autoRedefine/>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qFormat/>
    <w:uiPriority w:val="0"/>
    <w:rPr>
      <w:rFonts w:hint="eastAsia" w:ascii="宋体" w:hAnsi="宋体" w:eastAsia="宋体" w:cs="宋体"/>
      <w:color w:val="000000"/>
      <w:sz w:val="24"/>
      <w:szCs w:val="24"/>
      <w:u w:val="none"/>
    </w:rPr>
  </w:style>
  <w:style w:type="character" w:customStyle="1" w:styleId="33">
    <w:name w:val="font41"/>
    <w:basedOn w:val="15"/>
    <w:qFormat/>
    <w:uiPriority w:val="0"/>
    <w:rPr>
      <w:rFonts w:hint="default" w:ascii="Times New Roman" w:hAnsi="Times New Roman" w:cs="Times New Roman"/>
      <w:color w:val="000000"/>
      <w:sz w:val="22"/>
      <w:szCs w:val="22"/>
      <w:u w:val="none"/>
    </w:rPr>
  </w:style>
  <w:style w:type="character" w:customStyle="1" w:styleId="34">
    <w:name w:val="font11"/>
    <w:basedOn w:val="15"/>
    <w:qFormat/>
    <w:uiPriority w:val="0"/>
    <w:rPr>
      <w:rFonts w:hint="eastAsia" w:ascii="宋体" w:hAnsi="宋体" w:eastAsia="宋体" w:cs="宋体"/>
      <w:color w:val="FF0000"/>
      <w:sz w:val="20"/>
      <w:szCs w:val="20"/>
      <w:u w:val="none"/>
    </w:rPr>
  </w:style>
  <w:style w:type="character" w:customStyle="1" w:styleId="35">
    <w:name w:val="标题 3 Char"/>
    <w:basedOn w:val="15"/>
    <w:link w:val="4"/>
    <w:qFormat/>
    <w:uiPriority w:val="0"/>
    <w:rPr>
      <w:rFonts w:ascii="Arial" w:hAnsi="Arial" w:cs="Arial"/>
      <w:b/>
      <w:bCs/>
      <w:kern w:val="0"/>
      <w:sz w:val="28"/>
      <w:szCs w:val="20"/>
    </w:rPr>
  </w:style>
  <w:style w:type="character" w:customStyle="1" w:styleId="36">
    <w:name w:val="标题 2 Char"/>
    <w:basedOn w:val="15"/>
    <w:link w:val="3"/>
    <w:autoRedefine/>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2022</Words>
  <Characters>2223</Characters>
  <Lines>13</Lines>
  <Paragraphs>3</Paragraphs>
  <TotalTime>15</TotalTime>
  <ScaleCrop>false</ScaleCrop>
  <LinksUpToDate>false</LinksUpToDate>
  <CharactersWithSpaces>2394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Longjian.Ma</cp:lastModifiedBy>
  <dcterms:modified xsi:type="dcterms:W3CDTF">2024-11-26T03:34:38Z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BD3C30A683794D4FA96E423101E5F91B</vt:lpwstr>
  </property>
</Properties>
</file>