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1B6DD">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田林百矿田田碳素有限公司2025年脱硫增效剂采购项目</w:t>
      </w:r>
    </w:p>
    <w:p w14:paraId="232F822F">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14:paraId="52121C24">
      <w:pPr>
        <w:pStyle w:val="2"/>
        <w:rPr>
          <w:rFonts w:hint="eastAsia"/>
          <w:lang w:val="en-US" w:eastAsia="zh-CN"/>
        </w:rPr>
      </w:pPr>
    </w:p>
    <w:p w14:paraId="55644B06">
      <w:pPr>
        <w:pStyle w:val="2"/>
        <w:pageBreakBefore w:val="0"/>
        <w:kinsoku/>
        <w:wordWrap/>
        <w:overflowPunct/>
        <w:topLinePunct w:val="0"/>
        <w:bidi w:val="0"/>
        <w:spacing w:line="40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采购类别：生产性原辅材料类（注：新用户时请选择此类别，否则无法报名）</w:t>
      </w:r>
    </w:p>
    <w:p w14:paraId="69264369">
      <w:pPr>
        <w:pStyle w:val="31"/>
        <w:pageBreakBefore w:val="0"/>
        <w:kinsoku/>
        <w:wordWrap/>
        <w:overflowPunct/>
        <w:topLinePunct w:val="0"/>
        <w:bidi w:val="0"/>
        <w:spacing w:line="400" w:lineRule="atLeast"/>
        <w:textAlignment w:val="auto"/>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14:paraId="7614E11C">
      <w:pPr>
        <w:pageBreakBefore w:val="0"/>
        <w:kinsoku/>
        <w:wordWrap/>
        <w:overflowPunct/>
        <w:topLinePunct w:val="0"/>
        <w:bidi w:val="0"/>
        <w:spacing w:line="400" w:lineRule="atLeast"/>
        <w:textAlignment w:val="auto"/>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single"/>
          <w:lang w:val="en-US" w:eastAsia="zh-CN" w:bidi="ar-SA"/>
        </w:rPr>
        <w:t>脱硫增效剂供应商：</w:t>
      </w:r>
    </w:p>
    <w:p w14:paraId="2A204636">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田林百矿田田碳素有限公司</w:t>
      </w:r>
      <w:r>
        <w:rPr>
          <w:rFonts w:hint="eastAsia" w:ascii="宋体" w:hAnsi="宋体" w:eastAsia="宋体" w:cs="宋体"/>
          <w:b w:val="0"/>
          <w:bCs w:val="0"/>
          <w:kern w:val="2"/>
          <w:sz w:val="24"/>
          <w:szCs w:val="24"/>
          <w:u w:val="none"/>
          <w:lang w:val="en-US" w:eastAsia="zh-CN" w:bidi="ar-SA"/>
        </w:rPr>
        <w:t>2025年脱硫增效剂</w:t>
      </w:r>
      <w:r>
        <w:rPr>
          <w:rFonts w:hint="eastAsia" w:ascii="宋体" w:hAnsi="宋体" w:eastAsia="宋体" w:cs="宋体"/>
          <w:b w:val="0"/>
          <w:bCs w:val="0"/>
          <w:sz w:val="24"/>
          <w:szCs w:val="24"/>
          <w:u w:val="none"/>
          <w:lang w:val="en-US" w:eastAsia="zh-CN"/>
        </w:rPr>
        <w:t>采</w:t>
      </w:r>
      <w:r>
        <w:rPr>
          <w:rFonts w:hint="eastAsia" w:ascii="宋体" w:hAnsi="宋体" w:eastAsia="宋体" w:cs="宋体"/>
          <w:sz w:val="24"/>
          <w:u w:val="none"/>
          <w:lang w:val="en-US" w:eastAsia="zh-CN"/>
        </w:rPr>
        <w:t>购项目</w:t>
      </w:r>
      <w:r>
        <w:rPr>
          <w:rFonts w:hint="eastAsia" w:ascii="宋体" w:hAnsi="宋体" w:eastAsia="宋体" w:cs="宋体"/>
          <w:sz w:val="24"/>
          <w:lang w:val="en-US" w:eastAsia="zh-CN"/>
        </w:rPr>
        <w:t>已具备采购条件，现邀请贵司参与本项目报单。</w:t>
      </w:r>
    </w:p>
    <w:p w14:paraId="37796ECA">
      <w:pPr>
        <w:pageBreakBefore w:val="0"/>
        <w:numPr>
          <w:ilvl w:val="0"/>
          <w:numId w:val="0"/>
        </w:numPr>
        <w:kinsoku/>
        <w:wordWrap/>
        <w:overflowPunct/>
        <w:topLinePunct w:val="0"/>
        <w:bidi w:val="0"/>
        <w:spacing w:line="400" w:lineRule="atLeast"/>
        <w:textAlignment w:val="auto"/>
        <w:rPr>
          <w:rFonts w:hint="eastAsia" w:ascii="宋体" w:hAnsi="宋体" w:eastAsia="宋体" w:cs="宋体"/>
          <w:b/>
          <w:bCs/>
          <w:color w:val="000000"/>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14:paraId="3B0957C5">
      <w:pPr>
        <w:pageBreakBefore w:val="0"/>
        <w:kinsoku/>
        <w:wordWrap/>
        <w:overflowPunct/>
        <w:topLinePunct w:val="0"/>
        <w:bidi w:val="0"/>
        <w:spacing w:line="400" w:lineRule="atLeas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1</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tbl>
      <w:tblPr>
        <w:tblStyle w:val="13"/>
        <w:tblW w:w="8760" w:type="dxa"/>
        <w:tblInd w:w="0" w:type="dxa"/>
        <w:shd w:val="clear" w:color="auto" w:fill="auto"/>
        <w:tblLayout w:type="fixed"/>
        <w:tblCellMar>
          <w:top w:w="0" w:type="dxa"/>
          <w:left w:w="0" w:type="dxa"/>
          <w:bottom w:w="0" w:type="dxa"/>
          <w:right w:w="0" w:type="dxa"/>
        </w:tblCellMar>
      </w:tblPr>
      <w:tblGrid>
        <w:gridCol w:w="530"/>
        <w:gridCol w:w="1633"/>
        <w:gridCol w:w="1267"/>
        <w:gridCol w:w="1322"/>
        <w:gridCol w:w="744"/>
        <w:gridCol w:w="1011"/>
        <w:gridCol w:w="2253"/>
      </w:tblGrid>
      <w:tr w14:paraId="504B71C7">
        <w:tblPrEx>
          <w:shd w:val="clear" w:color="auto" w:fill="auto"/>
          <w:tblCellMar>
            <w:top w:w="0" w:type="dxa"/>
            <w:left w:w="0" w:type="dxa"/>
            <w:bottom w:w="0" w:type="dxa"/>
            <w:right w:w="0" w:type="dxa"/>
          </w:tblCellMar>
        </w:tblPrEx>
        <w:trPr>
          <w:trHeight w:val="6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4DE6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394C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29F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型号规格</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6AE10">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材质要求</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9E6A">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D0FA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217B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14:paraId="345003FA">
        <w:tblPrEx>
          <w:shd w:val="clear" w:color="auto" w:fill="auto"/>
          <w:tblCellMar>
            <w:top w:w="0" w:type="dxa"/>
            <w:left w:w="0" w:type="dxa"/>
            <w:bottom w:w="0" w:type="dxa"/>
            <w:right w:w="0" w:type="dxa"/>
          </w:tblCellMar>
        </w:tblPrEx>
        <w:trPr>
          <w:trHeight w:val="106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81B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4E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val="0"/>
                <w:bCs w:val="0"/>
                <w:kern w:val="2"/>
                <w:sz w:val="24"/>
                <w:szCs w:val="24"/>
                <w:u w:val="none"/>
                <w:lang w:val="en-US" w:eastAsia="zh-CN" w:bidi="ar-SA"/>
              </w:rPr>
              <w:t>脱硫增效剂</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1959">
            <w:pPr>
              <w:keepNext w:val="0"/>
              <w:keepLines w:val="0"/>
              <w:widowControl/>
              <w:suppressLineNumbers w:val="0"/>
              <w:jc w:val="center"/>
              <w:textAlignment w:val="center"/>
              <w:rPr>
                <w:rFonts w:hint="default" w:ascii="新宋体" w:hAnsi="新宋体" w:eastAsia="新宋体" w:cs="新宋体"/>
                <w:i w:val="0"/>
                <w:color w:val="auto"/>
                <w:sz w:val="21"/>
                <w:szCs w:val="21"/>
                <w:u w:val="none"/>
                <w:lang w:val="en-US" w:eastAsia="zh-CN"/>
              </w:rPr>
            </w:pPr>
            <w:r>
              <w:rPr>
                <w:rFonts w:hint="eastAsia" w:ascii="新宋体" w:hAnsi="新宋体" w:eastAsia="新宋体" w:cs="新宋体"/>
                <w:i w:val="0"/>
                <w:color w:val="auto"/>
                <w:sz w:val="21"/>
                <w:szCs w:val="21"/>
                <w:u w:val="none"/>
                <w:lang w:val="en-US" w:eastAsia="zh-CN"/>
              </w:rPr>
              <w:t>25kg/袋</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5D5D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按技术条件</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E269">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Kg</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6E519">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19750</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ACD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按订单要求时间到货</w:t>
            </w:r>
          </w:p>
          <w:p w14:paraId="073F5E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（1次送货）</w:t>
            </w:r>
          </w:p>
        </w:tc>
      </w:tr>
    </w:tbl>
    <w:p w14:paraId="0E32593E">
      <w:pPr>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b/>
          <w:bCs/>
          <w:sz w:val="16"/>
          <w:szCs w:val="16"/>
          <w:lang w:val="en-US" w:eastAsia="zh-CN"/>
        </w:rPr>
      </w:pPr>
    </w:p>
    <w:p w14:paraId="1073B531">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开标时间</w:t>
      </w:r>
    </w:p>
    <w:p w14:paraId="797EDD36">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w:t>
      </w:r>
      <w:r>
        <w:rPr>
          <w:rFonts w:hint="eastAsia" w:ascii="宋体" w:hAnsi="宋体"/>
          <w:sz w:val="24"/>
          <w:lang w:val="en-US" w:eastAsia="zh-CN"/>
        </w:rPr>
        <w:t>以采购主管单位通知为准</w:t>
      </w:r>
    </w:p>
    <w:p w14:paraId="55C9CC40">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3供货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14:paraId="0B2E57EE">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eastAsiaTheme="minorEastAsia" w:cstheme="minorBidi"/>
          <w:color w:val="auto"/>
          <w:kern w:val="2"/>
          <w:sz w:val="24"/>
          <w:szCs w:val="22"/>
          <w:lang w:val="en-US" w:eastAsia="zh-CN" w:bidi="ar-SA"/>
        </w:rPr>
      </w:pPr>
      <w:r>
        <w:rPr>
          <w:rFonts w:hint="eastAsia" w:ascii="宋体" w:hAnsi="宋体"/>
          <w:sz w:val="24"/>
          <w:lang w:val="en-US" w:eastAsia="zh-CN"/>
        </w:rPr>
        <w:t>广西百色田林县旧州镇百矿经济产业园区田田碳素厂内；</w:t>
      </w:r>
    </w:p>
    <w:p w14:paraId="5479A778">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5供货时间及方式：</w:t>
      </w:r>
    </w:p>
    <w:p w14:paraId="327BC5E6">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Theme="minorEastAsia"/>
          <w:color w:val="auto"/>
          <w:sz w:val="24"/>
          <w:lang w:val="en-US" w:eastAsia="zh-CN"/>
        </w:rPr>
      </w:pPr>
      <w:r>
        <w:rPr>
          <w:rFonts w:hint="eastAsia" w:ascii="宋体" w:hAnsi="宋体"/>
          <w:color w:val="auto"/>
          <w:sz w:val="24"/>
          <w:highlight w:val="none"/>
          <w:lang w:val="en-US" w:eastAsia="zh-CN"/>
        </w:rPr>
        <w:t>1次送货，需运送至甲方厂区指定卸货点并负责卸货到地面，到货时间以甲方订单通知为准。</w:t>
      </w:r>
    </w:p>
    <w:p w14:paraId="5B34353E">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14:paraId="6957FB10">
      <w:pPr>
        <w:pStyle w:val="2"/>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见附件技术条件。</w:t>
      </w:r>
    </w:p>
    <w:p w14:paraId="6D4272BB">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14:paraId="20C95533">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14:paraId="7DBF0280">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14:paraId="56EE83F3">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14:paraId="4AD3E0B1">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具有脱硫增效剂生产、销售资质。</w:t>
      </w:r>
    </w:p>
    <w:p w14:paraId="67FC6475">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具有近三年内不少于2个脱硫增效剂业绩合同。</w:t>
      </w:r>
    </w:p>
    <w:p w14:paraId="1B46AE2B">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3.6 具有良好的商业信誉和健全的财务会计制度。</w:t>
      </w:r>
    </w:p>
    <w:p w14:paraId="75148428">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 xml:space="preserve">3.7 </w:t>
      </w:r>
      <w:r>
        <w:rPr>
          <w:rFonts w:hint="default" w:ascii="宋体" w:hAnsi="宋体" w:eastAsia="宋体" w:cstheme="minorBidi"/>
          <w:color w:val="auto"/>
          <w:kern w:val="2"/>
          <w:sz w:val="24"/>
          <w:szCs w:val="24"/>
          <w:highlight w:val="none"/>
          <w:lang w:val="en-US" w:eastAsia="zh-CN" w:bidi="ar-SA"/>
        </w:rPr>
        <w:t>本次报价不接受联合体报价。</w:t>
      </w:r>
    </w:p>
    <w:p w14:paraId="2A99D3B8">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14:paraId="1A56E1D5">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14:paraId="79348367">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ascii="宋体" w:hAnsi="宋体" w:cs="Arial"/>
          <w:sz w:val="24"/>
          <w:szCs w:val="24"/>
        </w:rPr>
      </w:pPr>
      <w:r>
        <w:rPr>
          <w:rFonts w:hint="eastAsia" w:ascii="宋体" w:hAnsi="宋体" w:cs="Arial"/>
          <w:sz w:val="24"/>
          <w:szCs w:val="24"/>
        </w:rPr>
        <w:t>产品验收合格入库后，乙方应先开具</w:t>
      </w:r>
      <w:r>
        <w:rPr>
          <w:rFonts w:hint="eastAsia" w:ascii="宋体" w:hAnsi="宋体" w:cs="Arial"/>
          <w:sz w:val="24"/>
          <w:szCs w:val="24"/>
          <w:lang w:eastAsia="zh-CN"/>
        </w:rPr>
        <w:t>相应</w:t>
      </w:r>
      <w:r>
        <w:rPr>
          <w:rFonts w:hint="eastAsia" w:ascii="宋体" w:hAnsi="宋体" w:cs="Arial"/>
          <w:sz w:val="24"/>
          <w:szCs w:val="24"/>
        </w:rPr>
        <w:t>税率的增值税专用发票，发票入甲方财务账</w:t>
      </w:r>
      <w:r>
        <w:rPr>
          <w:rFonts w:hint="eastAsia" w:ascii="宋体" w:hAnsi="宋体" w:cs="Arial"/>
          <w:sz w:val="24"/>
          <w:szCs w:val="24"/>
          <w:highlight w:val="none"/>
          <w:lang w:val="en-US" w:eastAsia="zh-CN"/>
        </w:rPr>
        <w:t>35</w:t>
      </w:r>
      <w:r>
        <w:rPr>
          <w:rFonts w:hint="eastAsia" w:ascii="宋体" w:hAnsi="宋体" w:cs="Arial"/>
          <w:sz w:val="24"/>
          <w:szCs w:val="24"/>
          <w:highlight w:val="none"/>
        </w:rPr>
        <w:t>日</w:t>
      </w:r>
      <w:r>
        <w:rPr>
          <w:rFonts w:hint="eastAsia" w:ascii="宋体" w:hAnsi="宋体" w:cs="Arial"/>
          <w:sz w:val="24"/>
          <w:szCs w:val="24"/>
        </w:rPr>
        <w:t>内付款</w:t>
      </w:r>
      <w:r>
        <w:rPr>
          <w:rFonts w:ascii="宋体" w:hAnsi="宋体" w:cs="Arial"/>
          <w:sz w:val="24"/>
          <w:szCs w:val="24"/>
        </w:rPr>
        <w:t>。</w:t>
      </w:r>
    </w:p>
    <w:p w14:paraId="1342A8B3">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14:paraId="30F1E156">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ascii="宋体" w:hAnsi="宋体" w:cs="Arial"/>
          <w:color w:val="auto"/>
          <w:sz w:val="24"/>
        </w:rPr>
      </w:pPr>
      <w:r>
        <w:rPr>
          <w:rFonts w:hint="eastAsia" w:ascii="宋体" w:hAnsi="宋体" w:cs="Arial"/>
          <w:color w:val="auto"/>
          <w:sz w:val="24"/>
        </w:rPr>
        <w:t>甲方付款前，乙方必须开具对应批次产品全额的增值税专用发票，否则甲方有权拒绝付款，并不承担逾期付款的责任。</w:t>
      </w:r>
    </w:p>
    <w:p w14:paraId="22115E13">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14:paraId="05D722CF">
      <w:pPr>
        <w:pStyle w:val="5"/>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吉利科技全球供应链管理平台报价方式进行，请登录系统地址：https://srm.geelytech.com/自行注册账号，注册时请正确填写公司详细信息、联系人、银行账户等详细信息，注册成功后联系商务人员进行后续资料维护；请妥善保管您的账号和密码！</w:t>
      </w:r>
    </w:p>
    <w:p w14:paraId="4B2C8DA0">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4.3 评定方法</w:t>
      </w:r>
    </w:p>
    <w:p w14:paraId="7F55C2D0">
      <w:pPr>
        <w:pStyle w:val="5"/>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仅1次报价，按含税价格由低到高顺序确定中标人。</w:t>
      </w:r>
      <w:bookmarkStart w:id="1" w:name="_Toc33189460"/>
    </w:p>
    <w:p w14:paraId="4A78F0D0">
      <w:pPr>
        <w:pStyle w:val="5"/>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14:paraId="72756F73">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2024</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12</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2</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10</w:t>
      </w:r>
      <w:bookmarkStart w:id="2" w:name="_GoBack"/>
      <w:bookmarkEnd w:id="2"/>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时前将确认通知（附件</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及营业执照、相关资质证书、业绩合同扫描件</w:t>
      </w:r>
      <w:r>
        <w:rPr>
          <w:rFonts w:hint="eastAsia" w:ascii="宋体" w:hAnsi="宋体" w:eastAsia="宋体"/>
          <w:color w:val="auto"/>
          <w:sz w:val="24"/>
          <w:szCs w:val="24"/>
        </w:rPr>
        <w:t>以邮件方式反馈给招标人商务人员，以确认是否参加。在本投标邀请书规定的时间内未表示是否参加或明确表示不参加投标的，不得再参加投标。</w:t>
      </w:r>
    </w:p>
    <w:p w14:paraId="41A440D6">
      <w:pPr>
        <w:pageBreakBefore w:val="0"/>
        <w:kinsoku/>
        <w:wordWrap/>
        <w:overflowPunct/>
        <w:topLinePunct w:val="0"/>
        <w:bidi w:val="0"/>
        <w:spacing w:line="400" w:lineRule="atLeast"/>
        <w:textAlignment w:val="auto"/>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14:paraId="418F29DF">
      <w:pPr>
        <w:pageBreakBefore w:val="0"/>
        <w:kinsoku/>
        <w:wordWrap/>
        <w:overflowPunct/>
        <w:topLinePunct w:val="0"/>
        <w:bidi w:val="0"/>
        <w:spacing w:line="400" w:lineRule="atLeast"/>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w:t>
      </w:r>
      <w:r>
        <w:rPr>
          <w:rFonts w:hint="eastAsia" w:ascii="宋体" w:hAnsi="宋体" w:eastAsia="宋体"/>
          <w:sz w:val="24"/>
          <w:szCs w:val="24"/>
          <w:lang w:val="en-US" w:eastAsia="zh-CN"/>
        </w:rPr>
        <w:t xml:space="preserve"> </w:t>
      </w:r>
      <w:r>
        <w:rPr>
          <w:rFonts w:hint="eastAsia" w:ascii="宋体" w:hAnsi="宋体" w:eastAsia="宋体"/>
          <w:sz w:val="24"/>
          <w:szCs w:val="24"/>
        </w:rPr>
        <w:t>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14:paraId="1A6AE6F7">
      <w:pPr>
        <w:pageBreakBefore w:val="0"/>
        <w:kinsoku/>
        <w:wordWrap/>
        <w:overflowPunct/>
        <w:topLinePunct w:val="0"/>
        <w:bidi w:val="0"/>
        <w:spacing w:line="400" w:lineRule="atLeas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投标保证金</w:t>
      </w:r>
      <w:r>
        <w:rPr>
          <w:rFonts w:hint="eastAsia" w:asciiTheme="majorEastAsia" w:hAnsiTheme="majorEastAsia" w:eastAsiaTheme="majorEastAsia" w:cstheme="majorEastAsia"/>
          <w:b w:val="0"/>
          <w:bCs w:val="0"/>
          <w:color w:val="auto"/>
          <w:sz w:val="24"/>
          <w:szCs w:val="24"/>
          <w:highlight w:val="none"/>
          <w:u w:val="single"/>
          <w:lang w:val="en-US" w:eastAsia="zh-CN"/>
        </w:rPr>
        <w:t>0.5</w:t>
      </w:r>
      <w:r>
        <w:rPr>
          <w:rFonts w:hint="eastAsia" w:ascii="宋体" w:hAnsi="宋体" w:eastAsia="宋体"/>
          <w:color w:val="auto"/>
          <w:sz w:val="24"/>
          <w:szCs w:val="24"/>
          <w:highlight w:val="none"/>
        </w:rPr>
        <w:t>万元电汇到以下账户：</w:t>
      </w:r>
    </w:p>
    <w:p w14:paraId="0132DF9B">
      <w:pPr>
        <w:pStyle w:val="2"/>
        <w:pageBreakBefore w:val="0"/>
        <w:kinsoku/>
        <w:wordWrap/>
        <w:overflowPunct/>
        <w:topLinePunct w:val="0"/>
        <w:bidi w:val="0"/>
        <w:spacing w:line="400" w:lineRule="atLeast"/>
        <w:textAlignment w:val="auto"/>
        <w:rPr>
          <w:rFonts w:hint="eastAsia" w:eastAsia="宋体"/>
          <w:color w:val="auto"/>
          <w:sz w:val="24"/>
          <w:szCs w:val="24"/>
          <w:highlight w:val="none"/>
          <w:lang w:eastAsia="zh-CN"/>
        </w:rPr>
      </w:pPr>
      <w:r>
        <w:rPr>
          <w:rFonts w:hint="eastAsia" w:eastAsia="宋体"/>
          <w:color w:val="auto"/>
          <w:sz w:val="24"/>
          <w:szCs w:val="24"/>
          <w:highlight w:val="none"/>
          <w:lang w:eastAsia="zh-CN"/>
        </w:rPr>
        <w:t>开</w:t>
      </w:r>
      <w:r>
        <w:rPr>
          <w:rFonts w:hint="eastAsia" w:eastAsia="宋体"/>
          <w:color w:val="auto"/>
          <w:sz w:val="24"/>
          <w:szCs w:val="24"/>
          <w:highlight w:val="none"/>
          <w:lang w:val="en-US" w:eastAsia="zh-CN"/>
        </w:rPr>
        <w:t xml:space="preserve"> </w:t>
      </w:r>
      <w:r>
        <w:rPr>
          <w:rFonts w:hint="eastAsia" w:eastAsia="宋体"/>
          <w:color w:val="auto"/>
          <w:sz w:val="24"/>
          <w:szCs w:val="24"/>
          <w:highlight w:val="none"/>
          <w:lang w:eastAsia="zh-CN"/>
        </w:rPr>
        <w:t>户</w:t>
      </w:r>
      <w:r>
        <w:rPr>
          <w:rFonts w:hint="eastAsia" w:eastAsia="宋体"/>
          <w:color w:val="auto"/>
          <w:sz w:val="24"/>
          <w:szCs w:val="24"/>
          <w:highlight w:val="none"/>
          <w:lang w:val="en-US" w:eastAsia="zh-CN"/>
        </w:rPr>
        <w:t xml:space="preserve"> </w:t>
      </w:r>
      <w:r>
        <w:rPr>
          <w:rFonts w:hint="eastAsia" w:eastAsia="宋体"/>
          <w:color w:val="auto"/>
          <w:sz w:val="24"/>
          <w:szCs w:val="24"/>
          <w:highlight w:val="none"/>
          <w:lang w:eastAsia="zh-CN"/>
        </w:rPr>
        <w:t>名：吉利百矿集团有限公司</w:t>
      </w:r>
    </w:p>
    <w:p w14:paraId="16DB6657">
      <w:pPr>
        <w:pageBreakBefore w:val="0"/>
        <w:kinsoku/>
        <w:wordWrap/>
        <w:overflowPunct/>
        <w:topLinePunct w:val="0"/>
        <w:bidi w:val="0"/>
        <w:spacing w:line="400" w:lineRule="atLeast"/>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开户银行：建设银行百色中山支行</w:t>
      </w:r>
    </w:p>
    <w:p w14:paraId="01380C3B">
      <w:pPr>
        <w:pageBreakBefore w:val="0"/>
        <w:kinsoku/>
        <w:wordWrap/>
        <w:overflowPunct/>
        <w:topLinePunct w:val="0"/>
        <w:bidi w:val="0"/>
        <w:spacing w:line="400" w:lineRule="atLeast"/>
        <w:jc w:val="lef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帐   号：4500 1676 1140 5070 2700</w:t>
      </w:r>
    </w:p>
    <w:p w14:paraId="3C91B7F0">
      <w:pPr>
        <w:pageBreakBefore w:val="0"/>
        <w:kinsoku/>
        <w:wordWrap/>
        <w:overflowPunct/>
        <w:topLinePunct w:val="0"/>
        <w:bidi w:val="0"/>
        <w:spacing w:line="400" w:lineRule="atLeas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汇款时备注：</w:t>
      </w:r>
      <w:r>
        <w:rPr>
          <w:rFonts w:hint="eastAsia" w:ascii="宋体" w:hAnsi="宋体"/>
          <w:color w:val="auto"/>
          <w:sz w:val="24"/>
          <w:szCs w:val="24"/>
          <w:highlight w:val="none"/>
          <w:u w:val="single"/>
          <w:lang w:val="en-US" w:eastAsia="zh-CN"/>
        </w:rPr>
        <w:t>田林百矿田田碳素有限公司2025年脱硫增效剂采购项目</w:t>
      </w:r>
      <w:r>
        <w:rPr>
          <w:rFonts w:hint="eastAsia" w:ascii="宋体" w:hAnsi="宋体" w:eastAsia="宋体"/>
          <w:color w:val="auto"/>
          <w:sz w:val="24"/>
          <w:szCs w:val="24"/>
          <w:highlight w:val="none"/>
          <w:u w:val="single"/>
        </w:rPr>
        <w:t>投标保证金</w:t>
      </w:r>
      <w:r>
        <w:rPr>
          <w:rFonts w:hint="eastAsia" w:ascii="宋体" w:hAnsi="宋体" w:eastAsia="宋体"/>
          <w:color w:val="auto"/>
          <w:sz w:val="24"/>
          <w:szCs w:val="24"/>
          <w:highlight w:val="none"/>
        </w:rPr>
        <w:t>）</w:t>
      </w:r>
    </w:p>
    <w:p w14:paraId="44CC51ED">
      <w:pPr>
        <w:pageBreakBefore w:val="0"/>
        <w:kinsoku/>
        <w:wordWrap/>
        <w:overflowPunct/>
        <w:topLinePunct w:val="0"/>
        <w:bidi w:val="0"/>
        <w:spacing w:line="400" w:lineRule="atLeast"/>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w:t>
      </w:r>
      <w:r>
        <w:rPr>
          <w:rFonts w:hint="eastAsia" w:ascii="宋体" w:hAnsi="宋体" w:eastAsia="宋体"/>
          <w:sz w:val="24"/>
          <w:szCs w:val="24"/>
          <w:lang w:val="en-US" w:eastAsia="zh-CN"/>
        </w:rPr>
        <w:t xml:space="preserve"> </w:t>
      </w:r>
      <w:r>
        <w:rPr>
          <w:rFonts w:hint="eastAsia" w:ascii="宋体" w:hAnsi="宋体" w:eastAsia="宋体"/>
          <w:sz w:val="24"/>
          <w:szCs w:val="24"/>
        </w:rPr>
        <w:t>投标保证金须在开标前到帐。</w:t>
      </w:r>
    </w:p>
    <w:p w14:paraId="6356E056">
      <w:pPr>
        <w:pageBreakBefore w:val="0"/>
        <w:kinsoku/>
        <w:wordWrap/>
        <w:overflowPunct/>
        <w:topLinePunct w:val="0"/>
        <w:bidi w:val="0"/>
        <w:spacing w:line="400" w:lineRule="atLeast"/>
        <w:textAlignment w:val="auto"/>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highlight w:val="none"/>
        </w:rPr>
        <w:t>中标人的投标保证金在中标人与招标方签订了经济合同</w:t>
      </w:r>
      <w:r>
        <w:rPr>
          <w:rFonts w:hint="eastAsia" w:ascii="宋体" w:hAnsi="宋体" w:eastAsia="宋体"/>
          <w:color w:val="auto"/>
          <w:sz w:val="24"/>
          <w:szCs w:val="24"/>
          <w:highlight w:val="none"/>
          <w:lang w:val="en-US" w:eastAsia="zh-CN"/>
        </w:rPr>
        <w:t>并重新缴纳履约金至业务单位后退还</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第二预中标人的投标保证金在</w:t>
      </w:r>
      <w:r>
        <w:rPr>
          <w:rFonts w:hint="eastAsia" w:ascii="宋体" w:hAnsi="宋体" w:eastAsia="宋体"/>
          <w:color w:val="auto"/>
          <w:sz w:val="24"/>
          <w:szCs w:val="24"/>
          <w:highlight w:val="none"/>
        </w:rPr>
        <w:t>中标人与招标方签订了经济合同后</w:t>
      </w:r>
      <w:r>
        <w:rPr>
          <w:rFonts w:hint="eastAsia" w:ascii="宋体" w:hAnsi="宋体" w:eastAsia="宋体"/>
          <w:color w:val="auto"/>
          <w:sz w:val="24"/>
          <w:szCs w:val="24"/>
          <w:highlight w:val="none"/>
          <w:lang w:val="en-US" w:eastAsia="zh-CN"/>
        </w:rPr>
        <w:t>退还，</w:t>
      </w:r>
      <w:r>
        <w:rPr>
          <w:rFonts w:hint="eastAsia" w:ascii="宋体" w:hAnsi="宋体" w:eastAsia="宋体" w:cs="宋体"/>
          <w:b w:val="0"/>
          <w:bCs w:val="0"/>
          <w:color w:val="auto"/>
          <w:sz w:val="24"/>
          <w:szCs w:val="24"/>
          <w:highlight w:val="none"/>
        </w:rPr>
        <w:t>其余未中标人的投标保证金将在确定中标人后无息退还。</w:t>
      </w:r>
    </w:p>
    <w:p w14:paraId="4F3F7AB1">
      <w:pPr>
        <w:pageBreakBefore w:val="0"/>
        <w:kinsoku/>
        <w:wordWrap/>
        <w:overflowPunct/>
        <w:topLinePunct w:val="0"/>
        <w:bidi w:val="0"/>
        <w:spacing w:line="400" w:lineRule="atLeas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如供应商有下列情况，投标保证金、履约保证金不予退还：</w:t>
      </w:r>
    </w:p>
    <w:p w14:paraId="34BCB601">
      <w:pPr>
        <w:pageBreakBefore w:val="0"/>
        <w:numPr>
          <w:ilvl w:val="0"/>
          <w:numId w:val="1"/>
        </w:numPr>
        <w:kinsoku/>
        <w:wordWrap/>
        <w:overflowPunct/>
        <w:topLinePunct w:val="0"/>
        <w:bidi w:val="0"/>
        <w:spacing w:line="400" w:lineRule="atLeast"/>
        <w:ind w:left="479" w:leftChars="22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中标人若明示或以其他行为不按规定时间签订或拒不签订正式合同的；</w:t>
      </w:r>
    </w:p>
    <w:p w14:paraId="6B38AB6E">
      <w:pPr>
        <w:pageBreakBefore w:val="0"/>
        <w:numPr>
          <w:ilvl w:val="0"/>
          <w:numId w:val="2"/>
        </w:numPr>
        <w:kinsoku/>
        <w:wordWrap/>
        <w:overflowPunct/>
        <w:topLinePunct w:val="0"/>
        <w:bidi w:val="0"/>
        <w:spacing w:line="400" w:lineRule="atLeast"/>
        <w:ind w:left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中标人若明示或以其他行为不按规定时间提交招标文件已载明履约保证金</w:t>
      </w:r>
    </w:p>
    <w:p w14:paraId="5328AA6D">
      <w:pPr>
        <w:pageBreakBefore w:val="0"/>
        <w:numPr>
          <w:ilvl w:val="0"/>
          <w:numId w:val="0"/>
        </w:numPr>
        <w:kinsoku/>
        <w:wordWrap/>
        <w:overflowPunct/>
        <w:topLinePunct w:val="0"/>
        <w:bidi w:val="0"/>
        <w:spacing w:line="400" w:lineRule="atLeast"/>
        <w:ind w:left="480" w:hanging="480" w:hanging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3）中标人因恶意竞争、经营财务发生较大变化等自身原因要求放弃中标的；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4）投标人在招标过程中存在违法行为或弄虚作假行为的；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5）投标有效期内投标人撤销投标文件的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p>
    <w:p w14:paraId="2EA1162F">
      <w:pPr>
        <w:pageBreakBefore w:val="0"/>
        <w:kinsoku/>
        <w:wordWrap/>
        <w:overflowPunct/>
        <w:topLinePunct w:val="0"/>
        <w:bidi w:val="0"/>
        <w:adjustRightInd w:val="0"/>
        <w:snapToGrid w:val="0"/>
        <w:spacing w:before="156" w:beforeLines="50" w:after="156" w:afterLines="50" w:line="400" w:lineRule="atLeast"/>
        <w:ind w:firstLine="241" w:firstLineChars="100"/>
        <w:textAlignment w:val="auto"/>
        <w:rPr>
          <w:rFonts w:hint="eastAsia" w:ascii="宋体" w:hAnsi="宋体" w:eastAsia="宋体" w:cs="Arial"/>
          <w:b/>
          <w:bCs/>
          <w:color w:val="auto"/>
          <w:sz w:val="24"/>
          <w:lang w:eastAsia="zh-CN"/>
        </w:rPr>
      </w:pPr>
      <w:r>
        <w:rPr>
          <w:rFonts w:hint="eastAsia" w:ascii="宋体" w:hAnsi="宋体" w:cs="Arial"/>
          <w:b/>
          <w:bCs/>
          <w:color w:val="auto"/>
          <w:sz w:val="24"/>
          <w:lang w:val="en-US" w:eastAsia="zh-CN"/>
        </w:rPr>
        <w:t>7.</w:t>
      </w:r>
      <w:r>
        <w:rPr>
          <w:rFonts w:hint="eastAsia" w:ascii="宋体" w:hAnsi="宋体" w:cs="Arial"/>
          <w:b/>
          <w:bCs/>
          <w:color w:val="auto"/>
          <w:sz w:val="24"/>
        </w:rPr>
        <w:t>履约保证金</w:t>
      </w:r>
      <w:r>
        <w:rPr>
          <w:rFonts w:hint="eastAsia" w:ascii="宋体" w:hAnsi="宋体" w:cs="Arial"/>
          <w:b/>
          <w:bCs/>
          <w:color w:val="auto"/>
          <w:sz w:val="24"/>
          <w:lang w:eastAsia="zh-CN"/>
        </w:rPr>
        <w:t>：</w:t>
      </w:r>
    </w:p>
    <w:p w14:paraId="22A9D6B2">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default" w:ascii="宋体" w:hAnsi="宋体" w:cs="Arial" w:eastAsiaTheme="minorEastAsia"/>
          <w:color w:val="FF0000"/>
          <w:sz w:val="24"/>
          <w:lang w:val="en-US" w:eastAsia="zh-CN"/>
        </w:rPr>
      </w:pPr>
      <w:r>
        <w:rPr>
          <w:rFonts w:hint="eastAsia" w:ascii="宋体" w:hAnsi="宋体" w:cs="Arial"/>
          <w:color w:val="000000" w:themeColor="text1"/>
          <w:sz w:val="24"/>
          <w:lang w:val="en-US" w:eastAsia="zh-CN"/>
          <w14:textFill>
            <w14:solidFill>
              <w14:schemeClr w14:val="tx1"/>
            </w14:solidFill>
          </w14:textFill>
        </w:rPr>
        <w:t>7</w:t>
      </w:r>
      <w:r>
        <w:rPr>
          <w:rFonts w:hint="eastAsia"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lang w:val="en-US" w:eastAsia="zh-CN"/>
          <w14:textFill>
            <w14:solidFill>
              <w14:schemeClr w14:val="tx1"/>
            </w14:solidFill>
          </w14:textFill>
        </w:rPr>
        <w:t>合同签订后7日内重新缴纳合同金额5%的履约保证金至业务单位。</w:t>
      </w:r>
    </w:p>
    <w:p w14:paraId="319F84FF">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eastAsia" w:ascii="宋体" w:hAnsi="宋体" w:cs="Arial"/>
          <w:color w:val="auto"/>
          <w:sz w:val="24"/>
        </w:rPr>
      </w:pPr>
      <w:r>
        <w:rPr>
          <w:rFonts w:hint="eastAsia" w:ascii="宋体" w:hAnsi="宋体" w:cs="Arial"/>
          <w:color w:val="auto"/>
          <w:sz w:val="24"/>
          <w:lang w:val="en-US" w:eastAsia="zh-CN"/>
        </w:rPr>
        <w:t>7</w:t>
      </w:r>
      <w:r>
        <w:rPr>
          <w:rFonts w:hint="eastAsia" w:ascii="宋体" w:hAnsi="宋体" w:cs="Arial"/>
          <w:color w:val="auto"/>
          <w:sz w:val="24"/>
        </w:rPr>
        <w:t>.2乙方因违约或其他情形出现给甲方造成损失的事件、事故，所涉违约金或赔偿金，甲方有权从乙方缴纳的履约保证金中扣除，履约保证金不足的，乙方须在不足之日起7日内予以补足（如果甲方尚有未支付给乙方的服务费，则该服务费可以直接转为履约保证金）。</w:t>
      </w:r>
    </w:p>
    <w:p w14:paraId="4DE5336E">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eastAsia" w:ascii="宋体" w:hAnsi="宋体" w:eastAsia="宋体" w:cs="宋体"/>
          <w:b/>
          <w:bCs/>
          <w:kern w:val="0"/>
          <w:sz w:val="24"/>
          <w:lang w:val="en-US" w:eastAsia="zh-CN"/>
        </w:rPr>
      </w:pPr>
      <w:r>
        <w:rPr>
          <w:rFonts w:hint="eastAsia" w:ascii="宋体" w:hAnsi="宋体" w:cs="Arial"/>
          <w:color w:val="auto"/>
          <w:sz w:val="24"/>
          <w:lang w:val="en-US" w:eastAsia="zh-CN"/>
        </w:rPr>
        <w:t>7</w:t>
      </w:r>
      <w:r>
        <w:rPr>
          <w:rFonts w:hint="eastAsia" w:ascii="宋体" w:hAnsi="宋体" w:cs="Arial"/>
          <w:color w:val="auto"/>
          <w:sz w:val="24"/>
        </w:rPr>
        <w:t>.3履约保证金的退还：乙方按合同履约完成服务业务经甲方确认之日起30日内，甲方将履约保证金全额无息退还给乙方；如有违约金或损失赔偿金等需要扣除的，则退还扣除后的剩余部分。</w:t>
      </w:r>
    </w:p>
    <w:p w14:paraId="0115D21B">
      <w:pPr>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kern w:val="0"/>
          <w:sz w:val="24"/>
        </w:rPr>
      </w:pPr>
      <w:r>
        <w:rPr>
          <w:rFonts w:hint="eastAsia" w:ascii="宋体" w:hAnsi="宋体" w:eastAsia="宋体" w:cs="宋体"/>
          <w:b/>
          <w:bCs/>
          <w:kern w:val="0"/>
          <w:sz w:val="24"/>
          <w:lang w:val="en-US" w:eastAsia="zh-CN"/>
        </w:rPr>
        <w:t>8.</w:t>
      </w:r>
      <w:r>
        <w:rPr>
          <w:rFonts w:hint="eastAsia" w:ascii="宋体" w:hAnsi="宋体" w:eastAsia="宋体" w:cs="宋体"/>
          <w:b/>
          <w:bCs/>
          <w:kern w:val="0"/>
          <w:sz w:val="24"/>
        </w:rPr>
        <w:t>特别约定条款：</w:t>
      </w:r>
    </w:p>
    <w:p w14:paraId="3476FE3B">
      <w:pPr>
        <w:pageBreakBefore w:val="0"/>
        <w:widowControl/>
        <w:kinsoku/>
        <w:wordWrap/>
        <w:overflowPunct/>
        <w:topLinePunct w:val="0"/>
        <w:bidi w:val="0"/>
        <w:snapToGrid w:val="0"/>
        <w:spacing w:line="400" w:lineRule="atLeast"/>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宋体" w:hAnsi="宋体" w:eastAsia="宋体" w:cs="宋体"/>
          <w:b w:val="0"/>
          <w:bCs w:val="0"/>
          <w:kern w:val="0"/>
          <w:sz w:val="24"/>
        </w:rPr>
        <w:t>鉴于卖方通过参加买方的招投标活动或</w:t>
      </w:r>
      <w:r>
        <w:rPr>
          <w:rFonts w:hint="eastAsia" w:ascii="宋体" w:hAnsi="宋体" w:eastAsia="宋体"/>
          <w:kern w:val="0"/>
          <w:sz w:val="24"/>
          <w:lang w:eastAsia="zh-CN"/>
        </w:rPr>
        <w:t>竞</w:t>
      </w:r>
      <w:r>
        <w:rPr>
          <w:rFonts w:hint="eastAsia" w:ascii="宋体" w:hAnsi="宋体"/>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kern w:val="0"/>
          <w:sz w:val="24"/>
          <w:szCs w:val="24"/>
        </w:rPr>
        <w:t>合同终止日起本合同终止。</w:t>
      </w:r>
    </w:p>
    <w:p w14:paraId="00B20762">
      <w:pPr>
        <w:pStyle w:val="5"/>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p>
    <w:p w14:paraId="4C37A996">
      <w:pPr>
        <w:pStyle w:val="5"/>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9.联系方式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14:paraId="7FAA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2519CD7B">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14:paraId="166F2797">
            <w:pPr>
              <w:spacing w:line="400" w:lineRule="exact"/>
              <w:rPr>
                <w:color w:val="auto"/>
                <w:kern w:val="0"/>
                <w:sz w:val="24"/>
                <w:szCs w:val="24"/>
              </w:rPr>
            </w:pPr>
            <w:r>
              <w:rPr>
                <w:rFonts w:hint="eastAsia"/>
                <w:color w:val="auto"/>
                <w:kern w:val="0"/>
                <w:sz w:val="24"/>
                <w:szCs w:val="24"/>
              </w:rPr>
              <w:t>：</w:t>
            </w:r>
          </w:p>
        </w:tc>
        <w:tc>
          <w:tcPr>
            <w:tcW w:w="5114" w:type="dxa"/>
            <w:tcBorders>
              <w:top w:val="nil"/>
              <w:left w:val="nil"/>
              <w:right w:val="nil"/>
            </w:tcBorders>
          </w:tcPr>
          <w:p w14:paraId="0258BF6A">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14:paraId="3004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2157C53E">
            <w:pPr>
              <w:spacing w:line="400" w:lineRule="exact"/>
              <w:jc w:val="distribute"/>
              <w:rPr>
                <w:color w:val="auto"/>
                <w:kern w:val="0"/>
                <w:sz w:val="24"/>
                <w:szCs w:val="24"/>
              </w:rPr>
            </w:pPr>
            <w:r>
              <w:rPr>
                <w:rFonts w:hint="eastAsia"/>
                <w:color w:val="auto"/>
                <w:kern w:val="0"/>
                <w:sz w:val="24"/>
                <w:szCs w:val="24"/>
              </w:rPr>
              <w:t>地址</w:t>
            </w:r>
          </w:p>
        </w:tc>
        <w:tc>
          <w:tcPr>
            <w:tcW w:w="284" w:type="dxa"/>
            <w:tcBorders>
              <w:top w:val="nil"/>
              <w:left w:val="nil"/>
              <w:bottom w:val="nil"/>
              <w:right w:val="nil"/>
            </w:tcBorders>
            <w:tcMar>
              <w:left w:w="0" w:type="dxa"/>
              <w:right w:w="0" w:type="dxa"/>
            </w:tcMar>
            <w:vAlign w:val="center"/>
          </w:tcPr>
          <w:p w14:paraId="061F111F">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5B97072E">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14:paraId="2A57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7C21DF3B">
            <w:pPr>
              <w:spacing w:line="400" w:lineRule="exact"/>
              <w:jc w:val="distribute"/>
              <w:rPr>
                <w:color w:val="auto"/>
                <w:kern w:val="0"/>
                <w:sz w:val="24"/>
                <w:szCs w:val="24"/>
              </w:rPr>
            </w:pPr>
            <w:r>
              <w:rPr>
                <w:rFonts w:hint="eastAsia"/>
                <w:color w:val="auto"/>
                <w:kern w:val="0"/>
                <w:sz w:val="24"/>
                <w:szCs w:val="24"/>
              </w:rPr>
              <w:t>网址</w:t>
            </w:r>
          </w:p>
        </w:tc>
        <w:tc>
          <w:tcPr>
            <w:tcW w:w="284" w:type="dxa"/>
            <w:tcBorders>
              <w:top w:val="nil"/>
              <w:left w:val="nil"/>
              <w:bottom w:val="nil"/>
              <w:right w:val="nil"/>
            </w:tcBorders>
            <w:tcMar>
              <w:left w:w="0" w:type="dxa"/>
              <w:right w:w="0" w:type="dxa"/>
            </w:tcMar>
            <w:vAlign w:val="center"/>
          </w:tcPr>
          <w:p w14:paraId="6422615F">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5114" w:type="dxa"/>
            <w:tcBorders>
              <w:left w:val="nil"/>
              <w:right w:val="nil"/>
            </w:tcBorders>
          </w:tcPr>
          <w:p w14:paraId="1C118DF4">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14:paraId="32FD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3FBC0A1A">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联系人</w:t>
            </w:r>
          </w:p>
        </w:tc>
        <w:tc>
          <w:tcPr>
            <w:tcW w:w="284" w:type="dxa"/>
            <w:tcBorders>
              <w:top w:val="nil"/>
              <w:left w:val="nil"/>
              <w:bottom w:val="nil"/>
              <w:right w:val="nil"/>
            </w:tcBorders>
            <w:tcMar>
              <w:left w:w="0" w:type="dxa"/>
              <w:right w:w="0" w:type="dxa"/>
            </w:tcMar>
            <w:vAlign w:val="center"/>
          </w:tcPr>
          <w:p w14:paraId="3BF667CA">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3FD8ED76">
            <w:pPr>
              <w:spacing w:line="400" w:lineRule="exac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马龙剑 15669223988</w:t>
            </w:r>
          </w:p>
        </w:tc>
      </w:tr>
      <w:tr w14:paraId="33F3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7F7AEBF4">
            <w:pPr>
              <w:spacing w:line="400" w:lineRule="exact"/>
              <w:jc w:val="distribute"/>
              <w:rPr>
                <w:color w:val="auto"/>
                <w:kern w:val="0"/>
                <w:sz w:val="24"/>
                <w:szCs w:val="24"/>
              </w:rPr>
            </w:pPr>
            <w:r>
              <w:rPr>
                <w:color w:val="auto"/>
                <w:kern w:val="0"/>
                <w:sz w:val="24"/>
                <w:szCs w:val="24"/>
              </w:rPr>
              <w:t>邮箱</w:t>
            </w:r>
          </w:p>
        </w:tc>
        <w:tc>
          <w:tcPr>
            <w:tcW w:w="284" w:type="dxa"/>
            <w:tcBorders>
              <w:top w:val="nil"/>
              <w:left w:val="nil"/>
              <w:bottom w:val="nil"/>
              <w:right w:val="nil"/>
            </w:tcBorders>
            <w:tcMar>
              <w:left w:w="0" w:type="dxa"/>
              <w:right w:w="0" w:type="dxa"/>
            </w:tcMar>
            <w:vAlign w:val="center"/>
          </w:tcPr>
          <w:p w14:paraId="5E20176F">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537F34CE">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LongJian.Ma@geely.com  </w:t>
            </w:r>
          </w:p>
        </w:tc>
      </w:tr>
    </w:tbl>
    <w:p w14:paraId="73D2A384">
      <w:pPr>
        <w:pageBreakBefore w:val="0"/>
        <w:tabs>
          <w:tab w:val="left" w:pos="600"/>
        </w:tabs>
        <w:kinsoku/>
        <w:wordWrap/>
        <w:overflowPunct/>
        <w:topLinePunct w:val="0"/>
        <w:bidi w:val="0"/>
        <w:spacing w:line="400" w:lineRule="atLeast"/>
        <w:textAlignment w:val="auto"/>
        <w:rPr>
          <w:rFonts w:hint="eastAsia" w:asciiTheme="majorEastAsia" w:hAnsiTheme="majorEastAsia" w:eastAsiaTheme="majorEastAsia" w:cstheme="majorEastAsia"/>
          <w:b/>
          <w:szCs w:val="21"/>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14:paraId="0E3BA99A">
      <w:pPr>
        <w:rPr>
          <w:rFonts w:hint="eastAsia" w:asciiTheme="majorEastAsia" w:hAnsiTheme="majorEastAsia" w:eastAsiaTheme="majorEastAsia" w:cstheme="majorEastAsia"/>
          <w:b/>
          <w:szCs w:val="21"/>
        </w:rPr>
      </w:pPr>
    </w:p>
    <w:p w14:paraId="65628BDA">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1</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14:paraId="102E26F7">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14:paraId="4460EDED">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吉利百矿集团有限公司</w:t>
      </w:r>
      <w:r>
        <w:rPr>
          <w:rFonts w:hint="eastAsia" w:asciiTheme="majorEastAsia" w:hAnsiTheme="majorEastAsia" w:eastAsiaTheme="majorEastAsia" w:cstheme="majorEastAsia"/>
          <w:sz w:val="21"/>
          <w:szCs w:val="21"/>
        </w:rPr>
        <w:t>：</w:t>
      </w:r>
    </w:p>
    <w:p w14:paraId="37820011">
      <w:pPr>
        <w:spacing w:line="360" w:lineRule="auto"/>
        <w:ind w:firstLine="420"/>
        <w:rPr>
          <w:rFonts w:hint="eastAsia" w:asciiTheme="majorEastAsia" w:hAnsiTheme="majorEastAsia" w:eastAsiaTheme="majorEastAsia" w:cstheme="majorEastAsia"/>
          <w:sz w:val="21"/>
          <w:szCs w:val="21"/>
        </w:rPr>
      </w:pPr>
    </w:p>
    <w:p w14:paraId="7F63738D">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lang w:val="en-US" w:eastAsia="zh-CN"/>
        </w:rPr>
        <w:t>脱硫增效剂</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14:paraId="727584BF">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sz w:val="21"/>
          <w:szCs w:val="21"/>
          <w:u w:val="single"/>
          <w:lang w:val="en-US" w:eastAsia="zh-CN"/>
        </w:rPr>
        <w:t>田林百矿田田碳素有限公司2025年脱硫增效剂采购项目</w:t>
      </w:r>
      <w:r>
        <w:rPr>
          <w:rFonts w:hint="eastAsia" w:asciiTheme="majorEastAsia" w:hAnsiTheme="majorEastAsia" w:eastAsiaTheme="majorEastAsia" w:cstheme="majorEastAsia"/>
          <w:b w:val="0"/>
          <w:bCs w:val="0"/>
          <w:sz w:val="21"/>
          <w:szCs w:val="21"/>
          <w:u w:val="none"/>
          <w:lang w:val="en-US" w:eastAsia="zh-CN"/>
        </w:rPr>
        <w:t>邀请书</w:t>
      </w:r>
      <w:r>
        <w:rPr>
          <w:rFonts w:hint="eastAsia" w:asciiTheme="majorEastAsia" w:hAnsiTheme="majorEastAsia" w:eastAsiaTheme="majorEastAsia" w:cstheme="majorEastAsia"/>
          <w:b w:val="0"/>
          <w:bCs w:val="0"/>
          <w:sz w:val="21"/>
          <w:szCs w:val="21"/>
          <w:u w:val="none"/>
        </w:rPr>
        <w:t>规定的交货期要求。</w:t>
      </w:r>
    </w:p>
    <w:p w14:paraId="11327E45">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u w:val="single"/>
          <w:lang w:val="en-US" w:eastAsia="zh-CN"/>
        </w:rPr>
        <w:t>脱硫增效剂</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lang w:val="en-US" w:eastAsia="zh-CN"/>
        </w:rPr>
        <w:t>项目</w:t>
      </w:r>
      <w:r>
        <w:rPr>
          <w:rFonts w:hint="eastAsia" w:asciiTheme="majorEastAsia" w:hAnsiTheme="majorEastAsia" w:eastAsiaTheme="majorEastAsia" w:cstheme="majorEastAsia"/>
          <w:b w:val="0"/>
          <w:bCs w:val="0"/>
          <w:sz w:val="21"/>
          <w:szCs w:val="21"/>
          <w:u w:val="none"/>
          <w:lang w:val="en-US" w:eastAsia="zh-CN"/>
        </w:rPr>
        <w:t>邀请书并响应（2.6技术要求）</w:t>
      </w:r>
      <w:r>
        <w:rPr>
          <w:rFonts w:hint="eastAsia" w:asciiTheme="majorEastAsia" w:hAnsiTheme="majorEastAsia" w:eastAsiaTheme="majorEastAsia" w:cstheme="majorEastAsia"/>
          <w:b w:val="0"/>
          <w:bCs w:val="0"/>
          <w:sz w:val="21"/>
          <w:szCs w:val="21"/>
        </w:rPr>
        <w:t>以及全部参考资料和有关附件。</w:t>
      </w:r>
    </w:p>
    <w:p w14:paraId="59A5434C">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u w:val="single"/>
          <w:lang w:val="en-US" w:eastAsia="zh-CN"/>
        </w:rPr>
        <w:t>脱硫增效剂</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14:paraId="51AEE3D0">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 xml:space="preserve">LongJian.Ma@geely.com  </w:t>
      </w:r>
    </w:p>
    <w:p w14:paraId="44322D23">
      <w:pPr>
        <w:pStyle w:val="2"/>
        <w:rPr>
          <w:rFonts w:hint="eastAsia" w:asciiTheme="majorEastAsia" w:hAnsiTheme="majorEastAsia" w:eastAsiaTheme="majorEastAsia" w:cstheme="majorEastAsia"/>
          <w:lang w:eastAsia="zh-CN"/>
        </w:rPr>
      </w:pPr>
    </w:p>
    <w:p w14:paraId="34645169">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14:paraId="03FDED16">
      <w:pPr>
        <w:spacing w:line="360" w:lineRule="auto"/>
        <w:ind w:firstLine="420"/>
        <w:rPr>
          <w:rFonts w:hint="eastAsia" w:asciiTheme="majorEastAsia" w:hAnsiTheme="majorEastAsia" w:eastAsiaTheme="majorEastAsia" w:cstheme="majorEastAsia"/>
          <w:sz w:val="21"/>
          <w:szCs w:val="21"/>
        </w:rPr>
      </w:pPr>
    </w:p>
    <w:p w14:paraId="7DE6D880">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14:paraId="0B697071">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6C54B26D">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1C2A8BD6">
      <w:pPr>
        <w:rPr>
          <w:rFonts w:hint="eastAsia"/>
        </w:rPr>
      </w:pPr>
    </w:p>
    <w:p w14:paraId="092CFC81">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14:paraId="4BA0A995">
        <w:pPr>
          <w:pStyle w:val="10"/>
          <w:jc w:val="center"/>
        </w:pPr>
        <w:r>
          <w:fldChar w:fldCharType="begin"/>
        </w:r>
        <w:r>
          <w:instrText xml:space="preserve">PAGE   \* MERGEFORMAT</w:instrText>
        </w:r>
        <w:r>
          <w:fldChar w:fldCharType="separate"/>
        </w:r>
        <w:r>
          <w:rPr>
            <w:lang w:val="zh-CN"/>
          </w:rPr>
          <w:t>3</w:t>
        </w:r>
        <w:r>
          <w:fldChar w:fldCharType="end"/>
        </w:r>
      </w:p>
    </w:sdtContent>
  </w:sdt>
  <w:p w14:paraId="0450189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B4F61">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1BB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3A10">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85FC7">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099A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2FE39"/>
    <w:multiLevelType w:val="singleLevel"/>
    <w:tmpl w:val="DC02FE39"/>
    <w:lvl w:ilvl="0" w:tentative="0">
      <w:start w:val="1"/>
      <w:numFmt w:val="decimal"/>
      <w:lvlText w:val="%1)"/>
      <w:lvlJc w:val="left"/>
      <w:pPr>
        <w:tabs>
          <w:tab w:val="left" w:pos="312"/>
        </w:tabs>
      </w:pPr>
    </w:lvl>
  </w:abstractNum>
  <w:abstractNum w:abstractNumId="1">
    <w:nsid w:val="4C3FA0AD"/>
    <w:multiLevelType w:val="singleLevel"/>
    <w:tmpl w:val="4C3FA0A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WVkMTZkZjVlNjU3OTRkODdkMTU1MDIxYWI5NT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5E66021"/>
    <w:rsid w:val="063B27C1"/>
    <w:rsid w:val="06F63781"/>
    <w:rsid w:val="07456121"/>
    <w:rsid w:val="0A420305"/>
    <w:rsid w:val="0B820F78"/>
    <w:rsid w:val="0C7C5845"/>
    <w:rsid w:val="0CAD008F"/>
    <w:rsid w:val="0D0913F9"/>
    <w:rsid w:val="0DE54DDD"/>
    <w:rsid w:val="0E6C3CDC"/>
    <w:rsid w:val="0EB73B90"/>
    <w:rsid w:val="0F11688C"/>
    <w:rsid w:val="10032260"/>
    <w:rsid w:val="101C61EE"/>
    <w:rsid w:val="113A610C"/>
    <w:rsid w:val="12290200"/>
    <w:rsid w:val="12AC23E2"/>
    <w:rsid w:val="136B5FB3"/>
    <w:rsid w:val="13934C8A"/>
    <w:rsid w:val="139B2695"/>
    <w:rsid w:val="144D187B"/>
    <w:rsid w:val="159B0014"/>
    <w:rsid w:val="1675710C"/>
    <w:rsid w:val="16DA3A46"/>
    <w:rsid w:val="17073614"/>
    <w:rsid w:val="17AB4329"/>
    <w:rsid w:val="17C15D97"/>
    <w:rsid w:val="188E5A7E"/>
    <w:rsid w:val="18C56ABE"/>
    <w:rsid w:val="18C740FB"/>
    <w:rsid w:val="19840A89"/>
    <w:rsid w:val="1A174747"/>
    <w:rsid w:val="1B0325F3"/>
    <w:rsid w:val="1B070C4A"/>
    <w:rsid w:val="1BA12E75"/>
    <w:rsid w:val="1BE90CBC"/>
    <w:rsid w:val="1C0B4FDF"/>
    <w:rsid w:val="1C5B2F04"/>
    <w:rsid w:val="1C7571F8"/>
    <w:rsid w:val="1CD42A2E"/>
    <w:rsid w:val="1D5D2FEB"/>
    <w:rsid w:val="1DC3395B"/>
    <w:rsid w:val="1EA413BD"/>
    <w:rsid w:val="1F16393D"/>
    <w:rsid w:val="20DE38EC"/>
    <w:rsid w:val="217C545D"/>
    <w:rsid w:val="22B86521"/>
    <w:rsid w:val="233F1ADA"/>
    <w:rsid w:val="23847E36"/>
    <w:rsid w:val="24782E39"/>
    <w:rsid w:val="256C065C"/>
    <w:rsid w:val="263920D0"/>
    <w:rsid w:val="271C3AA6"/>
    <w:rsid w:val="272724AE"/>
    <w:rsid w:val="27FF17B9"/>
    <w:rsid w:val="28266776"/>
    <w:rsid w:val="2A7055D9"/>
    <w:rsid w:val="2BB655EB"/>
    <w:rsid w:val="2CA17371"/>
    <w:rsid w:val="2CFC4465"/>
    <w:rsid w:val="2DE03868"/>
    <w:rsid w:val="2EFA0920"/>
    <w:rsid w:val="2F2E0DD3"/>
    <w:rsid w:val="2FDF0AC1"/>
    <w:rsid w:val="30530CB9"/>
    <w:rsid w:val="31241C20"/>
    <w:rsid w:val="31A606A8"/>
    <w:rsid w:val="3370188D"/>
    <w:rsid w:val="337C12F0"/>
    <w:rsid w:val="33A5028C"/>
    <w:rsid w:val="340A6022"/>
    <w:rsid w:val="34991DD6"/>
    <w:rsid w:val="34A26162"/>
    <w:rsid w:val="34D74C01"/>
    <w:rsid w:val="34E47465"/>
    <w:rsid w:val="360E21C1"/>
    <w:rsid w:val="36401C52"/>
    <w:rsid w:val="37861D96"/>
    <w:rsid w:val="37FD118C"/>
    <w:rsid w:val="38AC6F88"/>
    <w:rsid w:val="3A3E06A3"/>
    <w:rsid w:val="3AAB7859"/>
    <w:rsid w:val="3B0722D4"/>
    <w:rsid w:val="3B0E75CF"/>
    <w:rsid w:val="3B652E8B"/>
    <w:rsid w:val="3B6B54F4"/>
    <w:rsid w:val="3CCC43B5"/>
    <w:rsid w:val="3E4F3034"/>
    <w:rsid w:val="408373C1"/>
    <w:rsid w:val="409E30A8"/>
    <w:rsid w:val="40FC4CB0"/>
    <w:rsid w:val="41034C6C"/>
    <w:rsid w:val="4134728B"/>
    <w:rsid w:val="41504F94"/>
    <w:rsid w:val="4389551C"/>
    <w:rsid w:val="45900927"/>
    <w:rsid w:val="47AB2817"/>
    <w:rsid w:val="487415C3"/>
    <w:rsid w:val="487B65BE"/>
    <w:rsid w:val="4A4444D0"/>
    <w:rsid w:val="4A760E79"/>
    <w:rsid w:val="4B166A95"/>
    <w:rsid w:val="4B493BD2"/>
    <w:rsid w:val="4B51444F"/>
    <w:rsid w:val="4C7157A4"/>
    <w:rsid w:val="4D2423DA"/>
    <w:rsid w:val="4F3E52A8"/>
    <w:rsid w:val="4F586394"/>
    <w:rsid w:val="50232F42"/>
    <w:rsid w:val="51951BF7"/>
    <w:rsid w:val="51DE68AB"/>
    <w:rsid w:val="52074CBA"/>
    <w:rsid w:val="533D0BDE"/>
    <w:rsid w:val="53411EE9"/>
    <w:rsid w:val="53513A3C"/>
    <w:rsid w:val="536F00DE"/>
    <w:rsid w:val="539313E4"/>
    <w:rsid w:val="54CD67D6"/>
    <w:rsid w:val="55497E47"/>
    <w:rsid w:val="561B446B"/>
    <w:rsid w:val="565D1920"/>
    <w:rsid w:val="56B26B95"/>
    <w:rsid w:val="57005247"/>
    <w:rsid w:val="5780446C"/>
    <w:rsid w:val="57C021E2"/>
    <w:rsid w:val="57E0574B"/>
    <w:rsid w:val="59396DEE"/>
    <w:rsid w:val="5A58599B"/>
    <w:rsid w:val="5AAC196A"/>
    <w:rsid w:val="5B0D2E79"/>
    <w:rsid w:val="5B1D587B"/>
    <w:rsid w:val="5B2172A6"/>
    <w:rsid w:val="5BEA4FE1"/>
    <w:rsid w:val="5D1619BA"/>
    <w:rsid w:val="5E6A71F7"/>
    <w:rsid w:val="5FD65ECC"/>
    <w:rsid w:val="600E2170"/>
    <w:rsid w:val="60240C8A"/>
    <w:rsid w:val="60934C78"/>
    <w:rsid w:val="60FC4012"/>
    <w:rsid w:val="6106280A"/>
    <w:rsid w:val="618F164B"/>
    <w:rsid w:val="61A241F9"/>
    <w:rsid w:val="62976BA7"/>
    <w:rsid w:val="62D46057"/>
    <w:rsid w:val="63EF192E"/>
    <w:rsid w:val="640336FD"/>
    <w:rsid w:val="6534570D"/>
    <w:rsid w:val="65413FA7"/>
    <w:rsid w:val="65975B59"/>
    <w:rsid w:val="65BB3DCB"/>
    <w:rsid w:val="66D44B2F"/>
    <w:rsid w:val="67714B74"/>
    <w:rsid w:val="67A105BB"/>
    <w:rsid w:val="682806B6"/>
    <w:rsid w:val="686D619C"/>
    <w:rsid w:val="6A0717FB"/>
    <w:rsid w:val="6A184051"/>
    <w:rsid w:val="6ACD6C40"/>
    <w:rsid w:val="6B3E03B6"/>
    <w:rsid w:val="6BE91E82"/>
    <w:rsid w:val="6CFB43E6"/>
    <w:rsid w:val="6D226F1D"/>
    <w:rsid w:val="6E1038D1"/>
    <w:rsid w:val="6EA76F13"/>
    <w:rsid w:val="6F5D25CA"/>
    <w:rsid w:val="700720D9"/>
    <w:rsid w:val="71246855"/>
    <w:rsid w:val="71366B75"/>
    <w:rsid w:val="716B46DE"/>
    <w:rsid w:val="724F2B10"/>
    <w:rsid w:val="72E55401"/>
    <w:rsid w:val="7343784D"/>
    <w:rsid w:val="73645753"/>
    <w:rsid w:val="73B93F82"/>
    <w:rsid w:val="74E62BE1"/>
    <w:rsid w:val="7559600E"/>
    <w:rsid w:val="7600251B"/>
    <w:rsid w:val="76444236"/>
    <w:rsid w:val="76BF0406"/>
    <w:rsid w:val="76FF03C8"/>
    <w:rsid w:val="789E2CA4"/>
    <w:rsid w:val="78E404CB"/>
    <w:rsid w:val="792917E7"/>
    <w:rsid w:val="798C6F6D"/>
    <w:rsid w:val="79AF27CF"/>
    <w:rsid w:val="7A53275F"/>
    <w:rsid w:val="7A88550D"/>
    <w:rsid w:val="7A9F6E02"/>
    <w:rsid w:val="7B7113F0"/>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unhideWhenUsed/>
    <w:qFormat/>
    <w:uiPriority w:val="9"/>
    <w:pPr>
      <w:keepNext/>
      <w:adjustRightInd w:val="0"/>
      <w:spacing w:line="360" w:lineRule="atLeast"/>
      <w:jc w:val="left"/>
      <w:textAlignment w:val="baseline"/>
      <w:outlineLvl w:val="2"/>
    </w:pPr>
    <w:rPr>
      <w:rFonts w:ascii="Arial" w:hAnsi="Arial" w:cs="Arial"/>
      <w:b/>
      <w:bCs/>
      <w:kern w:val="0"/>
      <w:sz w:val="28"/>
      <w:szCs w:val="20"/>
    </w:rPr>
  </w:style>
  <w:style w:type="character" w:default="1" w:styleId="15">
    <w:name w:val="Default Paragraph Font"/>
    <w:link w:val="16"/>
    <w:autoRedefine/>
    <w:unhideWhenUsed/>
    <w:qFormat/>
    <w:uiPriority w:val="1"/>
    <w:rPr>
      <w:kern w:val="1"/>
    </w:rPr>
  </w:style>
  <w:style w:type="table" w:default="1" w:styleId="13">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5">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7"/>
    <w:autoRedefine/>
    <w:unhideWhenUsed/>
    <w:qFormat/>
    <w:uiPriority w:val="99"/>
    <w:pPr>
      <w:jc w:val="left"/>
    </w:pPr>
  </w:style>
  <w:style w:type="paragraph" w:styleId="7">
    <w:name w:val="Body Text"/>
    <w:basedOn w:val="1"/>
    <w:autoRedefine/>
    <w:qFormat/>
    <w:uiPriority w:val="1"/>
    <w:pPr>
      <w:ind w:left="169"/>
    </w:pPr>
    <w:rPr>
      <w:rFonts w:ascii="宋体" w:hAnsi="宋体" w:eastAsia="宋体" w:cs="宋体"/>
      <w:sz w:val="24"/>
      <w:szCs w:val="24"/>
      <w:lang w:val="zh-CN" w:eastAsia="zh-CN" w:bidi="zh-CN"/>
    </w:r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8"/>
    <w:autoRedefine/>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autoRedefine/>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character" w:customStyle="1" w:styleId="23">
    <w:name w:val="页眉 Char"/>
    <w:basedOn w:val="15"/>
    <w:link w:val="11"/>
    <w:autoRedefine/>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日期 Char"/>
    <w:basedOn w:val="15"/>
    <w:link w:val="8"/>
    <w:autoRedefine/>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5"/>
    <w:link w:val="6"/>
    <w:autoRedefine/>
    <w:semiHidden/>
    <w:qFormat/>
    <w:uiPriority w:val="99"/>
  </w:style>
  <w:style w:type="character" w:customStyle="1" w:styleId="28">
    <w:name w:val="批注框文本 Char"/>
    <w:basedOn w:val="15"/>
    <w:link w:val="9"/>
    <w:autoRedefine/>
    <w:semiHidden/>
    <w:qFormat/>
    <w:uiPriority w:val="99"/>
    <w:rPr>
      <w:sz w:val="18"/>
      <w:szCs w:val="18"/>
    </w:rPr>
  </w:style>
  <w:style w:type="paragraph" w:customStyle="1" w:styleId="29">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autoRedefine/>
    <w:qFormat/>
    <w:uiPriority w:val="0"/>
    <w:rPr>
      <w:rFonts w:hint="eastAsia" w:ascii="宋体" w:hAnsi="宋体" w:eastAsia="宋体" w:cs="宋体"/>
      <w:color w:val="000000"/>
      <w:sz w:val="24"/>
      <w:szCs w:val="24"/>
      <w:u w:val="none"/>
    </w:rPr>
  </w:style>
  <w:style w:type="character" w:customStyle="1" w:styleId="33">
    <w:name w:val="font41"/>
    <w:basedOn w:val="15"/>
    <w:autoRedefine/>
    <w:qFormat/>
    <w:uiPriority w:val="0"/>
    <w:rPr>
      <w:rFonts w:hint="default" w:ascii="Times New Roman" w:hAnsi="Times New Roman" w:cs="Times New Roman"/>
      <w:color w:val="000000"/>
      <w:sz w:val="22"/>
      <w:szCs w:val="22"/>
      <w:u w:val="none"/>
    </w:rPr>
  </w:style>
  <w:style w:type="character" w:customStyle="1" w:styleId="34">
    <w:name w:val="font11"/>
    <w:basedOn w:val="15"/>
    <w:autoRedefine/>
    <w:qFormat/>
    <w:uiPriority w:val="0"/>
    <w:rPr>
      <w:rFonts w:hint="eastAsia" w:ascii="宋体" w:hAnsi="宋体" w:eastAsia="宋体" w:cs="宋体"/>
      <w:color w:val="FF0000"/>
      <w:sz w:val="20"/>
      <w:szCs w:val="20"/>
      <w:u w:val="none"/>
    </w:rPr>
  </w:style>
  <w:style w:type="character" w:customStyle="1" w:styleId="35">
    <w:name w:val="标题 3 Char"/>
    <w:basedOn w:val="15"/>
    <w:link w:val="4"/>
    <w:autoRedefine/>
    <w:qFormat/>
    <w:uiPriority w:val="0"/>
    <w:rPr>
      <w:rFonts w:ascii="Arial" w:hAnsi="Arial" w:cs="Arial"/>
      <w:b/>
      <w:bCs/>
      <w:kern w:val="0"/>
      <w:sz w:val="28"/>
      <w:szCs w:val="20"/>
    </w:rPr>
  </w:style>
  <w:style w:type="character" w:customStyle="1" w:styleId="36">
    <w:name w:val="标题 2 Char"/>
    <w:basedOn w:val="15"/>
    <w:link w:val="3"/>
    <w:autoRedefine/>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1994</Words>
  <Characters>2202</Characters>
  <Lines>13</Lines>
  <Paragraphs>3</Paragraphs>
  <TotalTime>0</TotalTime>
  <ScaleCrop>false</ScaleCrop>
  <LinksUpToDate>false</LinksUpToDate>
  <CharactersWithSpaces>2378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Longjian.Ma</cp:lastModifiedBy>
  <dcterms:modified xsi:type="dcterms:W3CDTF">2024-11-26T02:48:02Z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BD3C30A683794D4FA96E423101E5F91B</vt:lpwstr>
  </property>
</Properties>
</file>