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BFE10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脱硫增效剂技术标准</w:t>
      </w:r>
    </w:p>
    <w:p w14:paraId="67B20254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白色或黄色结晶固体粉末</w:t>
      </w:r>
      <w:r>
        <w:rPr>
          <w:rFonts w:hint="eastAsia"/>
          <w:sz w:val="28"/>
          <w:szCs w:val="28"/>
          <w:lang w:eastAsia="zh-CN"/>
        </w:rPr>
        <w:t>；</w:t>
      </w:r>
      <w:bookmarkStart w:id="0" w:name="_GoBack"/>
      <w:bookmarkEnd w:id="0"/>
    </w:p>
    <w:p w14:paraId="0A8C46DD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规格：</w:t>
      </w:r>
      <w:r>
        <w:rPr>
          <w:rFonts w:hint="eastAsia"/>
          <w:sz w:val="28"/>
          <w:szCs w:val="28"/>
        </w:rPr>
        <w:t>25KG/袋</w:t>
      </w:r>
      <w:r>
        <w:rPr>
          <w:rFonts w:hint="eastAsia"/>
          <w:sz w:val="28"/>
          <w:szCs w:val="28"/>
          <w:lang w:eastAsia="zh-CN"/>
        </w:rPr>
        <w:t>；</w:t>
      </w:r>
    </w:p>
    <w:p w14:paraId="44424B91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PH中性，有效含量≥99%，水不溶物＜1%</w:t>
      </w:r>
      <w:r>
        <w:rPr>
          <w:rFonts w:hint="eastAsia"/>
          <w:sz w:val="28"/>
          <w:szCs w:val="28"/>
          <w:lang w:eastAsia="zh-CN"/>
        </w:rPr>
        <w:t>；</w:t>
      </w:r>
    </w:p>
    <w:p w14:paraId="5FB15B01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提供出厂检测报告</w:t>
      </w:r>
      <w:r>
        <w:rPr>
          <w:rFonts w:hint="eastAsia"/>
          <w:sz w:val="28"/>
          <w:szCs w:val="28"/>
          <w:lang w:eastAsia="zh-CN"/>
        </w:rPr>
        <w:t>；</w:t>
      </w:r>
    </w:p>
    <w:p w14:paraId="5293CFB5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>药品要求无毒、无腐蚀性、无重金属、无氯离子等不良副作用。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CE6AF"/>
    <w:multiLevelType w:val="singleLevel"/>
    <w:tmpl w:val="578CE6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B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2024-11-25T02:47:35Z</dcterms:created>
  <dc:creator>Longjian.Ma</dc:creator>
  <cp:lastModifiedBy>Longjian.Ma</cp:lastModifiedBy>
  <dcterms:modified xsi:type="dcterms:W3CDTF">2024-11-25T02:49:13Z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AF0C58DA1E0C4AA8ACF0E65C592BB60A_12</vt:lpwstr>
  </property>
</Properties>
</file>