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广西百矿新材料技术有限公司2025年度棕刚玉采购</w:t>
      </w:r>
      <w:r>
        <w:rPr>
          <w:rFonts w:hint="eastAsia" w:ascii="微软雅黑" w:hAnsi="微软雅黑" w:eastAsia="微软雅黑"/>
          <w:b/>
          <w:sz w:val="32"/>
          <w:szCs w:val="32"/>
          <w:lang w:val="en-US" w:eastAsia="zh-CN"/>
        </w:rPr>
        <w:t>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3"/>
        <w:rPr>
          <w:rFonts w:hint="eastAsia"/>
          <w:lang w:val="en-US" w:eastAsia="zh-CN"/>
        </w:rPr>
      </w:pPr>
    </w:p>
    <w:p>
      <w:pPr>
        <w:pStyle w:val="2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2"/>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sz w:val="24"/>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sz w:val="24"/>
          <w:szCs w:val="24"/>
          <w:u w:val="single"/>
          <w:lang w:val="en-US" w:eastAsia="zh-CN"/>
        </w:rPr>
        <w:t>广西百矿新材料技术有限公司2025年度棕刚玉采购项目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sz w:val="24"/>
          <w:szCs w:val="24"/>
          <w:u w:val="single"/>
          <w:lang w:val="en-US" w:eastAsia="zh-CN"/>
        </w:rPr>
        <w:t>广西百矿新材料技术有限公司2025年度棕刚玉采购项目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备采购条件，本项目分为两个标段，现邀请贵司参与本项目报单。</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3"/>
        <w:rPr>
          <w:rFonts w:hint="eastAsia" w:ascii="宋体" w:hAnsi="宋体" w:eastAsia="宋体" w:cs="宋体"/>
          <w:b/>
          <w:bCs/>
          <w:sz w:val="24"/>
          <w:szCs w:val="24"/>
        </w:rPr>
      </w:pPr>
    </w:p>
    <w:tbl>
      <w:tblPr>
        <w:tblStyle w:val="11"/>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60"/>
        <w:gridCol w:w="1862"/>
        <w:gridCol w:w="2700"/>
        <w:gridCol w:w="114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11" w:hRule="atLeast"/>
        </w:trPr>
        <w:tc>
          <w:tcPr>
            <w:tcW w:w="96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86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70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4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79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预估使用量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0" w:hRule="atLeast"/>
        </w:trPr>
        <w:tc>
          <w:tcPr>
            <w:tcW w:w="96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辅料类</w:t>
            </w:r>
          </w:p>
        </w:tc>
        <w:tc>
          <w:tcPr>
            <w:tcW w:w="186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棕刚玉</w:t>
            </w:r>
          </w:p>
        </w:tc>
        <w:tc>
          <w:tcPr>
            <w:tcW w:w="270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30目-46目（详见质量技术标准）</w:t>
            </w:r>
          </w:p>
        </w:tc>
        <w:tc>
          <w:tcPr>
            <w:tcW w:w="114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179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广西百矿新材料技术有限公司辅料仓库内；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收到中标通知书后后根据采购订单15日内交付，其余部分以具体以甲方通知为准。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widowControl/>
        <w:suppressLineNumbers w:val="0"/>
        <w:ind w:firstLine="480" w:firstLineChars="200"/>
        <w:jc w:val="both"/>
        <w:rPr>
          <w:rFonts w:hint="eastAsia"/>
        </w:rPr>
      </w:pPr>
      <w:r>
        <w:rPr>
          <w:rFonts w:hint="eastAsia" w:ascii="宋体" w:hAnsi="宋体" w:eastAsia="宋体" w:cs="宋体"/>
          <w:b w:val="0"/>
          <w:bCs w:val="0"/>
          <w:color w:val="000000"/>
          <w:sz w:val="24"/>
          <w:szCs w:val="24"/>
          <w:lang w:eastAsia="zh-CN"/>
        </w:rPr>
        <w:t>详见附件《</w:t>
      </w:r>
      <w:r>
        <w:rPr>
          <w:rFonts w:hint="eastAsia" w:ascii="宋体" w:hAnsi="宋体" w:eastAsia="宋体" w:cs="宋体"/>
          <w:b w:val="0"/>
          <w:bCs w:val="0"/>
          <w:color w:val="000000"/>
          <w:sz w:val="24"/>
          <w:szCs w:val="24"/>
          <w:lang w:val="en-US" w:eastAsia="zh-CN"/>
        </w:rPr>
        <w:t>技术质量标准</w:t>
      </w:r>
      <w:r>
        <w:rPr>
          <w:rFonts w:hint="eastAsia" w:ascii="宋体" w:hAnsi="宋体" w:eastAsia="宋体" w:cs="宋体"/>
          <w:b w:val="0"/>
          <w:bCs w:val="0"/>
          <w:color w:val="000000"/>
          <w:sz w:val="24"/>
          <w:szCs w:val="24"/>
          <w:lang w:eastAsia="zh-CN"/>
        </w:rPr>
        <w:t>》</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3.1在中国境内注册，有独立法人资格和承担民事责任的能力。</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3.2遵守中华人民共和国有关法律、法规和条例。</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3.3投标人须具有棕刚玉生产制造资质或销售资质；近3年内在汽车铝轮毂行业不少于1个类似供货业绩，并提供棕刚玉质检报告，业绩应当是目前存在并有可能接受招标人的请求为招标人进行实际考察的。（业绩须附列表及对应列表的合同原件扫描件。合同原件扫描件含首尾页、供货棕刚玉规格型号的供货清单、签字盖章页，否则按无效业绩处理）。</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3.4近年来有较好业绩且无不良商业行为。</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3.5具有良好的商业信誉和健全的财务会计制度。</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3.6本次招标不接受联合体投标及分包/转包。</w:t>
      </w:r>
    </w:p>
    <w:p>
      <w:pPr>
        <w:keepNext w:val="0"/>
        <w:keepLines w:val="0"/>
        <w:pageBreakBefore w:val="0"/>
        <w:numPr>
          <w:ilvl w:val="0"/>
          <w:numId w:val="1"/>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4.1定价方式</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固定单价×总数量（含税13%税率+加工费+包含运输等所有费用）。</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4.2结算及付款方式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乘合同（产品清单）单价结算</w:t>
      </w:r>
      <w:r>
        <w:rPr>
          <w:rFonts w:ascii="宋体" w:hAnsi="宋体" w:cs="Arial"/>
          <w:color w:val="auto"/>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w:t>
      </w:r>
      <w:r>
        <w:rPr>
          <w:rFonts w:hint="eastAsia" w:ascii="宋体" w:hAnsi="宋体"/>
          <w:color w:val="auto"/>
          <w:kern w:val="0"/>
          <w:sz w:val="24"/>
          <w:szCs w:val="24"/>
          <w:lang w:val="en-US" w:eastAsia="zh-CN"/>
        </w:rPr>
        <w:t>入甲方财务账35</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4.3议价方式</w:t>
      </w:r>
    </w:p>
    <w:p>
      <w:pPr>
        <w:pStyle w:val="3"/>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3"/>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FF"/>
          <w:sz w:val="24"/>
          <w:szCs w:val="24"/>
          <w:lang w:val="en-US" w:eastAsia="zh-CN"/>
        </w:rPr>
      </w:pPr>
      <w:r>
        <w:rPr>
          <w:rFonts w:hint="eastAsia" w:ascii="宋体" w:hAnsi="宋体" w:eastAsia="宋体" w:cs="华文仿宋"/>
          <w:b/>
          <w:bCs/>
          <w:color w:val="0000FF"/>
          <w:sz w:val="24"/>
          <w:szCs w:val="24"/>
          <w:lang w:val="en-US" w:eastAsia="zh-CN"/>
        </w:rPr>
        <w:t>4.4 评定方法</w:t>
      </w:r>
    </w:p>
    <w:p>
      <w:pPr>
        <w:spacing w:line="400" w:lineRule="exact"/>
        <w:ind w:firstLine="480" w:firstLineChars="200"/>
        <w:rPr>
          <w:rFonts w:hint="default" w:ascii="宋体" w:hAnsi="宋体" w:eastAsia="宋体" w:cstheme="minorBidi"/>
          <w:color w:val="0000FF"/>
          <w:kern w:val="2"/>
          <w:sz w:val="24"/>
          <w:szCs w:val="24"/>
          <w:lang w:val="en-US" w:eastAsia="zh-CN" w:bidi="ar-SA"/>
        </w:rPr>
      </w:pPr>
      <w:r>
        <w:rPr>
          <w:rFonts w:hint="eastAsia" w:ascii="宋体" w:hAnsi="宋体" w:eastAsia="宋体" w:cstheme="minorBidi"/>
          <w:color w:val="0000FF"/>
          <w:kern w:val="2"/>
          <w:sz w:val="24"/>
          <w:szCs w:val="24"/>
          <w:lang w:val="en-US" w:eastAsia="zh-CN" w:bidi="ar-SA"/>
        </w:rPr>
        <w:t>本次评标采用综合得分最高者中标，按价格由低到高顺序确定中标人。</w:t>
      </w:r>
      <w:bookmarkStart w:id="1" w:name="_Toc33189460"/>
      <w:r>
        <w:rPr>
          <w:rFonts w:hint="eastAsia" w:ascii="宋体" w:hAnsi="宋体" w:eastAsia="宋体" w:cstheme="minorBidi"/>
          <w:color w:val="0000FF"/>
          <w:kern w:val="2"/>
          <w:sz w:val="24"/>
          <w:szCs w:val="24"/>
          <w:lang w:val="en-US" w:eastAsia="zh-CN" w:bidi="ar-SA"/>
        </w:rPr>
        <w:t>本项目拟定选择1名中标单位，在招标控制价范围内，排名第一的为第一中标候选人，排名第二的为第二中标候选人</w:t>
      </w:r>
      <w:r>
        <w:rPr>
          <w:rFonts w:hint="eastAsia" w:ascii="宋体" w:hAnsi="宋体" w:eastAsia="宋体"/>
          <w:color w:val="0000FF"/>
          <w:sz w:val="24"/>
          <w:szCs w:val="24"/>
          <w:lang w:val="en-US" w:eastAsia="zh-CN"/>
        </w:rPr>
        <w:t>。</w:t>
      </w:r>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3"/>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12</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 xml:space="preserve">05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15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3"/>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ind w:firstLine="480" w:firstLineChars="200"/>
        <w:rPr>
          <w:rFonts w:hint="eastAsia" w:ascii="宋体" w:hAnsi="宋体" w:eastAsia="宋体"/>
          <w:color w:val="auto"/>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1</w:t>
      </w:r>
      <w:r>
        <w:rPr>
          <w:rFonts w:hint="eastAsia" w:ascii="宋体" w:hAnsi="宋体" w:eastAsia="宋体"/>
          <w:color w:val="auto"/>
          <w:sz w:val="24"/>
          <w:szCs w:val="24"/>
        </w:rPr>
        <w:t>万元</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投标保证金以</w:t>
      </w:r>
      <w:r>
        <w:rPr>
          <w:rFonts w:hint="eastAsia" w:ascii="宋体" w:hAnsi="宋体" w:eastAsia="宋体"/>
          <w:color w:val="auto"/>
          <w:sz w:val="24"/>
          <w:szCs w:val="24"/>
        </w:rPr>
        <w:t>电汇</w:t>
      </w:r>
      <w:r>
        <w:rPr>
          <w:rFonts w:hint="eastAsia" w:ascii="宋体" w:hAnsi="宋体" w:eastAsia="宋体"/>
          <w:color w:val="auto"/>
          <w:sz w:val="24"/>
          <w:szCs w:val="24"/>
          <w:lang w:val="en-US" w:eastAsia="zh-CN"/>
        </w:rPr>
        <w:t>方式</w:t>
      </w:r>
      <w:r>
        <w:rPr>
          <w:rFonts w:hint="eastAsia" w:ascii="宋体" w:hAnsi="宋体" w:eastAsia="宋体"/>
          <w:color w:val="auto"/>
          <w:sz w:val="24"/>
          <w:szCs w:val="24"/>
        </w:rPr>
        <w:t>到以下账户：</w:t>
      </w:r>
    </w:p>
    <w:p>
      <w:pPr>
        <w:pStyle w:val="23"/>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 户 名：广西百矿新材料技术有限公司</w:t>
      </w:r>
    </w:p>
    <w:p>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开户银行：中国建设银行百色分行营业部</w:t>
      </w:r>
    </w:p>
    <w:p>
      <w:pPr>
        <w:pStyle w:val="3"/>
        <w:ind w:left="0" w:leftChars="0" w:firstLine="0" w:firstLine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帐   号：45050167610109666888</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广西百矿新材料技术有限公司2025年度棕刚玉采购投标保证金</w:t>
      </w:r>
      <w:r>
        <w:rPr>
          <w:rFonts w:hint="eastAsia" w:ascii="宋体" w:hAnsi="宋体" w:eastAsia="宋体"/>
          <w:color w:val="auto"/>
          <w:sz w:val="24"/>
          <w:szCs w:val="24"/>
        </w:rPr>
        <w:t>）</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pPr>
        <w:spacing w:line="400" w:lineRule="exact"/>
        <w:ind w:firstLine="480" w:firstLineChars="200"/>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val="en-US" w:eastAsia="zh-CN"/>
        </w:rPr>
        <w:t>第一批物资到货验收合格15日内无息退还</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w:t>
      </w:r>
      <w:r>
        <w:rPr>
          <w:rFonts w:hint="eastAsia" w:ascii="宋体" w:hAnsi="宋体" w:eastAsia="宋体" w:cs="宋体"/>
          <w:b w:val="0"/>
          <w:bCs w:val="0"/>
          <w:sz w:val="24"/>
          <w:szCs w:val="24"/>
          <w:lang w:val="en-US" w:eastAsia="zh-CN"/>
        </w:rPr>
        <w:t>15日内</w:t>
      </w:r>
      <w:r>
        <w:rPr>
          <w:rFonts w:hint="eastAsia" w:ascii="宋体" w:hAnsi="宋体" w:eastAsia="宋体" w:cs="宋体"/>
          <w:b w:val="0"/>
          <w:bCs w:val="0"/>
          <w:sz w:val="24"/>
          <w:szCs w:val="24"/>
        </w:rPr>
        <w:t>无息退还。</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如供应商有下列情况，投标保证金不予退还：</w:t>
      </w:r>
    </w:p>
    <w:p>
      <w:pPr>
        <w:pStyle w:val="27"/>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7"/>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7"/>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5"/>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r>
        <w:rPr>
          <w:rFonts w:hint="eastAsia" w:cs="宋体"/>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4)投标人存在违法行为获取中标或存在以其他方式弄虚作假行为骗取中标的</w:t>
      </w:r>
      <w:r>
        <w:rPr>
          <w:rFonts w:hint="eastAsia" w:cs="宋体"/>
          <w:b w:val="0"/>
          <w:bCs w:val="0"/>
          <w:color w:val="000000" w:themeColor="text1"/>
          <w:kern w:val="2"/>
          <w:sz w:val="24"/>
          <w:szCs w:val="24"/>
          <w:lang w:val="en-US" w:eastAsia="zh-CN" w:bidi="ar-SA"/>
          <w14:textFill>
            <w14:solidFill>
              <w14:schemeClr w14:val="tx1"/>
            </w14:solidFill>
          </w14:textFill>
        </w:rPr>
        <w:t>；</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3"/>
        <w:rPr>
          <w:rFonts w:hint="eastAsia" w:asciiTheme="majorEastAsia" w:hAnsiTheme="majorEastAsia" w:eastAsiaTheme="majorEastAsia" w:cstheme="majorEastAsia"/>
          <w:color w:val="auto"/>
          <w:sz w:val="24"/>
          <w:szCs w:val="24"/>
          <w:lang w:val="en-US" w:eastAsia="zh-CN"/>
        </w:rPr>
      </w:pPr>
    </w:p>
    <w:p>
      <w:pPr>
        <w:pStyle w:val="3"/>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8.联系方式</w:t>
      </w:r>
    </w:p>
    <w:tbl>
      <w:tblPr>
        <w:tblStyle w:val="12"/>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王精令</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18777645818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Jingling.Wang@geely.com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3"/>
        <w:rPr>
          <w:rFonts w:hint="eastAsia" w:ascii="宋体" w:hAnsi="宋体" w:eastAsia="宋体" w:cs="宋体"/>
          <w:b/>
          <w:bCs/>
          <w:color w:val="auto"/>
          <w:sz w:val="21"/>
          <w:szCs w:val="21"/>
          <w:lang w:eastAsia="zh-CN"/>
        </w:rPr>
      </w:pPr>
    </w:p>
    <w:p>
      <w:pPr>
        <w:pStyle w:val="23"/>
        <w:rPr>
          <w:rFonts w:hint="eastAsia" w:ascii="宋体" w:hAnsi="宋体" w:eastAsia="宋体" w:cs="宋体"/>
          <w:b/>
          <w:bCs/>
          <w:color w:val="auto"/>
          <w:sz w:val="21"/>
          <w:szCs w:val="21"/>
          <w:lang w:eastAsia="zh-CN"/>
        </w:rPr>
      </w:pPr>
    </w:p>
    <w:p>
      <w:pPr>
        <w:pStyle w:val="23"/>
        <w:rPr>
          <w:rFonts w:hint="eastAsia" w:ascii="宋体" w:hAnsi="宋体" w:eastAsia="宋体" w:cs="宋体"/>
          <w:b/>
          <w:bCs/>
          <w:color w:val="auto"/>
          <w:sz w:val="21"/>
          <w:szCs w:val="21"/>
          <w:lang w:eastAsia="zh-CN"/>
        </w:rPr>
      </w:pPr>
    </w:p>
    <w:p>
      <w:pPr>
        <w:pStyle w:val="23"/>
        <w:rPr>
          <w:rFonts w:hint="eastAsia" w:ascii="宋体" w:hAnsi="宋体" w:eastAsia="宋体" w:cs="宋体"/>
          <w:b/>
          <w:bCs/>
          <w:color w:val="auto"/>
          <w:sz w:val="21"/>
          <w:szCs w:val="21"/>
          <w:lang w:eastAsia="zh-CN"/>
        </w:rPr>
      </w:pPr>
    </w:p>
    <w:p>
      <w:pPr>
        <w:pStyle w:val="23"/>
        <w:rPr>
          <w:rFonts w:hint="eastAsia" w:ascii="宋体" w:hAnsi="宋体" w:eastAsia="宋体" w:cs="宋体"/>
          <w:b/>
          <w:bCs/>
          <w:color w:val="auto"/>
          <w:sz w:val="21"/>
          <w:szCs w:val="21"/>
          <w:lang w:eastAsia="zh-CN"/>
        </w:rPr>
      </w:pPr>
    </w:p>
    <w:p>
      <w:pPr>
        <w:pStyle w:val="23"/>
        <w:rPr>
          <w:rFonts w:hint="default" w:eastAsia="宋体"/>
          <w:b/>
          <w:bCs/>
          <w:lang w:val="en-US" w:eastAsia="zh-CN"/>
        </w:rPr>
      </w:pPr>
    </w:p>
    <w:p>
      <w:pPr>
        <w:keepNext w:val="0"/>
        <w:keepLines w:val="0"/>
        <w:widowControl/>
        <w:suppressLineNumbers w:val="0"/>
        <w:jc w:val="both"/>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详见附件：1.棕刚玉质量技术标准 2.询价函 3.参与确认函 </w:t>
      </w: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1"/>
        <w:rPr>
          <w:rFonts w:hint="eastAsia" w:ascii="黑体" w:hAnsi="宋体" w:eastAsia="黑体" w:cs="黑体"/>
          <w:color w:val="000000"/>
          <w:kern w:val="0"/>
          <w:sz w:val="28"/>
          <w:szCs w:val="28"/>
          <w:lang w:val="en-US" w:eastAsia="zh-CN" w:bidi="ar"/>
        </w:rPr>
      </w:pPr>
    </w:p>
    <w:p>
      <w:pPr>
        <w:pStyle w:val="2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pPr>
        <w:pStyle w:val="23"/>
        <w:jc w:val="center"/>
        <w:rPr>
          <w:rFonts w:hint="eastAsia" w:ascii="宋体" w:hAnsi="宋体" w:eastAsia="宋体" w:cs="宋体"/>
          <w:b/>
          <w:bCs/>
          <w:sz w:val="36"/>
          <w:szCs w:val="36"/>
          <w:lang w:val="en-US" w:eastAsia="zh-CN"/>
        </w:rPr>
      </w:pPr>
      <w:r>
        <w:rPr>
          <w:rFonts w:hint="eastAsia" w:ascii="宋体" w:hAnsi="宋体" w:eastAsia="宋体" w:cs="宋体"/>
          <w:b/>
          <w:bCs/>
          <w:color w:val="000000"/>
          <w:kern w:val="0"/>
          <w:sz w:val="36"/>
          <w:szCs w:val="36"/>
          <w:lang w:val="en-US" w:eastAsia="zh-CN" w:bidi="ar"/>
        </w:rPr>
        <w:t>棕刚玉质量技术标准</w:t>
      </w:r>
    </w:p>
    <w:p>
      <w:pPr>
        <w:spacing w:before="156" w:beforeLines="50" w:after="156" w:afterLines="50" w:line="360" w:lineRule="auto"/>
        <w:ind w:firstLine="2891" w:firstLineChars="900"/>
        <w:jc w:val="both"/>
        <w:outlineLvl w:val="0"/>
        <w:rPr>
          <w:rFonts w:hint="default" w:ascii="宋体" w:hAnsi="宋体" w:cs="Times New Roman" w:eastAsiaTheme="minorEastAsia"/>
          <w:b/>
          <w:kern w:val="10"/>
          <w:sz w:val="32"/>
          <w:szCs w:val="32"/>
          <w:lang w:val="en-US" w:eastAsia="zh-CN"/>
        </w:rPr>
      </w:pPr>
      <w:r>
        <w:rPr>
          <w:rFonts w:hint="eastAsia" w:ascii="宋体" w:hAnsi="宋体" w:cs="Times New Roman"/>
          <w:b/>
          <w:kern w:val="10"/>
          <w:sz w:val="32"/>
          <w:szCs w:val="32"/>
          <w:lang w:val="en-US" w:eastAsia="zh-CN"/>
        </w:rPr>
        <w:t>二级棕刚玉磨料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bCs/>
          <w:lang w:val="en-US" w:eastAsia="zh-CN"/>
        </w:rPr>
      </w:pPr>
      <w:r>
        <w:rPr>
          <w:rFonts w:hint="eastAsia"/>
          <w:b/>
          <w:bCs/>
          <w:lang w:val="en-US" w:eastAsia="zh-CN"/>
        </w:rPr>
        <w:t>1 范围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本细则规定了二级棕刚玉的技术要求、检验规则、取样、试验方法、标志、包装、运输、贮存和随行文件（质量证明书）等内容。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适用于新材料公司采购二级棕刚玉磨料质量技术要求、质量检验及质量验证。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bCs/>
          <w:lang w:val="en-US" w:eastAsia="zh-CN"/>
        </w:rPr>
      </w:pPr>
      <w:r>
        <w:rPr>
          <w:rFonts w:hint="eastAsia"/>
          <w:b/>
          <w:bCs/>
          <w:lang w:val="en-US" w:eastAsia="zh-CN"/>
        </w:rPr>
        <w:t>2 规范性引用文件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下列文件对于本文件的应用是必不可少的。凡是注日期的引用文件,仅注日期的版本适用于本文 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GB 2483 磨料标志和包装规定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GB 2477 磨料粒度及其组成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default"/>
          <w:lang w:val="en-US" w:eastAsia="zh-CN"/>
        </w:rPr>
        <w:t>GB 4676 普通磨料取样方法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bCs/>
          <w:lang w:val="en-US" w:eastAsia="zh-CN"/>
        </w:rPr>
      </w:pPr>
      <w:r>
        <w:rPr>
          <w:rFonts w:hint="eastAsia"/>
          <w:b/>
          <w:bCs/>
          <w:lang w:val="en-US" w:eastAsia="zh-CN"/>
        </w:rPr>
        <w:t>3 分类、标记和编码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引用</w:t>
      </w:r>
      <w:r>
        <w:rPr>
          <w:rFonts w:hint="eastAsia"/>
          <w:lang w:val="en-US" w:eastAsia="zh-CN"/>
        </w:rPr>
        <w:fldChar w:fldCharType="begin"/>
      </w:r>
      <w:r>
        <w:rPr>
          <w:rFonts w:hint="eastAsia"/>
          <w:lang w:val="en-US" w:eastAsia="zh-CN"/>
        </w:rPr>
        <w:instrText xml:space="preserve"> HYPERLINK "http://10.113.155.14/login.html" </w:instrText>
      </w:r>
      <w:r>
        <w:rPr>
          <w:rFonts w:hint="eastAsia"/>
          <w:lang w:val="en-US" w:eastAsia="zh-CN"/>
        </w:rPr>
        <w:fldChar w:fldCharType="separate"/>
      </w:r>
      <w:r>
        <w:rPr>
          <w:rFonts w:hint="eastAsia"/>
          <w:lang w:val="en-US" w:eastAsia="zh-CN"/>
        </w:rPr>
        <w:t>企业数字化云平台</w:t>
      </w:r>
      <w:r>
        <w:rPr>
          <w:rFonts w:hint="eastAsia"/>
          <w:lang w:val="en-US" w:eastAsia="zh-CN"/>
        </w:rPr>
        <w:fldChar w:fldCharType="end"/>
      </w:r>
      <w:r>
        <w:rPr>
          <w:rFonts w:hint="eastAsia"/>
          <w:lang w:val="en-US" w:eastAsia="zh-CN"/>
        </w:rPr>
        <w:t>系统内物资分类及编号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b/>
          <w:bCs/>
          <w:lang w:val="en-US" w:eastAsia="zh-CN"/>
        </w:rPr>
      </w:pPr>
      <w:r>
        <w:rPr>
          <w:rFonts w:hint="eastAsia"/>
          <w:b/>
          <w:bCs/>
          <w:lang w:val="en-US" w:eastAsia="zh-CN"/>
        </w:rPr>
        <w:t>4 技术要求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b/>
          <w:bCs/>
          <w:lang w:val="en-US" w:eastAsia="zh-CN"/>
        </w:rPr>
      </w:pPr>
      <w:r>
        <w:rPr>
          <w:rFonts w:hint="eastAsia"/>
          <w:b/>
          <w:bCs/>
          <w:lang w:val="en-US" w:eastAsia="zh-CN"/>
        </w:rPr>
        <w:t xml:space="preserve">4.1 </w:t>
      </w:r>
      <w:r>
        <w:rPr>
          <w:rFonts w:hint="eastAsia"/>
          <w:b/>
          <w:bCs/>
        </w:rPr>
        <w:t>化学</w:t>
      </w:r>
      <w:r>
        <w:rPr>
          <w:rFonts w:hint="eastAsia"/>
          <w:b/>
          <w:bCs/>
          <w:lang w:val="en-US" w:eastAsia="zh-CN"/>
        </w:rPr>
        <w:t>成分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b/>
          <w:bCs/>
          <w:lang w:val="en-US" w:eastAsia="zh-CN"/>
        </w:rPr>
      </w:pPr>
      <w:r>
        <w:rPr>
          <w:rFonts w:hint="eastAsia"/>
          <w:b/>
          <w:bCs/>
          <w:lang w:val="en-US" w:eastAsia="zh-CN"/>
        </w:rPr>
        <w:t>4.1.1主要化学成分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二级棕刚玉的化学成分应符合表1的规定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表1  主要化学成分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rPr>
              <w:t>Al2O3</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default"/>
                <w:lang w:val="en-US" w:eastAsia="zh-CN"/>
              </w:rPr>
              <w:t>Fe2O3</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default"/>
                <w:lang w:val="en-US" w:eastAsia="zh-CN"/>
              </w:rPr>
              <w:t>SiO2</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default"/>
                <w:lang w:val="en-US" w:eastAsia="zh-CN"/>
              </w:rPr>
              <w:t>TiO2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化学成分（%）</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default"/>
                <w:lang w:val="en-US" w:eastAsia="zh-CN"/>
              </w:rPr>
              <w:t>8</w:t>
            </w:r>
            <w:r>
              <w:rPr>
                <w:rFonts w:hint="eastAsia"/>
                <w:lang w:val="en-US" w:eastAsia="zh-CN"/>
              </w:rPr>
              <w:t>5</w:t>
            </w:r>
            <w:r>
              <w:rPr>
                <w:rFonts w:hint="default"/>
                <w:lang w:val="en-US" w:eastAsia="zh-CN"/>
              </w:rPr>
              <w:t>-90</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6-10</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1.5-4</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2-4</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4.1.2  粒度组成:应符合 GB 2477的有关规定。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4.1.3  目数要求：30目-46目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4.1.3  莫氏硬度≥8.9，真密度要求（3.90-3.99）g/cm3,堆积密度要求（1.43-2.10）g/cm3，耐火度1800℃以上。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4</w:t>
      </w:r>
      <w:r>
        <w:rPr>
          <w:rFonts w:hint="eastAsia"/>
        </w:rPr>
        <w:t>.</w:t>
      </w:r>
      <w:r>
        <w:rPr>
          <w:rFonts w:hint="eastAsia"/>
          <w:lang w:val="en-US" w:eastAsia="zh-CN"/>
        </w:rPr>
        <w:t xml:space="preserve">2 </w:t>
      </w:r>
      <w:r>
        <w:rPr>
          <w:rFonts w:hint="eastAsia"/>
        </w:rPr>
        <w:t>外观质量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棕刚玉磨料装袋前必须过筛，颜色为棕色，具有均匀的颗粒分布，没有明显的杂质和裂纹，表面应平整光滑，无凹凸不平的现象。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 检验规则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5.1 检测和验收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5.1.1货物到厂后由铸造车间模修段长和来料检验员以及技术处热工工程师一同验收，验收合格后方能入库。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5.1.2外观检验：随机打开一包棕刚玉磨料，查看外观应为棕色，具有均匀的颗粒分布，没有明显的杂质和裂纹，表面应平整光滑，无凹凸不平的现象。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5.1.3厂家随货附检测报告，查看化学成分、物理性能是否满足技术要求。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5.1.4查看包装是否满足技术要求，并查看外包装是否有破损等运输过程中造成的损伤。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5.2</w:t>
      </w:r>
      <w:r>
        <w:rPr>
          <w:rFonts w:hint="default"/>
          <w:lang w:val="en-US" w:eastAsia="zh-CN"/>
        </w:rPr>
        <w:t xml:space="preserve"> 组批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二级棕刚玉磨料</w:t>
      </w:r>
      <w:r>
        <w:rPr>
          <w:rFonts w:hint="default"/>
          <w:lang w:val="en-US" w:eastAsia="zh-CN"/>
        </w:rPr>
        <w:t>应成批提交检验,每</w:t>
      </w:r>
      <w:r>
        <w:rPr>
          <w:rFonts w:hint="eastAsia"/>
          <w:lang w:val="en-US" w:eastAsia="zh-CN"/>
        </w:rPr>
        <w:t>到一车后进行送检</w:t>
      </w:r>
      <w:r>
        <w:rPr>
          <w:rFonts w:hint="default"/>
          <w:lang w:val="en-US" w:eastAsia="zh-CN"/>
        </w:rPr>
        <w:t xml:space="preserve">,批重宜为 </w:t>
      </w:r>
      <w:r>
        <w:rPr>
          <w:rFonts w:hint="eastAsia"/>
          <w:lang w:val="en-US" w:eastAsia="zh-CN"/>
        </w:rPr>
        <w:t>10t。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5.3</w:t>
      </w:r>
      <w:r>
        <w:rPr>
          <w:rFonts w:hint="default"/>
          <w:lang w:val="en-US" w:eastAsia="zh-CN"/>
        </w:rPr>
        <w:t>检验项目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eastAsia"/>
          <w:lang w:val="en-US" w:eastAsia="zh-CN"/>
        </w:rPr>
        <w:t>每批产品应进行表面质量、包装、标签的检验。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5.4 取样和制样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5.4.1 到货取样和制样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二级棕刚玉磨料到货后，按照</w:t>
      </w:r>
      <w:r>
        <w:rPr>
          <w:rFonts w:hint="default"/>
          <w:lang w:val="en-US" w:eastAsia="zh-CN"/>
        </w:rPr>
        <w:t>GB 4676 普通磨料取样方法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5</w:t>
      </w:r>
      <w:r>
        <w:rPr>
          <w:rFonts w:hint="default"/>
          <w:lang w:val="en-US" w:eastAsia="zh-CN"/>
        </w:rPr>
        <w:t>.5</w:t>
      </w:r>
      <w:r>
        <w:rPr>
          <w:rFonts w:hint="eastAsia"/>
          <w:lang w:val="en-US" w:eastAsia="zh-CN"/>
        </w:rPr>
        <w:t xml:space="preserve"> </w:t>
      </w:r>
      <w:r>
        <w:rPr>
          <w:rFonts w:hint="default"/>
          <w:lang w:val="en-US" w:eastAsia="zh-CN"/>
        </w:rPr>
        <w:t>检验结果的判定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eastAsia"/>
          <w:lang w:val="en-US" w:eastAsia="zh-CN"/>
        </w:rPr>
        <w:t>5.5.1厂家的检查报告化学成分、物理性能不符合本标准规定时,判该批不合格。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5.5.2表面质量不符合本标准规定时,判不合格。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rPr>
      </w:pPr>
      <w:r>
        <w:rPr>
          <w:rFonts w:hint="eastAsia"/>
          <w:lang w:val="en-US" w:eastAsia="zh-CN"/>
        </w:rPr>
        <w:t>5.5.3批重按实际重量计算。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7 标志、标签和随行文件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7.1 标志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7.1.1每批棕刚玉二级砂的标志和包装应符合GB 2483的要求。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7.2 随行文件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每批产品应附有质量证明书等，应注明: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a)供方信息；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b)产品名称和牌号；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c) 批号、净含量；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d)分析检验结果及供方技术(质量)监督部门印记，双方约定送第三方检测的，需附第三方检验结果；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e)执行标准号；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f)生产日期或包装日期。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8 包装、运输和贮存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8.1.1 二级棕刚玉磨料包装要求：25KG/袋，并使用吨袋二次包装吨袋规格：1210*1380/安全工作负荷：1550kg/织成方形的两条吊带环/并配有护带。护带厚3.5mm/护带宽70mm。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8.1.2运输：二级棕刚玉磨料在常温状态下化学性质稳定,按常规方式运输。运输时用清洁的集装箱或有防雨措施的车辆进行。装卸时防止产品淋湿。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8.1.3贮存：二级棕刚玉磨料应贮存在干燥、清洁、通风、无腐蚀性介质的仓库内。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lang w:val="en-US" w:eastAsia="zh-CN"/>
        </w:rPr>
        <w:t>9 扣款细则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二级棕刚玉磨料扣款细则如下：</w:t>
      </w:r>
    </w:p>
    <w:tbl>
      <w:tblPr>
        <w:tblStyle w:val="11"/>
        <w:tblW w:w="9050" w:type="dxa"/>
        <w:jc w:val="center"/>
        <w:tblLayout w:type="fixed"/>
        <w:tblCellMar>
          <w:top w:w="0" w:type="dxa"/>
          <w:left w:w="0" w:type="dxa"/>
          <w:bottom w:w="0" w:type="dxa"/>
          <w:right w:w="0" w:type="dxa"/>
        </w:tblCellMar>
      </w:tblPr>
      <w:tblGrid>
        <w:gridCol w:w="868"/>
        <w:gridCol w:w="2228"/>
        <w:gridCol w:w="1595"/>
        <w:gridCol w:w="2755"/>
        <w:gridCol w:w="1604"/>
      </w:tblGrid>
      <w:tr>
        <w:tblPrEx>
          <w:tblCellMar>
            <w:top w:w="0" w:type="dxa"/>
            <w:left w:w="0" w:type="dxa"/>
            <w:bottom w:w="0" w:type="dxa"/>
            <w:right w:w="0" w:type="dxa"/>
          </w:tblCellMar>
        </w:tblPrEx>
        <w:trPr>
          <w:trHeight w:val="489" w:hRule="atLeast"/>
          <w:jc w:val="center"/>
        </w:trPr>
        <w:tc>
          <w:tcPr>
            <w:tcW w:w="868"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2228"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子项</w:t>
            </w:r>
          </w:p>
        </w:tc>
        <w:tc>
          <w:tcPr>
            <w:tcW w:w="159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要求</w:t>
            </w:r>
          </w:p>
        </w:tc>
        <w:tc>
          <w:tcPr>
            <w:tcW w:w="275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降级扣款规定</w:t>
            </w:r>
          </w:p>
        </w:tc>
        <w:tc>
          <w:tcPr>
            <w:tcW w:w="1604"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扣款</w:t>
            </w:r>
          </w:p>
        </w:tc>
      </w:tr>
      <w:tr>
        <w:tblPrEx>
          <w:tblCellMar>
            <w:top w:w="0" w:type="dxa"/>
            <w:left w:w="0" w:type="dxa"/>
            <w:bottom w:w="0" w:type="dxa"/>
            <w:right w:w="0" w:type="dxa"/>
          </w:tblCellMar>
        </w:tblPrEx>
        <w:trPr>
          <w:trHeight w:val="400" w:hRule="atLeast"/>
          <w:jc w:val="center"/>
        </w:trPr>
        <w:tc>
          <w:tcPr>
            <w:tcW w:w="8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22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Al2O3</w:t>
            </w:r>
            <w:r>
              <w:rPr>
                <w:rFonts w:hint="eastAsia"/>
                <w:lang w:val="en-US" w:eastAsia="zh-CN"/>
              </w:rPr>
              <w:t>(%)</w:t>
            </w:r>
          </w:p>
        </w:tc>
        <w:tc>
          <w:tcPr>
            <w:tcW w:w="1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质量符合合同规定要求</w:t>
            </w:r>
          </w:p>
        </w:tc>
        <w:tc>
          <w:tcPr>
            <w:tcW w:w="27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超出或低于范围1(%)</w:t>
            </w:r>
          </w:p>
        </w:tc>
        <w:tc>
          <w:tcPr>
            <w:tcW w:w="16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500元/吨</w:t>
            </w:r>
          </w:p>
        </w:tc>
      </w:tr>
      <w:tr>
        <w:tblPrEx>
          <w:tblCellMar>
            <w:top w:w="0" w:type="dxa"/>
            <w:left w:w="0" w:type="dxa"/>
            <w:bottom w:w="0" w:type="dxa"/>
            <w:right w:w="0" w:type="dxa"/>
          </w:tblCellMar>
        </w:tblPrEx>
        <w:trPr>
          <w:trHeight w:val="962" w:hRule="atLeast"/>
          <w:jc w:val="center"/>
        </w:trPr>
        <w:tc>
          <w:tcPr>
            <w:tcW w:w="905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t>注明：交货的品种、质量等不符合合同规定的，买方有权选择是否降低标准使用或按等外品进行退货、换货或让步接收处理。</w:t>
            </w:r>
          </w:p>
        </w:tc>
      </w:tr>
    </w:tbl>
    <w:p>
      <w:pPr>
        <w:pStyle w:val="23"/>
        <w:rPr>
          <w:rFonts w:hint="default" w:ascii="宋体" w:hAnsi="宋体" w:eastAsia="宋体" w:cs="宋体"/>
          <w:sz w:val="24"/>
          <w:szCs w:val="24"/>
          <w:lang w:val="en-US" w:eastAsia="zh-CN"/>
        </w:rPr>
      </w:pPr>
    </w:p>
    <w:p>
      <w:pPr>
        <w:spacing w:before="156" w:beforeLines="50" w:after="156" w:afterLines="50" w:line="360" w:lineRule="auto"/>
        <w:ind w:firstLine="2891" w:firstLineChars="900"/>
        <w:jc w:val="both"/>
        <w:outlineLvl w:val="0"/>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pStyle w:val="23"/>
        <w:rPr>
          <w:rFonts w:hint="eastAsia" w:ascii="宋体" w:hAnsi="宋体" w:cs="Times New Roman"/>
          <w:b/>
          <w:kern w:val="10"/>
          <w:sz w:val="32"/>
          <w:szCs w:val="32"/>
          <w:lang w:val="en-US" w:eastAsia="zh-CN"/>
        </w:rPr>
      </w:pPr>
    </w:p>
    <w:p>
      <w:pPr>
        <w:rPr>
          <w:rFonts w:hint="eastAsia" w:ascii="宋体" w:hAnsi="宋体" w:cs="Times New Roman"/>
          <w:b/>
          <w:kern w:val="1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pPr>
    </w:p>
    <w:tbl>
      <w:tblPr>
        <w:tblStyle w:val="11"/>
        <w:tblpPr w:leftFromText="180" w:rightFromText="180" w:vertAnchor="text" w:horzAnchor="page" w:tblpXSpec="center" w:tblpY="309"/>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647"/>
        <w:gridCol w:w="1057"/>
        <w:gridCol w:w="1772"/>
        <w:gridCol w:w="841"/>
        <w:gridCol w:w="1168"/>
        <w:gridCol w:w="954"/>
        <w:gridCol w:w="1057"/>
        <w:gridCol w:w="607"/>
        <w:gridCol w:w="885"/>
        <w:gridCol w:w="746"/>
        <w:gridCol w:w="836"/>
        <w:gridCol w:w="607"/>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5000" w:type="pct"/>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附件2：                        </w:t>
            </w:r>
            <w:bookmarkStart w:id="2" w:name="_GoBack"/>
            <w:bookmarkEnd w:id="2"/>
            <w:r>
              <w:rPr>
                <w:rFonts w:hint="eastAsia" w:ascii="仿宋" w:hAnsi="仿宋" w:eastAsia="仿宋" w:cs="仿宋"/>
                <w:b/>
                <w:bCs/>
                <w:i w:val="0"/>
                <w:iCs w:val="0"/>
                <w:color w:val="000000"/>
                <w:kern w:val="0"/>
                <w:sz w:val="36"/>
                <w:szCs w:val="36"/>
                <w:u w:val="none"/>
                <w:lang w:val="en-US" w:eastAsia="zh-CN" w:bidi="ar"/>
              </w:rPr>
              <w:t>询价函</w:t>
            </w:r>
          </w:p>
          <w:p>
            <w:pPr>
              <w:keepNext w:val="0"/>
              <w:keepLines w:val="0"/>
              <w:widowControl/>
              <w:suppressLineNumbers w:val="0"/>
              <w:ind w:firstLine="1084" w:firstLineChars="300"/>
              <w:jc w:val="both"/>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广西百矿新材料技术有限公司2025年棕刚玉采购项目报价函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306"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251"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689"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327"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453"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369"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236"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p>
        </w:tc>
        <w:tc>
          <w:tcPr>
            <w:tcW w:w="1543" w:type="pct"/>
            <w:gridSpan w:val="5"/>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询价单号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收件单位</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Style w:val="37"/>
                <w:rFonts w:hint="eastAsia" w:ascii="仿宋" w:hAnsi="仿宋" w:eastAsia="仿宋" w:cs="仿宋"/>
                <w:kern w:val="0"/>
                <w:lang w:val="en-US" w:eastAsia="zh-CN" w:bidi="ar"/>
              </w:rPr>
              <w:t>广西百矿新材料技术有限公司</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发件单位</w:t>
            </w:r>
          </w:p>
        </w:tc>
        <w:tc>
          <w:tcPr>
            <w:tcW w:w="219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采购员</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王精令 18777645818</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联系人</w:t>
            </w:r>
          </w:p>
        </w:tc>
        <w:tc>
          <w:tcPr>
            <w:tcW w:w="219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报价邮箱</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FF"/>
                <w:sz w:val="22"/>
                <w:szCs w:val="22"/>
                <w:u w:val="single"/>
              </w:rPr>
            </w:pPr>
            <w:r>
              <w:rPr>
                <w:rFonts w:hint="eastAsia" w:ascii="仿宋" w:hAnsi="仿宋" w:eastAsia="仿宋" w:cs="仿宋"/>
                <w:i w:val="0"/>
                <w:iCs w:val="0"/>
                <w:kern w:val="0"/>
                <w:sz w:val="22"/>
                <w:szCs w:val="22"/>
                <w:u w:val="single"/>
                <w:lang w:val="en-US" w:eastAsia="zh-CN" w:bidi="ar"/>
              </w:rPr>
              <w:fldChar w:fldCharType="begin"/>
            </w:r>
            <w:r>
              <w:rPr>
                <w:rFonts w:hint="eastAsia" w:ascii="仿宋" w:hAnsi="仿宋" w:eastAsia="仿宋" w:cs="仿宋"/>
                <w:i w:val="0"/>
                <w:iCs w:val="0"/>
                <w:kern w:val="0"/>
                <w:sz w:val="22"/>
                <w:szCs w:val="22"/>
                <w:u w:val="single"/>
                <w:lang w:val="en-US" w:eastAsia="zh-CN" w:bidi="ar"/>
              </w:rPr>
              <w:instrText xml:space="preserve"> HYPERLINK "mailto:Jingling.Wang@geely.com" </w:instrText>
            </w:r>
            <w:r>
              <w:rPr>
                <w:rFonts w:hint="eastAsia" w:ascii="仿宋" w:hAnsi="仿宋" w:eastAsia="仿宋" w:cs="仿宋"/>
                <w:i w:val="0"/>
                <w:iCs w:val="0"/>
                <w:kern w:val="0"/>
                <w:sz w:val="22"/>
                <w:szCs w:val="22"/>
                <w:u w:val="single"/>
                <w:lang w:val="en-US" w:eastAsia="zh-CN" w:bidi="ar"/>
              </w:rPr>
              <w:fldChar w:fldCharType="separate"/>
            </w:r>
            <w:r>
              <w:rPr>
                <w:rStyle w:val="19"/>
                <w:rFonts w:hint="eastAsia" w:ascii="仿宋" w:hAnsi="仿宋" w:eastAsia="仿宋" w:cs="仿宋"/>
                <w:i w:val="0"/>
                <w:iCs w:val="0"/>
                <w:sz w:val="22"/>
                <w:szCs w:val="22"/>
                <w:u w:val="single"/>
              </w:rPr>
              <w:t>Jingling.Wang@geely.com</w:t>
            </w:r>
            <w:r>
              <w:rPr>
                <w:rFonts w:hint="eastAsia" w:ascii="仿宋" w:hAnsi="仿宋" w:eastAsia="仿宋" w:cs="仿宋"/>
                <w:i w:val="0"/>
                <w:iCs w:val="0"/>
                <w:kern w:val="0"/>
                <w:sz w:val="22"/>
                <w:szCs w:val="22"/>
                <w:u w:val="single"/>
                <w:lang w:val="en-US" w:eastAsia="zh-CN" w:bidi="ar"/>
              </w:rPr>
              <w:fldChar w:fldCharType="end"/>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邮箱</w:t>
            </w:r>
          </w:p>
        </w:tc>
        <w:tc>
          <w:tcPr>
            <w:tcW w:w="219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收货人</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李炳佩17877188717</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发件人</w:t>
            </w:r>
          </w:p>
        </w:tc>
        <w:tc>
          <w:tcPr>
            <w:tcW w:w="219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地址</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广西百色市田阳区新山工业园；广西百矿新材料技术有限公司厂区</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地址</w:t>
            </w:r>
          </w:p>
        </w:tc>
        <w:tc>
          <w:tcPr>
            <w:tcW w:w="219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广西百矿新材料技术有限公司物资采购报价函（单位：元）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序号</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物料编号</w:t>
            </w: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物料名称</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规格型号</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材质</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计量单位</w:t>
            </w:r>
          </w:p>
        </w:tc>
        <w:tc>
          <w:tcPr>
            <w:tcW w:w="36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需求数量</w:t>
            </w:r>
            <w:r>
              <w:rPr>
                <w:rFonts w:hint="eastAsia" w:ascii="仿宋" w:hAnsi="仿宋" w:eastAsia="仿宋" w:cs="仿宋"/>
                <w:b/>
                <w:bCs/>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（预估量）</w:t>
            </w: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加工费（包含运输等费用）</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税率</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交货期</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质保期</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厂家或品牌及材料</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备注</w:t>
            </w:r>
          </w:p>
        </w:tc>
        <w:tc>
          <w:tcPr>
            <w:tcW w:w="34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Style w:val="37"/>
                <w:rFonts w:hint="eastAsia" w:ascii="仿宋" w:hAnsi="仿宋" w:eastAsia="仿宋" w:cs="仿宋"/>
                <w:kern w:val="0"/>
                <w:lang w:val="en-US" w:eastAsia="zh-CN" w:bidi="ar"/>
              </w:rPr>
              <w:t>需求单位</w:t>
            </w:r>
            <w:r>
              <w:rPr>
                <w:rFonts w:hint="eastAsia" w:ascii="仿宋" w:hAnsi="仿宋" w:eastAsia="仿宋" w:cs="仿宋"/>
                <w:b/>
                <w:bCs/>
                <w:i w:val="0"/>
                <w:iCs w:val="0"/>
                <w:color w:val="000000"/>
                <w:kern w:val="1"/>
                <w:sz w:val="16"/>
                <w:szCs w:val="16"/>
                <w:u w:val="none"/>
                <w:lang w:val="en-US" w:eastAsia="zh-CN" w:bidi="ar"/>
              </w:rPr>
              <w:t>/</w:t>
            </w:r>
            <w:r>
              <w:rPr>
                <w:rStyle w:val="37"/>
                <w:rFonts w:hint="eastAsia" w:ascii="仿宋" w:hAnsi="仿宋" w:eastAsia="仿宋" w:cs="仿宋"/>
                <w:kern w:val="0"/>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0001</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棕刚玉</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30目-46目</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（详见质量技术标准）</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6"/>
                <w:szCs w:val="16"/>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16"/>
                <w:szCs w:val="16"/>
                <w:u w:val="none"/>
              </w:rPr>
            </w:pPr>
            <w:r>
              <w:rPr>
                <w:rFonts w:hint="eastAsia" w:ascii="仿宋" w:hAnsi="仿宋" w:eastAsia="仿宋" w:cs="仿宋"/>
                <w:b/>
                <w:bCs/>
                <w:i w:val="0"/>
                <w:iCs w:val="0"/>
                <w:color w:val="FF0000"/>
                <w:kern w:val="0"/>
                <w:sz w:val="16"/>
                <w:szCs w:val="16"/>
                <w:u w:val="none"/>
                <w:lang w:val="en-US" w:eastAsia="zh-CN" w:bidi="ar"/>
              </w:rPr>
              <w:t>必填</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16"/>
                <w:szCs w:val="16"/>
                <w:u w:val="none"/>
              </w:rPr>
            </w:pPr>
            <w:r>
              <w:rPr>
                <w:rFonts w:hint="eastAsia" w:ascii="仿宋" w:hAnsi="仿宋" w:eastAsia="仿宋" w:cs="仿宋"/>
                <w:b/>
                <w:bCs/>
                <w:i w:val="0"/>
                <w:iCs w:val="0"/>
                <w:color w:val="FF0000"/>
                <w:kern w:val="0"/>
                <w:sz w:val="16"/>
                <w:szCs w:val="16"/>
                <w:u w:val="none"/>
                <w:lang w:val="en-US" w:eastAsia="zh-CN" w:bidi="ar"/>
              </w:rPr>
              <w:t>必填</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通知发货15日内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16"/>
                <w:szCs w:val="16"/>
                <w:u w:val="none"/>
              </w:rPr>
            </w:pPr>
            <w:r>
              <w:rPr>
                <w:rFonts w:hint="eastAsia" w:ascii="仿宋" w:hAnsi="仿宋" w:eastAsia="仿宋" w:cs="仿宋"/>
                <w:b/>
                <w:bCs/>
                <w:i w:val="0"/>
                <w:iCs w:val="0"/>
                <w:color w:val="FF0000"/>
                <w:kern w:val="0"/>
                <w:sz w:val="16"/>
                <w:szCs w:val="16"/>
                <w:u w:val="none"/>
                <w:lang w:val="en-US" w:eastAsia="zh-CN" w:bidi="ar"/>
              </w:rPr>
              <w:t>必填</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16"/>
                <w:szCs w:val="16"/>
                <w:u w:val="none"/>
              </w:rPr>
            </w:pPr>
            <w:r>
              <w:rPr>
                <w:rFonts w:hint="eastAsia" w:ascii="仿宋" w:hAnsi="仿宋" w:eastAsia="仿宋" w:cs="仿宋"/>
                <w:b/>
                <w:bCs/>
                <w:i w:val="0"/>
                <w:iCs w:val="0"/>
                <w:color w:val="FF0000"/>
                <w:kern w:val="0"/>
                <w:sz w:val="16"/>
                <w:szCs w:val="16"/>
                <w:u w:val="none"/>
                <w:lang w:val="en-US" w:eastAsia="zh-CN" w:bidi="ar"/>
              </w:rPr>
              <w:t>必填</w:t>
            </w:r>
          </w:p>
        </w:tc>
        <w:tc>
          <w:tcPr>
            <w:tcW w:w="236"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16"/>
                <w:szCs w:val="16"/>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铸造车间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80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ˎ̥" w:hAnsi="ˎ̥" w:eastAsia="ˎ̥" w:cs="ˎ̥"/>
                <w:i w:val="0"/>
                <w:iCs w:val="0"/>
                <w:color w:val="000000"/>
                <w:sz w:val="22"/>
                <w:szCs w:val="22"/>
                <w:u w:val="none"/>
              </w:rPr>
            </w:pPr>
          </w:p>
        </w:tc>
        <w:tc>
          <w:tcPr>
            <w:tcW w:w="1779" w:type="pct"/>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ˎ̥" w:hAnsi="ˎ̥" w:eastAsia="ˎ̥" w:cs="ˎ̥"/>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Style w:val="39"/>
                <w:kern w:val="0"/>
                <w:lang w:val="en-US" w:eastAsia="zh-CN" w:bidi="ar"/>
              </w:rPr>
            </w:pPr>
            <w:r>
              <w:rPr>
                <w:rFonts w:hint="eastAsia" w:ascii="仿宋" w:hAnsi="仿宋" w:eastAsia="仿宋" w:cs="仿宋"/>
                <w:i w:val="0"/>
                <w:iCs w:val="0"/>
                <w:color w:val="000000"/>
                <w:kern w:val="0"/>
                <w:sz w:val="18"/>
                <w:szCs w:val="18"/>
                <w:u w:val="none"/>
                <w:lang w:val="en-US" w:eastAsia="zh-CN" w:bidi="ar"/>
              </w:rPr>
              <w:br w:type="textWrapping"/>
            </w:r>
            <w:r>
              <w:rPr>
                <w:rStyle w:val="38"/>
                <w:rFonts w:hint="eastAsia" w:ascii="仿宋" w:hAnsi="仿宋" w:eastAsia="仿宋" w:cs="仿宋"/>
                <w:kern w:val="0"/>
                <w:lang w:val="en-US" w:eastAsia="zh-CN" w:bidi="ar"/>
              </w:rPr>
              <w:t>注：（以上表格计划用量为年度预估数量，不作为招标方招标数量的任何承诺，后期具体采购量以实际采购订单为准）。</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1</w:t>
            </w:r>
            <w:r>
              <w:rPr>
                <w:rStyle w:val="38"/>
                <w:rFonts w:hint="eastAsia" w:ascii="仿宋" w:hAnsi="仿宋" w:eastAsia="仿宋" w:cs="仿宋"/>
                <w:kern w:val="0"/>
                <w:lang w:val="en-US" w:eastAsia="zh-CN" w:bidi="ar"/>
              </w:rPr>
              <w:t>、注：请贵公司收到函后于</w:t>
            </w:r>
            <w:r>
              <w:rPr>
                <w:rStyle w:val="39"/>
                <w:rFonts w:hint="eastAsia" w:ascii="仿宋" w:hAnsi="仿宋" w:eastAsia="仿宋" w:cs="仿宋"/>
                <w:kern w:val="0"/>
                <w:lang w:val="en-US" w:eastAsia="zh-CN" w:bidi="ar"/>
              </w:rPr>
              <w:t>2024</w:t>
            </w:r>
            <w:r>
              <w:rPr>
                <w:rStyle w:val="38"/>
                <w:rFonts w:hint="eastAsia" w:ascii="仿宋" w:hAnsi="仿宋" w:eastAsia="仿宋" w:cs="仿宋"/>
                <w:kern w:val="0"/>
                <w:lang w:val="en-US" w:eastAsia="zh-CN" w:bidi="ar"/>
              </w:rPr>
              <w:t>年</w:t>
            </w:r>
            <w:r>
              <w:rPr>
                <w:rStyle w:val="39"/>
                <w:rFonts w:hint="eastAsia" w:ascii="仿宋" w:hAnsi="仿宋" w:eastAsia="仿宋" w:cs="仿宋"/>
                <w:kern w:val="0"/>
                <w:lang w:val="en-US" w:eastAsia="zh-CN" w:bidi="ar"/>
              </w:rPr>
              <w:t>X</w:t>
            </w:r>
            <w:r>
              <w:rPr>
                <w:rStyle w:val="38"/>
                <w:rFonts w:hint="eastAsia" w:ascii="仿宋" w:hAnsi="仿宋" w:eastAsia="仿宋" w:cs="仿宋"/>
                <w:kern w:val="0"/>
                <w:lang w:val="en-US" w:eastAsia="zh-CN" w:bidi="ar"/>
              </w:rPr>
              <w:t>月</w:t>
            </w:r>
            <w:r>
              <w:rPr>
                <w:rStyle w:val="39"/>
                <w:rFonts w:hint="eastAsia" w:ascii="仿宋" w:hAnsi="仿宋" w:eastAsia="仿宋" w:cs="仿宋"/>
                <w:kern w:val="0"/>
                <w:lang w:val="en-US" w:eastAsia="zh-CN" w:bidi="ar"/>
              </w:rPr>
              <w:t>X</w:t>
            </w:r>
            <w:r>
              <w:rPr>
                <w:rStyle w:val="38"/>
                <w:rFonts w:hint="eastAsia" w:ascii="仿宋" w:hAnsi="仿宋" w:eastAsia="仿宋" w:cs="仿宋"/>
                <w:kern w:val="0"/>
                <w:lang w:val="en-US" w:eastAsia="zh-CN" w:bidi="ar"/>
              </w:rPr>
              <w:t>日</w:t>
            </w:r>
            <w:r>
              <w:rPr>
                <w:rStyle w:val="39"/>
                <w:rFonts w:hint="eastAsia" w:ascii="仿宋" w:hAnsi="仿宋" w:eastAsia="仿宋" w:cs="仿宋"/>
                <w:kern w:val="0"/>
                <w:lang w:val="en-US" w:eastAsia="zh-CN" w:bidi="ar"/>
              </w:rPr>
              <w:t>X</w:t>
            </w:r>
            <w:r>
              <w:rPr>
                <w:rStyle w:val="38"/>
                <w:rFonts w:hint="eastAsia" w:ascii="仿宋" w:hAnsi="仿宋" w:eastAsia="仿宋" w:cs="仿宋"/>
                <w:kern w:val="0"/>
                <w:lang w:val="en-US" w:eastAsia="zh-CN" w:bidi="ar"/>
              </w:rPr>
              <w:t>时</w:t>
            </w:r>
            <w:r>
              <w:rPr>
                <w:rStyle w:val="39"/>
                <w:rFonts w:hint="eastAsia" w:ascii="仿宋" w:hAnsi="仿宋" w:eastAsia="仿宋" w:cs="仿宋"/>
                <w:kern w:val="0"/>
                <w:lang w:val="en-US" w:eastAsia="zh-CN" w:bidi="ar"/>
              </w:rPr>
              <w:t>00</w:t>
            </w:r>
            <w:r>
              <w:rPr>
                <w:rStyle w:val="38"/>
                <w:rFonts w:hint="eastAsia" w:ascii="仿宋" w:hAnsi="仿宋" w:eastAsia="仿宋" w:cs="仿宋"/>
                <w:kern w:val="0"/>
                <w:lang w:val="en-US" w:eastAsia="zh-CN" w:bidi="ar"/>
              </w:rPr>
              <w:t>分前将报价文件盖章扫描后</w:t>
            </w:r>
            <w:r>
              <w:rPr>
                <w:rStyle w:val="40"/>
                <w:rFonts w:hint="eastAsia" w:ascii="仿宋" w:hAnsi="仿宋" w:eastAsia="仿宋" w:cs="仿宋"/>
                <w:kern w:val="0"/>
                <w:lang w:val="en-US" w:eastAsia="zh-CN" w:bidi="ar"/>
              </w:rPr>
              <w:t>以加密函件、</w:t>
            </w:r>
            <w:r>
              <w:rPr>
                <w:rStyle w:val="41"/>
                <w:rFonts w:hint="eastAsia" w:ascii="仿宋" w:hAnsi="仿宋" w:eastAsia="仿宋" w:cs="仿宋"/>
                <w:kern w:val="0"/>
                <w:lang w:val="en-US" w:eastAsia="zh-CN" w:bidi="ar"/>
              </w:rPr>
              <w:t>PDF</w:t>
            </w:r>
            <w:r>
              <w:rPr>
                <w:rStyle w:val="40"/>
                <w:rFonts w:hint="eastAsia" w:ascii="仿宋" w:hAnsi="仿宋" w:eastAsia="仿宋" w:cs="仿宋"/>
                <w:kern w:val="0"/>
                <w:lang w:val="en-US" w:eastAsia="zh-CN" w:bidi="ar"/>
              </w:rPr>
              <w:t>格式方式、报价文件</w:t>
            </w:r>
            <w:r>
              <w:rPr>
                <w:rStyle w:val="41"/>
                <w:rFonts w:hint="eastAsia" w:ascii="仿宋" w:hAnsi="仿宋" w:eastAsia="仿宋" w:cs="仿宋"/>
                <w:kern w:val="0"/>
                <w:lang w:val="en-US" w:eastAsia="zh-CN" w:bidi="ar"/>
              </w:rPr>
              <w:t>Excel</w:t>
            </w:r>
            <w:r>
              <w:rPr>
                <w:rStyle w:val="40"/>
                <w:rFonts w:hint="eastAsia" w:ascii="仿宋" w:hAnsi="仿宋" w:eastAsia="仿宋" w:cs="仿宋"/>
                <w:kern w:val="0"/>
                <w:lang w:val="en-US" w:eastAsia="zh-CN" w:bidi="ar"/>
              </w:rPr>
              <w:t>电子表上传至我司邮箱</w:t>
            </w:r>
            <w:r>
              <w:rPr>
                <w:rStyle w:val="41"/>
                <w:rFonts w:hint="eastAsia" w:ascii="仿宋" w:hAnsi="仿宋" w:eastAsia="仿宋" w:cs="仿宋"/>
                <w:kern w:val="0"/>
                <w:lang w:val="en-US" w:eastAsia="zh-CN" w:bidi="ar"/>
              </w:rPr>
              <w:t>Jingling.Wang@geely.com</w:t>
            </w:r>
            <w:r>
              <w:rPr>
                <w:rStyle w:val="40"/>
                <w:rFonts w:hint="eastAsia" w:ascii="仿宋" w:hAnsi="仿宋" w:eastAsia="仿宋" w:cs="仿宋"/>
                <w:kern w:val="0"/>
                <w:lang w:val="en-US" w:eastAsia="zh-CN" w:bidi="ar"/>
              </w:rPr>
              <w:t>。邮件标题命名为</w:t>
            </w:r>
            <w:r>
              <w:rPr>
                <w:rStyle w:val="41"/>
                <w:rFonts w:hint="eastAsia" w:ascii="仿宋" w:hAnsi="仿宋" w:eastAsia="仿宋" w:cs="仿宋"/>
                <w:kern w:val="0"/>
                <w:lang w:val="en-US" w:eastAsia="zh-CN" w:bidi="ar"/>
              </w:rPr>
              <w:t>XX</w:t>
            </w:r>
            <w:r>
              <w:rPr>
                <w:rStyle w:val="40"/>
                <w:rFonts w:hint="eastAsia" w:ascii="仿宋" w:hAnsi="仿宋" w:eastAsia="仿宋" w:cs="仿宋"/>
                <w:kern w:val="0"/>
                <w:lang w:val="en-US" w:eastAsia="zh-CN" w:bidi="ar"/>
              </w:rPr>
              <w:t>公司</w:t>
            </w:r>
            <w:r>
              <w:rPr>
                <w:rStyle w:val="41"/>
                <w:rFonts w:hint="eastAsia" w:ascii="仿宋" w:hAnsi="仿宋" w:eastAsia="仿宋" w:cs="仿宋"/>
                <w:kern w:val="0"/>
                <w:lang w:val="en-US" w:eastAsia="zh-CN" w:bidi="ar"/>
              </w:rPr>
              <w:t>+XX</w:t>
            </w:r>
            <w:r>
              <w:rPr>
                <w:rStyle w:val="40"/>
                <w:rFonts w:hint="eastAsia" w:ascii="仿宋" w:hAnsi="仿宋" w:eastAsia="仿宋" w:cs="仿宋"/>
                <w:kern w:val="0"/>
                <w:lang w:val="en-US" w:eastAsia="zh-CN" w:bidi="ar"/>
              </w:rPr>
              <w:t>项目报价单</w:t>
            </w:r>
            <w:r>
              <w:rPr>
                <w:rStyle w:val="38"/>
                <w:rFonts w:hint="eastAsia" w:ascii="仿宋" w:hAnsi="仿宋" w:eastAsia="仿宋" w:cs="仿宋"/>
                <w:kern w:val="0"/>
                <w:lang w:val="en-US" w:eastAsia="zh-CN" w:bidi="ar"/>
              </w:rPr>
              <w:t>。我公司后期会进行两轮或多轮竞价，必要时会进行分项采购，请各公司报价时注意。</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2</w:t>
            </w:r>
            <w:r>
              <w:rPr>
                <w:rStyle w:val="38"/>
                <w:rFonts w:hint="eastAsia" w:ascii="仿宋" w:hAnsi="仿宋" w:eastAsia="仿宋" w:cs="仿宋"/>
                <w:kern w:val="0"/>
                <w:lang w:val="en-US" w:eastAsia="zh-CN" w:bidi="ar"/>
              </w:rPr>
              <w:t>、以上报价含</w:t>
            </w:r>
            <w:r>
              <w:rPr>
                <w:rStyle w:val="39"/>
                <w:rFonts w:hint="eastAsia" w:ascii="仿宋" w:hAnsi="仿宋" w:eastAsia="仿宋" w:cs="仿宋"/>
                <w:kern w:val="0"/>
                <w:lang w:val="en-US" w:eastAsia="zh-CN" w:bidi="ar"/>
              </w:rPr>
              <w:t xml:space="preserve"> 13 %</w:t>
            </w:r>
            <w:r>
              <w:rPr>
                <w:rStyle w:val="38"/>
                <w:rFonts w:hint="eastAsia" w:ascii="仿宋" w:hAnsi="仿宋" w:eastAsia="仿宋" w:cs="仿宋"/>
                <w:kern w:val="0"/>
                <w:lang w:val="en-US" w:eastAsia="zh-CN" w:bidi="ar"/>
              </w:rPr>
              <w:t>增值税专用发票、运保费、装卸费、保险等；</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3</w:t>
            </w:r>
            <w:r>
              <w:rPr>
                <w:rStyle w:val="38"/>
                <w:rFonts w:hint="eastAsia" w:ascii="仿宋" w:hAnsi="仿宋" w:eastAsia="仿宋" w:cs="仿宋"/>
                <w:kern w:val="0"/>
                <w:lang w:val="en-US" w:eastAsia="zh-CN" w:bidi="ar"/>
              </w:rPr>
              <w:t>、交货期：</w:t>
            </w:r>
            <w:r>
              <w:rPr>
                <w:rStyle w:val="39"/>
                <w:rFonts w:hint="eastAsia" w:ascii="仿宋" w:hAnsi="仿宋" w:eastAsia="仿宋" w:cs="仿宋"/>
                <w:kern w:val="0"/>
                <w:lang w:val="en-US" w:eastAsia="zh-CN" w:bidi="ar"/>
              </w:rPr>
              <w:t>15</w:t>
            </w:r>
            <w:r>
              <w:rPr>
                <w:rStyle w:val="38"/>
                <w:rFonts w:hint="eastAsia" w:ascii="仿宋" w:hAnsi="仿宋" w:eastAsia="仿宋" w:cs="仿宋"/>
                <w:kern w:val="0"/>
                <w:lang w:val="en-US" w:eastAsia="zh-CN" w:bidi="ar"/>
              </w:rPr>
              <w:t>天内，交货时间每迟交</w:t>
            </w:r>
            <w:r>
              <w:rPr>
                <w:rStyle w:val="39"/>
                <w:rFonts w:hint="eastAsia" w:ascii="仿宋" w:hAnsi="仿宋" w:eastAsia="仿宋" w:cs="仿宋"/>
                <w:kern w:val="0"/>
                <w:lang w:val="en-US" w:eastAsia="zh-CN" w:bidi="ar"/>
              </w:rPr>
              <w:t>1</w:t>
            </w:r>
            <w:r>
              <w:rPr>
                <w:rStyle w:val="38"/>
                <w:rFonts w:hint="eastAsia" w:ascii="仿宋" w:hAnsi="仿宋" w:eastAsia="仿宋" w:cs="仿宋"/>
                <w:kern w:val="0"/>
                <w:lang w:val="en-US" w:eastAsia="zh-CN" w:bidi="ar"/>
              </w:rPr>
              <w:t>天，扣迟交物资金额的</w:t>
            </w:r>
            <w:r>
              <w:rPr>
                <w:rStyle w:val="39"/>
                <w:rFonts w:hint="eastAsia" w:ascii="仿宋" w:hAnsi="仿宋" w:eastAsia="仿宋" w:cs="仿宋"/>
                <w:kern w:val="0"/>
                <w:lang w:val="en-US" w:eastAsia="zh-CN" w:bidi="ar"/>
              </w:rPr>
              <w:t>0.5%</w:t>
            </w:r>
            <w:r>
              <w:rPr>
                <w:rStyle w:val="38"/>
                <w:rFonts w:hint="eastAsia" w:ascii="仿宋" w:hAnsi="仿宋" w:eastAsia="仿宋" w:cs="仿宋"/>
                <w:kern w:val="0"/>
                <w:lang w:val="en-US" w:eastAsia="zh-CN" w:bidi="ar"/>
              </w:rPr>
              <w:t>作为违约金；</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4</w:t>
            </w:r>
            <w:r>
              <w:rPr>
                <w:rStyle w:val="38"/>
                <w:rFonts w:hint="eastAsia" w:ascii="仿宋" w:hAnsi="仿宋" w:eastAsia="仿宋" w:cs="仿宋"/>
                <w:kern w:val="0"/>
                <w:lang w:val="en-US" w:eastAsia="zh-CN" w:bidi="ar"/>
              </w:rPr>
              <w:t>、质量验收标准：满足广西百矿新材料技术有限公司现场要求及国家法律法规规定的相关标准规定要求。如验收不合格，供方应无条件退、换货。因卖方未能按期交付的，应按总价的</w:t>
            </w:r>
            <w:r>
              <w:rPr>
                <w:rStyle w:val="39"/>
                <w:rFonts w:hint="eastAsia" w:ascii="仿宋" w:hAnsi="仿宋" w:eastAsia="仿宋" w:cs="仿宋"/>
                <w:kern w:val="0"/>
                <w:lang w:val="en-US" w:eastAsia="zh-CN" w:bidi="ar"/>
              </w:rPr>
              <w:t xml:space="preserve">1% </w:t>
            </w:r>
            <w:r>
              <w:rPr>
                <w:rStyle w:val="38"/>
                <w:rFonts w:hint="eastAsia" w:ascii="仿宋" w:hAnsi="仿宋" w:eastAsia="仿宋" w:cs="仿宋"/>
                <w:kern w:val="0"/>
                <w:lang w:val="en-US" w:eastAsia="zh-CN" w:bidi="ar"/>
              </w:rPr>
              <w:t>每天向买方支付违约金；超过</w:t>
            </w:r>
            <w:r>
              <w:rPr>
                <w:rStyle w:val="39"/>
                <w:rFonts w:hint="eastAsia" w:ascii="仿宋" w:hAnsi="仿宋" w:eastAsia="仿宋" w:cs="仿宋"/>
                <w:kern w:val="0"/>
                <w:lang w:val="en-US" w:eastAsia="zh-CN" w:bidi="ar"/>
              </w:rPr>
              <w:t>15</w:t>
            </w:r>
            <w:r>
              <w:rPr>
                <w:rStyle w:val="38"/>
                <w:rFonts w:hint="eastAsia" w:ascii="仿宋" w:hAnsi="仿宋" w:eastAsia="仿宋" w:cs="仿宋"/>
                <w:kern w:val="0"/>
                <w:lang w:val="en-US" w:eastAsia="zh-CN" w:bidi="ar"/>
              </w:rPr>
              <w:t>天仍未交付的，买方有权宣布本订单废止并要求卖方按总价的</w:t>
            </w:r>
            <w:r>
              <w:rPr>
                <w:rStyle w:val="39"/>
                <w:rFonts w:hint="eastAsia" w:ascii="仿宋" w:hAnsi="仿宋" w:eastAsia="仿宋" w:cs="仿宋"/>
                <w:kern w:val="0"/>
                <w:lang w:val="en-US" w:eastAsia="zh-CN" w:bidi="ar"/>
              </w:rPr>
              <w:t>30%</w:t>
            </w:r>
            <w:r>
              <w:rPr>
                <w:rStyle w:val="38"/>
                <w:rFonts w:hint="eastAsia" w:ascii="仿宋" w:hAnsi="仿宋" w:eastAsia="仿宋" w:cs="仿宋"/>
                <w:kern w:val="0"/>
                <w:lang w:val="en-US" w:eastAsia="zh-CN" w:bidi="ar"/>
              </w:rPr>
              <w:t>支付违约金；</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5</w:t>
            </w:r>
            <w:r>
              <w:rPr>
                <w:rStyle w:val="38"/>
                <w:rFonts w:hint="eastAsia" w:ascii="仿宋" w:hAnsi="仿宋" w:eastAsia="仿宋" w:cs="仿宋"/>
                <w:kern w:val="0"/>
                <w:lang w:val="en-US" w:eastAsia="zh-CN" w:bidi="ar"/>
              </w:rPr>
              <w:t>、报价有效期为</w:t>
            </w:r>
            <w:r>
              <w:rPr>
                <w:rStyle w:val="39"/>
                <w:rFonts w:hint="eastAsia" w:ascii="仿宋" w:hAnsi="仿宋" w:eastAsia="仿宋" w:cs="仿宋"/>
                <w:kern w:val="0"/>
                <w:lang w:val="en-US" w:eastAsia="zh-CN" w:bidi="ar"/>
              </w:rPr>
              <w:t>90</w:t>
            </w:r>
            <w:r>
              <w:rPr>
                <w:rStyle w:val="38"/>
                <w:rFonts w:hint="eastAsia" w:ascii="仿宋" w:hAnsi="仿宋" w:eastAsia="仿宋" w:cs="仿宋"/>
                <w:kern w:val="0"/>
                <w:lang w:val="en-US" w:eastAsia="zh-CN" w:bidi="ar"/>
              </w:rPr>
              <w:t>天；</w:t>
            </w:r>
            <w:r>
              <w:rPr>
                <w:rStyle w:val="39"/>
                <w:rFonts w:hint="eastAsia" w:ascii="仿宋" w:hAnsi="仿宋" w:eastAsia="仿宋" w:cs="仿宋"/>
                <w:kern w:val="0"/>
                <w:lang w:val="en-US" w:eastAsia="zh-CN" w:bidi="ar"/>
              </w:rPr>
              <w:br w:type="textWrapping"/>
            </w:r>
            <w:r>
              <w:rPr>
                <w:rStyle w:val="39"/>
                <w:rFonts w:hint="eastAsia" w:ascii="仿宋" w:hAnsi="仿宋" w:eastAsia="仿宋" w:cs="仿宋"/>
                <w:kern w:val="0"/>
                <w:lang w:val="en-US" w:eastAsia="zh-CN" w:bidi="ar"/>
              </w:rPr>
              <w:t>6</w:t>
            </w:r>
            <w:r>
              <w:rPr>
                <w:rStyle w:val="38"/>
                <w:rFonts w:hint="eastAsia" w:ascii="仿宋" w:hAnsi="仿宋" w:eastAsia="仿宋" w:cs="仿宋"/>
                <w:kern w:val="0"/>
                <w:lang w:val="en-US" w:eastAsia="zh-CN" w:bidi="ar"/>
              </w:rPr>
              <w:t>、付款方式：</w:t>
            </w:r>
            <w:r>
              <w:rPr>
                <w:rStyle w:val="40"/>
                <w:rFonts w:hint="eastAsia" w:ascii="仿宋" w:hAnsi="仿宋" w:eastAsia="仿宋" w:cs="仿宋"/>
                <w:kern w:val="0"/>
                <w:lang w:val="en-US" w:eastAsia="zh-CN" w:bidi="ar"/>
              </w:rPr>
              <w:t>产品验收合格入库后，按批次结算确定金额后乙方应先开具税率为13%的增值税专用发票，甲方收到发票</w:t>
            </w:r>
            <w:r>
              <w:rPr>
                <w:rStyle w:val="41"/>
                <w:rFonts w:hint="eastAsia" w:ascii="仿宋" w:hAnsi="仿宋" w:eastAsia="仿宋" w:cs="仿宋"/>
                <w:kern w:val="0"/>
                <w:lang w:val="en-US" w:eastAsia="zh-CN" w:bidi="ar"/>
              </w:rPr>
              <w:t>35</w:t>
            </w:r>
            <w:r>
              <w:rPr>
                <w:rStyle w:val="40"/>
                <w:rFonts w:hint="eastAsia" w:ascii="仿宋" w:hAnsi="仿宋" w:eastAsia="仿宋" w:cs="仿宋"/>
                <w:kern w:val="0"/>
                <w:lang w:val="en-US" w:eastAsia="zh-CN" w:bidi="ar"/>
              </w:rPr>
              <w:t>日内付款。</w:t>
            </w:r>
            <w:r>
              <w:rPr>
                <w:rStyle w:val="39"/>
                <w:kern w:val="0"/>
                <w:lang w:val="en-US" w:eastAsia="zh-CN" w:bidi="ar"/>
              </w:rPr>
              <w:br w:type="textWrapping"/>
            </w:r>
            <w:r>
              <w:rPr>
                <w:rStyle w:val="39"/>
                <w:kern w:val="0"/>
                <w:lang w:val="en-US" w:eastAsia="zh-CN" w:bidi="ar"/>
              </w:rPr>
              <w:t xml:space="preserve">                                                                       </w:t>
            </w:r>
          </w:p>
          <w:p>
            <w:pPr>
              <w:keepNext w:val="0"/>
              <w:keepLines w:val="0"/>
              <w:widowControl/>
              <w:suppressLineNumbers w:val="0"/>
              <w:jc w:val="center"/>
              <w:textAlignment w:val="top"/>
              <w:rPr>
                <w:rStyle w:val="39"/>
                <w:kern w:val="0"/>
                <w:lang w:val="en-US" w:eastAsia="zh-CN" w:bidi="ar"/>
              </w:rPr>
            </w:pPr>
            <w:r>
              <w:rPr>
                <w:rStyle w:val="38"/>
                <w:rFonts w:hint="eastAsia"/>
                <w:kern w:val="0"/>
                <w:lang w:val="en-US" w:eastAsia="zh-CN" w:bidi="ar"/>
              </w:rPr>
              <w:t xml:space="preserve">                                                    </w:t>
            </w:r>
            <w:r>
              <w:rPr>
                <w:rStyle w:val="38"/>
                <w:kern w:val="0"/>
                <w:lang w:val="en-US" w:eastAsia="zh-CN" w:bidi="ar"/>
              </w:rPr>
              <w:t>报价单位</w:t>
            </w:r>
            <w:r>
              <w:rPr>
                <w:rStyle w:val="40"/>
                <w:kern w:val="0"/>
                <w:lang w:val="en-US" w:eastAsia="zh-CN" w:bidi="ar"/>
              </w:rPr>
              <w:t>（盖公章）</w:t>
            </w:r>
            <w:r>
              <w:rPr>
                <w:rStyle w:val="38"/>
                <w:kern w:val="0"/>
                <w:lang w:val="en-US" w:eastAsia="zh-CN" w:bidi="ar"/>
              </w:rPr>
              <w:t>：</w:t>
            </w:r>
          </w:p>
          <w:p>
            <w:pPr>
              <w:keepNext w:val="0"/>
              <w:keepLines w:val="0"/>
              <w:widowControl/>
              <w:suppressLineNumbers w:val="0"/>
              <w:jc w:val="center"/>
              <w:textAlignment w:val="top"/>
              <w:rPr>
                <w:rFonts w:hint="default" w:ascii="ˎ̥" w:hAnsi="ˎ̥" w:eastAsia="ˎ̥" w:cs="ˎ̥"/>
                <w:i w:val="0"/>
                <w:iCs w:val="0"/>
                <w:color w:val="000000"/>
                <w:sz w:val="18"/>
                <w:szCs w:val="18"/>
                <w:u w:val="none"/>
              </w:rPr>
            </w:pPr>
            <w:r>
              <w:rPr>
                <w:rStyle w:val="38"/>
                <w:rFonts w:hint="eastAsia"/>
                <w:kern w:val="0"/>
                <w:lang w:val="en-US" w:eastAsia="zh-CN" w:bidi="ar"/>
              </w:rPr>
              <w:t xml:space="preserve">                                                                                   </w:t>
            </w:r>
            <w:r>
              <w:rPr>
                <w:rStyle w:val="38"/>
                <w:kern w:val="0"/>
                <w:lang w:val="en-US" w:eastAsia="zh-CN" w:bidi="ar"/>
              </w:rPr>
              <w:t>年</w:t>
            </w:r>
            <w:r>
              <w:rPr>
                <w:rStyle w:val="39"/>
                <w:kern w:val="0"/>
                <w:lang w:val="en-US" w:eastAsia="zh-CN" w:bidi="ar"/>
              </w:rPr>
              <w:t xml:space="preserve">  </w:t>
            </w:r>
            <w:r>
              <w:rPr>
                <w:rStyle w:val="39"/>
                <w:rFonts w:hint="eastAsia"/>
                <w:kern w:val="0"/>
                <w:lang w:val="en-US" w:eastAsia="zh-CN" w:bidi="ar"/>
              </w:rPr>
              <w:t xml:space="preserve"> </w:t>
            </w:r>
            <w:r>
              <w:rPr>
                <w:rStyle w:val="38"/>
                <w:kern w:val="0"/>
                <w:lang w:val="en-US" w:eastAsia="zh-CN" w:bidi="ar"/>
              </w:rPr>
              <w:t>月</w:t>
            </w:r>
            <w:r>
              <w:rPr>
                <w:rStyle w:val="39"/>
                <w:kern w:val="0"/>
                <w:lang w:val="en-US" w:eastAsia="zh-CN" w:bidi="ar"/>
              </w:rPr>
              <w:t xml:space="preserve"> </w:t>
            </w:r>
            <w:r>
              <w:rPr>
                <w:rStyle w:val="39"/>
                <w:rFonts w:hint="eastAsia"/>
                <w:kern w:val="0"/>
                <w:lang w:val="en-US" w:eastAsia="zh-CN" w:bidi="ar"/>
              </w:rPr>
              <w:t xml:space="preserve"> </w:t>
            </w:r>
            <w:r>
              <w:rPr>
                <w:rStyle w:val="39"/>
                <w:kern w:val="0"/>
                <w:lang w:val="en-US" w:eastAsia="zh-CN" w:bidi="ar"/>
              </w:rPr>
              <w:t xml:space="preserve"> </w:t>
            </w:r>
            <w:r>
              <w:rPr>
                <w:rStyle w:val="38"/>
                <w:kern w:val="0"/>
                <w:lang w:val="en-US" w:eastAsia="zh-CN" w:bidi="ar"/>
              </w:rPr>
              <w:t>日</w:t>
            </w:r>
          </w:p>
        </w:tc>
      </w:tr>
    </w:tbl>
    <w:p>
      <w:pPr>
        <w:pStyle w:val="23"/>
        <w:rPr>
          <w:rFonts w:hint="default" w:ascii="宋体" w:hAnsi="宋体" w:eastAsia="宋体" w:cs="宋体"/>
          <w:sz w:val="24"/>
          <w:szCs w:val="24"/>
          <w:lang w:val="en-US" w:eastAsia="zh-CN"/>
        </w:rPr>
      </w:pPr>
    </w:p>
    <w:p>
      <w:pPr>
        <w:pStyle w:val="21"/>
        <w:rPr>
          <w:rFonts w:hint="default" w:ascii="黑体" w:hAnsi="宋体" w:eastAsia="黑体" w:cs="黑体"/>
          <w:color w:val="000000"/>
          <w:kern w:val="0"/>
          <w:sz w:val="28"/>
          <w:szCs w:val="28"/>
          <w:lang w:val="en-US" w:eastAsia="zh-CN" w:bidi="ar"/>
        </w:rPr>
      </w:pPr>
    </w:p>
    <w:p>
      <w:pPr>
        <w:pStyle w:val="21"/>
        <w:rPr>
          <w:rFonts w:hint="eastAsia"/>
          <w:lang w:val="en-US" w:eastAsia="zh-CN"/>
        </w:rPr>
      </w:pPr>
    </w:p>
    <w:p>
      <w:pPr>
        <w:pStyle w:val="23"/>
      </w:pPr>
    </w:p>
    <w:p>
      <w:pPr>
        <w:pStyle w:val="23"/>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lang w:val="en-US" w:eastAsia="zh-CN"/>
        </w:rPr>
        <w:sectPr>
          <w:pgSz w:w="16838" w:h="11906" w:orient="landscape"/>
          <w:pgMar w:top="1588" w:right="2098" w:bottom="1588" w:left="2098" w:header="851" w:footer="992" w:gutter="0"/>
          <w:pgNumType w:start="1"/>
          <w:cols w:space="425" w:num="1"/>
          <w:docGrid w:type="lines" w:linePitch="312" w:charSpace="0"/>
        </w:sectPr>
      </w:pPr>
    </w:p>
    <w:p>
      <w:pPr>
        <w:rPr>
          <w:rFonts w:hint="default"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val="en-US" w:eastAsia="zh-CN"/>
        </w:rPr>
        <w:t>附件3：</w:t>
      </w:r>
    </w:p>
    <w:p>
      <w:pPr>
        <w:spacing w:line="360" w:lineRule="auto"/>
        <w:ind w:firstLine="420"/>
        <w:jc w:val="center"/>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w:t>
      </w:r>
      <w:r>
        <w:rPr>
          <w:rFonts w:hint="eastAsia" w:asciiTheme="majorEastAsia" w:hAnsiTheme="majorEastAsia" w:eastAsiaTheme="majorEastAsia" w:cstheme="majorEastAsia"/>
          <w:b/>
          <w:sz w:val="24"/>
          <w:szCs w:val="24"/>
          <w:lang w:val="en-US" w:eastAsia="zh-CN"/>
        </w:rPr>
        <w:t>函</w:t>
      </w:r>
    </w:p>
    <w:p>
      <w:pPr>
        <w:spacing w:line="360" w:lineRule="auto"/>
        <w:rPr>
          <w:rFonts w:hint="eastAsia" w:asciiTheme="majorEastAsia" w:hAnsiTheme="majorEastAsia" w:eastAsiaTheme="majorEastAsia" w:cstheme="majorEastAsia"/>
          <w:b w:val="0"/>
          <w:bCs/>
          <w:sz w:val="21"/>
          <w:szCs w:val="21"/>
          <w:u w:val="single"/>
          <w:lang w:val="en-US" w:eastAsia="zh-CN"/>
        </w:rPr>
      </w:pP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金属硅采购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b w:val="0"/>
          <w:bCs w:val="0"/>
          <w:sz w:val="21"/>
          <w:szCs w:val="21"/>
          <w:u w:val="single"/>
          <w:lang w:val="en-US" w:eastAsia="zh-CN"/>
        </w:rPr>
        <w:t>2025年棕刚玉采购项目邀请书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金属硅</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棕刚玉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Jingling.Wang@geely.com</w:t>
      </w:r>
    </w:p>
    <w:p>
      <w:pPr>
        <w:pStyle w:val="23"/>
        <w:rPr>
          <w:rFonts w:hint="eastAsia" w:asciiTheme="majorEastAsia" w:hAnsiTheme="majorEastAsia" w:eastAsiaTheme="majorEastAsia" w:cstheme="majorEastAsia"/>
          <w:lang w:eastAsia="zh-CN"/>
        </w:rPr>
      </w:pPr>
    </w:p>
    <w:p>
      <w:pPr>
        <w:pStyle w:val="23"/>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jc w:val="right"/>
      </w:pPr>
    </w:p>
    <w:p>
      <w:pPr>
        <w:pStyle w:val="23"/>
        <w:rPr>
          <w:rFonts w:hint="default"/>
          <w:lang w:val="en-US" w:eastAsia="zh-CN"/>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sectPr>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5540D"/>
    <w:multiLevelType w:val="singleLevel"/>
    <w:tmpl w:val="7515540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ZjNhZGQ0Y2JhNDAyODI4N2RhOTAwZmM4ZDBkZjQ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4F30983"/>
    <w:rsid w:val="052F65AB"/>
    <w:rsid w:val="05772429"/>
    <w:rsid w:val="063B27C1"/>
    <w:rsid w:val="06F63781"/>
    <w:rsid w:val="07456121"/>
    <w:rsid w:val="075D39D7"/>
    <w:rsid w:val="08141A77"/>
    <w:rsid w:val="0A420305"/>
    <w:rsid w:val="0B820F78"/>
    <w:rsid w:val="0B8A3BDC"/>
    <w:rsid w:val="0C5D036E"/>
    <w:rsid w:val="0C7C5845"/>
    <w:rsid w:val="0CAD008F"/>
    <w:rsid w:val="0DE54DDD"/>
    <w:rsid w:val="0E002CF5"/>
    <w:rsid w:val="0E6C3CDC"/>
    <w:rsid w:val="0E8F59DE"/>
    <w:rsid w:val="0F83759E"/>
    <w:rsid w:val="10437703"/>
    <w:rsid w:val="113A610C"/>
    <w:rsid w:val="11E9103B"/>
    <w:rsid w:val="12290200"/>
    <w:rsid w:val="12AC23E2"/>
    <w:rsid w:val="136B5FB3"/>
    <w:rsid w:val="13934C8A"/>
    <w:rsid w:val="139376FC"/>
    <w:rsid w:val="139B2695"/>
    <w:rsid w:val="144D187B"/>
    <w:rsid w:val="159B0014"/>
    <w:rsid w:val="17073614"/>
    <w:rsid w:val="173F4008"/>
    <w:rsid w:val="17C15D97"/>
    <w:rsid w:val="185D040A"/>
    <w:rsid w:val="188E5A7E"/>
    <w:rsid w:val="18C56ABE"/>
    <w:rsid w:val="18C740FB"/>
    <w:rsid w:val="192972B1"/>
    <w:rsid w:val="19D34472"/>
    <w:rsid w:val="1A174747"/>
    <w:rsid w:val="1B0325F3"/>
    <w:rsid w:val="1BA12E75"/>
    <w:rsid w:val="1BE90CBC"/>
    <w:rsid w:val="1C0B4FDF"/>
    <w:rsid w:val="1C5B2F04"/>
    <w:rsid w:val="1C761991"/>
    <w:rsid w:val="1CD42A2E"/>
    <w:rsid w:val="1D5D2FEB"/>
    <w:rsid w:val="1DC2777C"/>
    <w:rsid w:val="1DC3395B"/>
    <w:rsid w:val="1EA413BD"/>
    <w:rsid w:val="1EA96421"/>
    <w:rsid w:val="1F16393D"/>
    <w:rsid w:val="200F183B"/>
    <w:rsid w:val="217C545D"/>
    <w:rsid w:val="22B86521"/>
    <w:rsid w:val="23E02EAB"/>
    <w:rsid w:val="245C646E"/>
    <w:rsid w:val="24782E39"/>
    <w:rsid w:val="25236A16"/>
    <w:rsid w:val="256C065C"/>
    <w:rsid w:val="25B212BD"/>
    <w:rsid w:val="263920D0"/>
    <w:rsid w:val="271C3AA6"/>
    <w:rsid w:val="27FF17B9"/>
    <w:rsid w:val="282633A8"/>
    <w:rsid w:val="28266776"/>
    <w:rsid w:val="286A351C"/>
    <w:rsid w:val="28DF7FBC"/>
    <w:rsid w:val="2A7055D9"/>
    <w:rsid w:val="2BB655EB"/>
    <w:rsid w:val="2CA17371"/>
    <w:rsid w:val="2DDA44F6"/>
    <w:rsid w:val="2DE03868"/>
    <w:rsid w:val="2EAF4B02"/>
    <w:rsid w:val="2EFA0920"/>
    <w:rsid w:val="2F2E0DD3"/>
    <w:rsid w:val="2FDF0AC1"/>
    <w:rsid w:val="30530CB9"/>
    <w:rsid w:val="31241C20"/>
    <w:rsid w:val="31A606A8"/>
    <w:rsid w:val="3370188D"/>
    <w:rsid w:val="337C12F0"/>
    <w:rsid w:val="33A5028C"/>
    <w:rsid w:val="340A6022"/>
    <w:rsid w:val="34991DD6"/>
    <w:rsid w:val="34A26162"/>
    <w:rsid w:val="34E47465"/>
    <w:rsid w:val="360E21C1"/>
    <w:rsid w:val="36401C52"/>
    <w:rsid w:val="37861D96"/>
    <w:rsid w:val="37FD118C"/>
    <w:rsid w:val="38AC6F88"/>
    <w:rsid w:val="39A66A8C"/>
    <w:rsid w:val="3A3E06A3"/>
    <w:rsid w:val="3B0722D4"/>
    <w:rsid w:val="3BAF109E"/>
    <w:rsid w:val="3CCC43B5"/>
    <w:rsid w:val="3D601AD3"/>
    <w:rsid w:val="3DDD74C1"/>
    <w:rsid w:val="3DE35693"/>
    <w:rsid w:val="3E2D76D6"/>
    <w:rsid w:val="3E2D7DD3"/>
    <w:rsid w:val="3E4F3034"/>
    <w:rsid w:val="3EFF4D66"/>
    <w:rsid w:val="40762618"/>
    <w:rsid w:val="408373C1"/>
    <w:rsid w:val="409E30A8"/>
    <w:rsid w:val="40FC4CB0"/>
    <w:rsid w:val="41034C6C"/>
    <w:rsid w:val="41504F94"/>
    <w:rsid w:val="418A16EC"/>
    <w:rsid w:val="43922586"/>
    <w:rsid w:val="4561695E"/>
    <w:rsid w:val="46DE6196"/>
    <w:rsid w:val="47AB2817"/>
    <w:rsid w:val="487415C3"/>
    <w:rsid w:val="487B65BE"/>
    <w:rsid w:val="48821426"/>
    <w:rsid w:val="48D6438C"/>
    <w:rsid w:val="4B166A95"/>
    <w:rsid w:val="4B493BD2"/>
    <w:rsid w:val="4C7157A4"/>
    <w:rsid w:val="4D2423DA"/>
    <w:rsid w:val="4E7C360B"/>
    <w:rsid w:val="4F3E52A8"/>
    <w:rsid w:val="4F586394"/>
    <w:rsid w:val="4F8E66AE"/>
    <w:rsid w:val="4FED5EBD"/>
    <w:rsid w:val="50232F42"/>
    <w:rsid w:val="51981AD3"/>
    <w:rsid w:val="51A753BA"/>
    <w:rsid w:val="51DE68AB"/>
    <w:rsid w:val="52074CBA"/>
    <w:rsid w:val="52B07B8F"/>
    <w:rsid w:val="533D0BDE"/>
    <w:rsid w:val="53411EE9"/>
    <w:rsid w:val="53513A3C"/>
    <w:rsid w:val="536F00DE"/>
    <w:rsid w:val="539313E4"/>
    <w:rsid w:val="54116199"/>
    <w:rsid w:val="543F18E6"/>
    <w:rsid w:val="551D06C8"/>
    <w:rsid w:val="55497E47"/>
    <w:rsid w:val="561B446B"/>
    <w:rsid w:val="56B26B95"/>
    <w:rsid w:val="57005247"/>
    <w:rsid w:val="5780446C"/>
    <w:rsid w:val="57C021E2"/>
    <w:rsid w:val="57C6574D"/>
    <w:rsid w:val="5835523D"/>
    <w:rsid w:val="5A58599B"/>
    <w:rsid w:val="5B1D587B"/>
    <w:rsid w:val="5B2172A6"/>
    <w:rsid w:val="5B3434F8"/>
    <w:rsid w:val="5BED75A9"/>
    <w:rsid w:val="5D1619BA"/>
    <w:rsid w:val="5E6A71F7"/>
    <w:rsid w:val="5EBD751B"/>
    <w:rsid w:val="5F557AF4"/>
    <w:rsid w:val="5FD41082"/>
    <w:rsid w:val="600E2170"/>
    <w:rsid w:val="60934C78"/>
    <w:rsid w:val="60FC4012"/>
    <w:rsid w:val="6106280A"/>
    <w:rsid w:val="618F164B"/>
    <w:rsid w:val="61A241F9"/>
    <w:rsid w:val="62976BA7"/>
    <w:rsid w:val="62D46057"/>
    <w:rsid w:val="63924601"/>
    <w:rsid w:val="63BF2C89"/>
    <w:rsid w:val="63EF192E"/>
    <w:rsid w:val="640336FD"/>
    <w:rsid w:val="650D0632"/>
    <w:rsid w:val="6534570D"/>
    <w:rsid w:val="65413FA7"/>
    <w:rsid w:val="65BB3DCB"/>
    <w:rsid w:val="66A3383B"/>
    <w:rsid w:val="66D44B2F"/>
    <w:rsid w:val="67714B74"/>
    <w:rsid w:val="67A105BB"/>
    <w:rsid w:val="67E919DE"/>
    <w:rsid w:val="682806B6"/>
    <w:rsid w:val="686D619C"/>
    <w:rsid w:val="6ACD6C40"/>
    <w:rsid w:val="6B26681C"/>
    <w:rsid w:val="6B3E03B6"/>
    <w:rsid w:val="6B5B2464"/>
    <w:rsid w:val="6B997406"/>
    <w:rsid w:val="6BE91E82"/>
    <w:rsid w:val="6CFB43E6"/>
    <w:rsid w:val="6D226F1D"/>
    <w:rsid w:val="6E1038D1"/>
    <w:rsid w:val="6E792692"/>
    <w:rsid w:val="6EA76F13"/>
    <w:rsid w:val="6F5D25CA"/>
    <w:rsid w:val="704A38E5"/>
    <w:rsid w:val="71246855"/>
    <w:rsid w:val="716B46DE"/>
    <w:rsid w:val="719D4100"/>
    <w:rsid w:val="71E006FC"/>
    <w:rsid w:val="724F2B10"/>
    <w:rsid w:val="72E55401"/>
    <w:rsid w:val="73645753"/>
    <w:rsid w:val="737D1E5A"/>
    <w:rsid w:val="73B93F82"/>
    <w:rsid w:val="74E62BE1"/>
    <w:rsid w:val="75592C7C"/>
    <w:rsid w:val="7600251B"/>
    <w:rsid w:val="76444236"/>
    <w:rsid w:val="76742EC0"/>
    <w:rsid w:val="76BF0406"/>
    <w:rsid w:val="789E2CA4"/>
    <w:rsid w:val="78E404CB"/>
    <w:rsid w:val="792917E7"/>
    <w:rsid w:val="7934385B"/>
    <w:rsid w:val="798C6F6D"/>
    <w:rsid w:val="79AF27CF"/>
    <w:rsid w:val="7A53275F"/>
    <w:rsid w:val="7A9F6E02"/>
    <w:rsid w:val="7C8B31E4"/>
    <w:rsid w:val="7D2E00A7"/>
    <w:rsid w:val="7E580265"/>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autoRedefine/>
    <w:unhideWhenUsed/>
    <w:qFormat/>
    <w:uiPriority w:val="1"/>
    <w:rPr>
      <w:kern w:val="1"/>
    </w:rPr>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annotation text"/>
    <w:basedOn w:val="1"/>
    <w:link w:val="28"/>
    <w:autoRedefine/>
    <w:unhideWhenUsed/>
    <w:qFormat/>
    <w:uiPriority w:val="99"/>
    <w:pPr>
      <w:jc w:val="left"/>
    </w:pPr>
  </w:style>
  <w:style w:type="paragraph" w:styleId="5">
    <w:name w:val="Body Text"/>
    <w:basedOn w:val="1"/>
    <w:autoRedefine/>
    <w:qFormat/>
    <w:uiPriority w:val="1"/>
    <w:pPr>
      <w:ind w:left="169"/>
    </w:pPr>
    <w:rPr>
      <w:rFonts w:ascii="宋体" w:hAnsi="宋体" w:eastAsia="宋体" w:cs="宋体"/>
      <w:sz w:val="24"/>
      <w:szCs w:val="24"/>
      <w:lang w:val="zh-CN" w:eastAsia="zh-CN" w:bidi="zh-CN"/>
    </w:rPr>
  </w:style>
  <w:style w:type="paragraph" w:styleId="6">
    <w:name w:val="Date"/>
    <w:basedOn w:val="1"/>
    <w:next w:val="1"/>
    <w:link w:val="26"/>
    <w:autoRedefine/>
    <w:unhideWhenUsed/>
    <w:qFormat/>
    <w:uiPriority w:val="99"/>
    <w:pPr>
      <w:ind w:left="100" w:leftChars="2500"/>
    </w:pPr>
  </w:style>
  <w:style w:type="paragraph" w:styleId="7">
    <w:name w:val="Balloon Text"/>
    <w:basedOn w:val="1"/>
    <w:link w:val="29"/>
    <w:autoRedefine/>
    <w:unhideWhenUsed/>
    <w:qFormat/>
    <w:uiPriority w:val="99"/>
    <w:rPr>
      <w:sz w:val="18"/>
      <w:szCs w:val="18"/>
    </w:rPr>
  </w:style>
  <w:style w:type="paragraph" w:styleId="8">
    <w:name w:val="footer"/>
    <w:basedOn w:val="1"/>
    <w:link w:val="25"/>
    <w:autoRedefine/>
    <w:unhideWhenUsed/>
    <w:qFormat/>
    <w:uiPriority w:val="99"/>
    <w:pPr>
      <w:tabs>
        <w:tab w:val="center" w:pos="4153"/>
        <w:tab w:val="right" w:pos="8306"/>
      </w:tabs>
      <w:snapToGrid w:val="0"/>
      <w:jc w:val="left"/>
    </w:pPr>
    <w:rPr>
      <w:sz w:val="18"/>
      <w:szCs w:val="18"/>
    </w:rPr>
  </w:style>
  <w:style w:type="paragraph" w:styleId="9">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autoRedefine/>
    <w:qFormat/>
    <w:uiPriority w:val="0"/>
    <w:rPr>
      <w:kern w:val="1"/>
    </w:rPr>
  </w:style>
  <w:style w:type="character" w:styleId="15">
    <w:name w:val="Strong"/>
    <w:basedOn w:val="13"/>
    <w:autoRedefine/>
    <w:qFormat/>
    <w:uiPriority w:val="22"/>
    <w:rPr>
      <w:b/>
      <w:bCs/>
    </w:rPr>
  </w:style>
  <w:style w:type="character" w:styleId="16">
    <w:name w:val="page number"/>
    <w:basedOn w:val="13"/>
    <w:autoRedefine/>
    <w:qFormat/>
    <w:uiPriority w:val="0"/>
  </w:style>
  <w:style w:type="character" w:styleId="17">
    <w:name w:val="FollowedHyperlink"/>
    <w:basedOn w:val="13"/>
    <w:autoRedefine/>
    <w:unhideWhenUsed/>
    <w:qFormat/>
    <w:uiPriority w:val="99"/>
    <w:rPr>
      <w:color w:val="800080" w:themeColor="followedHyperlink"/>
      <w:u w:val="single"/>
      <w14:textFill>
        <w14:solidFill>
          <w14:schemeClr w14:val="folHlink"/>
        </w14:solidFill>
      </w14:textFill>
    </w:rPr>
  </w:style>
  <w:style w:type="character" w:styleId="18">
    <w:name w:val="Emphasis"/>
    <w:basedOn w:val="13"/>
    <w:autoRedefine/>
    <w:qFormat/>
    <w:uiPriority w:val="20"/>
    <w:rPr>
      <w:i/>
    </w:rPr>
  </w:style>
  <w:style w:type="character" w:styleId="19">
    <w:name w:val="Hyperlink"/>
    <w:basedOn w:val="13"/>
    <w:autoRedefine/>
    <w:unhideWhenUsed/>
    <w:qFormat/>
    <w:uiPriority w:val="99"/>
    <w:rPr>
      <w:color w:val="0000FF"/>
      <w:u w:val="none"/>
    </w:rPr>
  </w:style>
  <w:style w:type="character" w:styleId="20">
    <w:name w:val="annotation reference"/>
    <w:basedOn w:val="13"/>
    <w:autoRedefine/>
    <w:unhideWhenUsed/>
    <w:qFormat/>
    <w:uiPriority w:val="99"/>
    <w:rPr>
      <w:sz w:val="21"/>
      <w:szCs w:val="21"/>
    </w:rPr>
  </w:style>
  <w:style w:type="paragraph" w:customStyle="1" w:styleId="21">
    <w:name w:val="Default1"/>
    <w:basedOn w:val="2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4">
    <w:name w:val="页眉 Char"/>
    <w:basedOn w:val="13"/>
    <w:link w:val="9"/>
    <w:autoRedefine/>
    <w:qFormat/>
    <w:uiPriority w:val="99"/>
    <w:rPr>
      <w:sz w:val="18"/>
      <w:szCs w:val="18"/>
    </w:rPr>
  </w:style>
  <w:style w:type="character" w:customStyle="1" w:styleId="25">
    <w:name w:val="页脚 Char"/>
    <w:basedOn w:val="13"/>
    <w:link w:val="8"/>
    <w:autoRedefine/>
    <w:qFormat/>
    <w:uiPriority w:val="99"/>
    <w:rPr>
      <w:sz w:val="18"/>
      <w:szCs w:val="18"/>
    </w:rPr>
  </w:style>
  <w:style w:type="character" w:customStyle="1" w:styleId="26">
    <w:name w:val="日期 Char"/>
    <w:basedOn w:val="13"/>
    <w:link w:val="6"/>
    <w:autoRedefine/>
    <w:semiHidden/>
    <w:qFormat/>
    <w:uiPriority w:val="99"/>
  </w:style>
  <w:style w:type="paragraph" w:customStyle="1" w:styleId="27">
    <w:name w:val="List Paragraph"/>
    <w:basedOn w:val="1"/>
    <w:autoRedefine/>
    <w:qFormat/>
    <w:uiPriority w:val="34"/>
    <w:pPr>
      <w:ind w:firstLine="420" w:firstLineChars="200"/>
    </w:pPr>
  </w:style>
  <w:style w:type="character" w:customStyle="1" w:styleId="28">
    <w:name w:val="批注文字 Char"/>
    <w:basedOn w:val="13"/>
    <w:link w:val="4"/>
    <w:autoRedefine/>
    <w:semiHidden/>
    <w:qFormat/>
    <w:uiPriority w:val="99"/>
  </w:style>
  <w:style w:type="character" w:customStyle="1" w:styleId="29">
    <w:name w:val="批注框文本 Char"/>
    <w:basedOn w:val="13"/>
    <w:link w:val="7"/>
    <w:autoRedefine/>
    <w:semiHidden/>
    <w:qFormat/>
    <w:uiPriority w:val="99"/>
    <w:rPr>
      <w:sz w:val="18"/>
      <w:szCs w:val="18"/>
    </w:rPr>
  </w:style>
  <w:style w:type="paragraph" w:customStyle="1" w:styleId="30">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1">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2">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3">
    <w:name w:val="font21"/>
    <w:basedOn w:val="13"/>
    <w:autoRedefine/>
    <w:qFormat/>
    <w:uiPriority w:val="0"/>
    <w:rPr>
      <w:rFonts w:hint="eastAsia" w:ascii="宋体" w:hAnsi="宋体" w:eastAsia="宋体" w:cs="宋体"/>
      <w:color w:val="000000"/>
      <w:sz w:val="24"/>
      <w:szCs w:val="24"/>
      <w:u w:val="none"/>
    </w:rPr>
  </w:style>
  <w:style w:type="character" w:customStyle="1" w:styleId="34">
    <w:name w:val="font41"/>
    <w:basedOn w:val="13"/>
    <w:autoRedefine/>
    <w:qFormat/>
    <w:uiPriority w:val="0"/>
    <w:rPr>
      <w:rFonts w:hint="default" w:ascii="Times New Roman" w:hAnsi="Times New Roman" w:cs="Times New Roman"/>
      <w:color w:val="000000"/>
      <w:sz w:val="22"/>
      <w:szCs w:val="22"/>
      <w:u w:val="none"/>
    </w:rPr>
  </w:style>
  <w:style w:type="character" w:customStyle="1" w:styleId="35">
    <w:name w:val="font11"/>
    <w:basedOn w:val="13"/>
    <w:autoRedefine/>
    <w:qFormat/>
    <w:uiPriority w:val="0"/>
    <w:rPr>
      <w:rFonts w:hint="eastAsia" w:ascii="宋体" w:hAnsi="宋体" w:eastAsia="宋体" w:cs="宋体"/>
      <w:color w:val="FF0000"/>
      <w:sz w:val="20"/>
      <w:szCs w:val="20"/>
      <w:u w:val="none"/>
    </w:rPr>
  </w:style>
  <w:style w:type="paragraph" w:customStyle="1" w:styleId="36">
    <w:name w:val="样式1"/>
    <w:basedOn w:val="1"/>
    <w:autoRedefine/>
    <w:qFormat/>
    <w:uiPriority w:val="0"/>
    <w:rPr>
      <w:b/>
      <w:color w:val="538135"/>
      <w:sz w:val="28"/>
    </w:rPr>
  </w:style>
  <w:style w:type="character" w:customStyle="1" w:styleId="37">
    <w:name w:val="font31"/>
    <w:basedOn w:val="13"/>
    <w:uiPriority w:val="0"/>
    <w:rPr>
      <w:rFonts w:hint="eastAsia" w:ascii="宋体" w:hAnsi="宋体" w:eastAsia="宋体" w:cs="宋体"/>
      <w:b/>
      <w:bCs/>
      <w:color w:val="000000"/>
      <w:sz w:val="16"/>
      <w:szCs w:val="16"/>
      <w:u w:val="none"/>
    </w:rPr>
  </w:style>
  <w:style w:type="character" w:customStyle="1" w:styleId="38">
    <w:name w:val="font151"/>
    <w:basedOn w:val="13"/>
    <w:uiPriority w:val="0"/>
    <w:rPr>
      <w:rFonts w:hint="eastAsia" w:ascii="宋体" w:hAnsi="宋体" w:eastAsia="宋体" w:cs="宋体"/>
      <w:color w:val="000000"/>
      <w:sz w:val="18"/>
      <w:szCs w:val="18"/>
      <w:u w:val="none"/>
    </w:rPr>
  </w:style>
  <w:style w:type="character" w:customStyle="1" w:styleId="39">
    <w:name w:val="font121"/>
    <w:basedOn w:val="13"/>
    <w:uiPriority w:val="0"/>
    <w:rPr>
      <w:rFonts w:hint="default" w:ascii="ˎ̥" w:hAnsi="ˎ̥" w:eastAsia="ˎ̥" w:cs="ˎ̥"/>
      <w:color w:val="000000"/>
      <w:sz w:val="18"/>
      <w:szCs w:val="18"/>
      <w:u w:val="none"/>
    </w:rPr>
  </w:style>
  <w:style w:type="character" w:customStyle="1" w:styleId="40">
    <w:name w:val="font161"/>
    <w:basedOn w:val="13"/>
    <w:uiPriority w:val="0"/>
    <w:rPr>
      <w:rFonts w:hint="eastAsia" w:ascii="宋体" w:hAnsi="宋体" w:eastAsia="宋体" w:cs="宋体"/>
      <w:color w:val="FF0000"/>
      <w:sz w:val="18"/>
      <w:szCs w:val="18"/>
      <w:u w:val="none"/>
    </w:rPr>
  </w:style>
  <w:style w:type="character" w:customStyle="1" w:styleId="41">
    <w:name w:val="font171"/>
    <w:basedOn w:val="13"/>
    <w:uiPriority w:val="0"/>
    <w:rPr>
      <w:rFonts w:hint="default" w:ascii="ˎ̥" w:hAnsi="ˎ̥" w:eastAsia="ˎ̥" w:cs="ˎ̥"/>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1798</Words>
  <Characters>1978</Characters>
  <Lines>13</Lines>
  <Paragraphs>3</Paragraphs>
  <TotalTime>3</TotalTime>
  <ScaleCrop>false</ScaleCrop>
  <LinksUpToDate>false</LinksUpToDate>
  <CharactersWithSpaces>2006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英雷</cp:lastModifiedBy>
  <dcterms:modified xsi:type="dcterms:W3CDTF">2024-11-29T13:00:26Z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BD3C30A683794D4FA96E423101E5F91B</vt:lpwstr>
  </property>
  <property fmtid="{D5CDD505-2E9C-101B-9397-08002B2CF9AE}" pid="4" name="EagleCloud">
    <vt:lpwstr>{"watermark_type":"track","current_time":"2024-08-22 13:07","employee_id":"emp_53e76e55-ad6f-4d81-87d8-0a05bbd30828","agent_id":"b19ca44061d9f6ebf9943345378a88a5adc3f81f8ae6e55a4c6b6fe042a30ccc","process":"","custom_content":"科技租户","total_content":"2024-08-22 13:07-emp_53e76e55-ad6f-4d81-87d8-0a05bbd30828-b19ca44061d9f6ebf9943345378a88a5adc3f81f8ae6e55a4c6b6fe042a30ccc-{{process}}-科技租户"}</vt:lpwstr>
  </property>
</Properties>
</file>