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附件</w:t>
      </w:r>
      <w:r>
        <w:rPr>
          <w:rFonts w:hint="eastAsia" w:asciiTheme="majorEastAsia" w:hAnsiTheme="majorEastAsia" w:eastAsiaTheme="majorEastAsia" w:cstheme="majorEastAsia"/>
          <w:b/>
          <w:szCs w:val="21"/>
          <w:lang w:val="en-US" w:eastAsia="zh-CN"/>
        </w:rPr>
        <w:t>五</w:t>
      </w:r>
      <w:r>
        <w:rPr>
          <w:rFonts w:hint="eastAsia" w:asciiTheme="majorEastAsia" w:hAnsiTheme="majorEastAsia" w:eastAsiaTheme="majorEastAsia" w:cstheme="majorEastAsia"/>
          <w:b/>
          <w:szCs w:val="21"/>
        </w:rPr>
        <w:t>：</w:t>
      </w:r>
      <w:r>
        <w:rPr>
          <w:rFonts w:hint="eastAsia" w:asciiTheme="majorEastAsia" w:hAnsiTheme="majorEastAsia" w:eastAsiaTheme="majorEastAsia" w:cstheme="majorEastAsia"/>
          <w:b/>
          <w:szCs w:val="21"/>
          <w:lang w:val="en-US" w:eastAsia="zh-CN"/>
        </w:rPr>
        <w:t>参与</w:t>
      </w:r>
      <w:r>
        <w:rPr>
          <w:rFonts w:hint="eastAsia" w:asciiTheme="majorEastAsia" w:hAnsiTheme="majorEastAsia" w:eastAsiaTheme="majorEastAsia" w:cstheme="majorEastAsia"/>
          <w:b/>
          <w:szCs w:val="21"/>
        </w:rPr>
        <w:t>确认通知</w:t>
      </w:r>
    </w:p>
    <w:p>
      <w:pPr>
        <w:pStyle w:val="2"/>
        <w:rPr>
          <w:rFonts w:hint="eastAsia"/>
        </w:rPr>
      </w:pPr>
    </w:p>
    <w:p>
      <w:pPr>
        <w:spacing w:line="360" w:lineRule="auto"/>
        <w:ind w:firstLine="420"/>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 w:val="24"/>
          <w:szCs w:val="24"/>
          <w:lang w:val="en-US" w:eastAsia="zh-CN"/>
        </w:rPr>
        <w:t>参与</w:t>
      </w:r>
      <w:r>
        <w:rPr>
          <w:rFonts w:hint="eastAsia" w:asciiTheme="majorEastAsia" w:hAnsiTheme="majorEastAsia" w:eastAsiaTheme="majorEastAsia" w:cstheme="majorEastAsia"/>
          <w:b/>
          <w:sz w:val="24"/>
          <w:szCs w:val="24"/>
        </w:rPr>
        <w:t>确认通知</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bCs/>
          <w:sz w:val="21"/>
          <w:szCs w:val="21"/>
          <w:u w:val="single"/>
          <w:lang w:val="en-US" w:eastAsia="zh-CN"/>
        </w:rPr>
        <w:t>靖西市锰矿有限责任公司</w:t>
      </w:r>
      <w:r>
        <w:rPr>
          <w:rFonts w:hint="eastAsia" w:asciiTheme="majorEastAsia" w:hAnsiTheme="majorEastAsia" w:eastAsiaTheme="majorEastAsia" w:cstheme="majorEastAsia"/>
          <w:sz w:val="21"/>
          <w:szCs w:val="21"/>
        </w:rPr>
        <w:t>：</w:t>
      </w:r>
    </w:p>
    <w:p>
      <w:pPr>
        <w:spacing w:line="360" w:lineRule="auto"/>
        <w:ind w:firstLine="420"/>
        <w:rPr>
          <w:rFonts w:hint="eastAsia" w:asciiTheme="majorEastAsia" w:hAnsiTheme="majorEastAsia" w:eastAsiaTheme="majorEastAsia" w:cstheme="majorEastAsia"/>
          <w:szCs w:val="21"/>
        </w:rPr>
      </w:pPr>
    </w:p>
    <w:p>
      <w:pPr>
        <w:spacing w:line="360" w:lineRule="auto"/>
        <w:ind w:firstLine="420"/>
        <w:rPr>
          <w:rFonts w:hint="eastAsia" w:ascii="宋体" w:hAnsi="宋体" w:eastAsia="宋体" w:cs="宋体"/>
          <w:sz w:val="21"/>
          <w:szCs w:val="21"/>
        </w:rPr>
      </w:pPr>
      <w:r>
        <w:rPr>
          <w:rFonts w:hint="eastAsia" w:asciiTheme="majorEastAsia" w:hAnsiTheme="majorEastAsia" w:eastAsiaTheme="majorEastAsia" w:cstheme="majorEastAsia"/>
          <w:sz w:val="21"/>
          <w:szCs w:val="21"/>
        </w:rPr>
        <w:t>我</w:t>
      </w:r>
      <w:r>
        <w:rPr>
          <w:rFonts w:hint="eastAsia" w:ascii="宋体" w:hAnsi="宋体" w:eastAsia="宋体" w:cs="宋体"/>
          <w:sz w:val="21"/>
          <w:szCs w:val="21"/>
        </w:rPr>
        <w:t>方已于</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日收到你方</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日发出的</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lang w:val="en-US" w:eastAsia="zh-CN"/>
        </w:rPr>
        <w:t>靖锰公司2025年度石乳化炸药采购项目</w:t>
      </w:r>
      <w:r>
        <w:rPr>
          <w:rFonts w:hint="eastAsia" w:ascii="宋体" w:hAnsi="宋体" w:eastAsia="宋体" w:cs="宋体"/>
          <w:sz w:val="21"/>
          <w:szCs w:val="21"/>
        </w:rPr>
        <w:t>）的投标邀请书，并确认</w:t>
      </w:r>
      <w:r>
        <w:rPr>
          <w:rFonts w:hint="eastAsia" w:ascii="宋体" w:hAnsi="宋体" w:eastAsia="宋体" w:cs="宋体"/>
          <w:sz w:val="21"/>
          <w:szCs w:val="21"/>
          <w:u w:val="single"/>
        </w:rPr>
        <w:t xml:space="preserve">            </w:t>
      </w:r>
      <w:r>
        <w:rPr>
          <w:rFonts w:hint="eastAsia" w:ascii="宋体" w:hAnsi="宋体" w:eastAsia="宋体" w:cs="宋体"/>
          <w:sz w:val="21"/>
          <w:szCs w:val="21"/>
        </w:rPr>
        <w:t>（参加/不参加）</w:t>
      </w:r>
      <w:r>
        <w:rPr>
          <w:rFonts w:hint="eastAsia" w:ascii="宋体" w:hAnsi="宋体" w:eastAsia="宋体" w:cs="宋体"/>
          <w:sz w:val="21"/>
          <w:szCs w:val="21"/>
          <w:lang w:val="en-US" w:eastAsia="zh-CN"/>
        </w:rPr>
        <w:t>竞价</w:t>
      </w:r>
      <w:r>
        <w:rPr>
          <w:rFonts w:hint="eastAsia" w:ascii="宋体" w:hAnsi="宋体" w:eastAsia="宋体" w:cs="宋体"/>
          <w:sz w:val="21"/>
          <w:szCs w:val="21"/>
        </w:rPr>
        <w:t>。</w:t>
      </w:r>
    </w:p>
    <w:p>
      <w:pPr>
        <w:autoSpaceDE w:val="0"/>
        <w:autoSpaceDN w:val="0"/>
        <w:adjustRightInd w:val="0"/>
        <w:snapToGrid w:val="0"/>
        <w:spacing w:line="360" w:lineRule="auto"/>
        <w:ind w:firstLine="420" w:firstLineChars="200"/>
        <w:rPr>
          <w:rFonts w:hint="eastAsia" w:ascii="宋体" w:hAnsi="宋体" w:eastAsia="宋体" w:cs="宋体"/>
          <w:b w:val="0"/>
          <w:bCs w:val="0"/>
          <w:sz w:val="21"/>
          <w:szCs w:val="21"/>
          <w:u w:val="none"/>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w:t>
      </w:r>
      <w:r>
        <w:rPr>
          <w:rFonts w:hint="eastAsia" w:ascii="宋体" w:hAnsi="宋体" w:eastAsia="宋体" w:cs="宋体"/>
          <w:b w:val="0"/>
          <w:bCs w:val="0"/>
          <w:sz w:val="21"/>
          <w:szCs w:val="21"/>
          <w:u w:val="none"/>
        </w:rPr>
        <w:t>货物交货期为满足</w:t>
      </w:r>
      <w:r>
        <w:rPr>
          <w:rFonts w:hint="eastAsia" w:ascii="宋体" w:hAnsi="宋体" w:eastAsia="宋体" w:cs="宋体"/>
          <w:b w:val="0"/>
          <w:bCs w:val="0"/>
          <w:sz w:val="21"/>
          <w:szCs w:val="21"/>
          <w:u w:val="none"/>
          <w:lang w:val="en-US" w:eastAsia="zh-CN"/>
        </w:rPr>
        <w:t>靖锰公司</w:t>
      </w:r>
      <w:r>
        <w:rPr>
          <w:rFonts w:hint="eastAsia" w:ascii="宋体" w:hAnsi="宋体" w:eastAsia="宋体" w:cs="宋体"/>
          <w:sz w:val="21"/>
          <w:szCs w:val="21"/>
          <w:u w:val="single"/>
          <w:lang w:val="en-US" w:eastAsia="zh-CN"/>
        </w:rPr>
        <w:t>2025年度石乳化炸药采购</w:t>
      </w:r>
      <w:r>
        <w:rPr>
          <w:rFonts w:hint="eastAsia" w:ascii="宋体" w:hAnsi="宋体" w:eastAsia="宋体" w:cs="宋体"/>
          <w:b w:val="0"/>
          <w:bCs w:val="0"/>
          <w:sz w:val="21"/>
          <w:szCs w:val="21"/>
          <w:u w:val="single"/>
          <w:lang w:val="en-US" w:eastAsia="zh-CN"/>
        </w:rPr>
        <w:t>项目</w:t>
      </w:r>
      <w:r>
        <w:rPr>
          <w:rFonts w:hint="eastAsia" w:ascii="宋体" w:hAnsi="宋体" w:eastAsia="宋体" w:cs="宋体"/>
          <w:b w:val="0"/>
          <w:bCs w:val="0"/>
          <w:sz w:val="21"/>
          <w:szCs w:val="21"/>
          <w:u w:val="none"/>
          <w:lang w:val="en-US" w:eastAsia="zh-CN"/>
        </w:rPr>
        <w:t>邀请书</w:t>
      </w:r>
      <w:r>
        <w:rPr>
          <w:rFonts w:hint="eastAsia" w:ascii="宋体" w:hAnsi="宋体" w:eastAsia="宋体" w:cs="宋体"/>
          <w:b w:val="0"/>
          <w:bCs w:val="0"/>
          <w:sz w:val="21"/>
          <w:szCs w:val="21"/>
          <w:u w:val="none"/>
        </w:rPr>
        <w:t>规定的交货期要求。</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)投标方已详细审查</w:t>
      </w:r>
      <w:r>
        <w:rPr>
          <w:rFonts w:hint="eastAsia" w:ascii="宋体" w:hAnsi="宋体" w:eastAsia="宋体" w:cs="宋体"/>
          <w:b w:val="0"/>
          <w:bCs w:val="0"/>
          <w:sz w:val="21"/>
          <w:szCs w:val="21"/>
          <w:lang w:val="en-US" w:eastAsia="zh-CN"/>
        </w:rPr>
        <w:t>靖锰公司</w:t>
      </w:r>
      <w:r>
        <w:rPr>
          <w:rFonts w:hint="eastAsia" w:ascii="宋体" w:hAnsi="宋体" w:eastAsia="宋体" w:cs="宋体"/>
          <w:sz w:val="21"/>
          <w:szCs w:val="21"/>
          <w:u w:val="single"/>
          <w:lang w:val="en-US" w:eastAsia="zh-CN"/>
        </w:rPr>
        <w:t>2025年度石乳化炸药采购</w:t>
      </w:r>
      <w:r>
        <w:rPr>
          <w:rFonts w:hint="eastAsia" w:ascii="宋体" w:hAnsi="宋体" w:eastAsia="宋体" w:cs="宋体"/>
          <w:b w:val="0"/>
          <w:bCs w:val="0"/>
          <w:sz w:val="21"/>
          <w:szCs w:val="21"/>
          <w:u w:val="single"/>
          <w:lang w:val="en-US" w:eastAsia="zh-CN"/>
        </w:rPr>
        <w:t>项目</w:t>
      </w:r>
      <w:r>
        <w:rPr>
          <w:rFonts w:hint="eastAsia" w:ascii="宋体" w:hAnsi="宋体" w:eastAsia="宋体" w:cs="宋体"/>
          <w:b w:val="0"/>
          <w:bCs w:val="0"/>
          <w:sz w:val="21"/>
          <w:szCs w:val="21"/>
          <w:u w:val="none"/>
          <w:lang w:val="en-US" w:eastAsia="zh-CN"/>
        </w:rPr>
        <w:t>邀请书并响应</w:t>
      </w:r>
      <w:r>
        <w:rPr>
          <w:rFonts w:hint="eastAsia" w:asciiTheme="majorEastAsia" w:hAnsiTheme="majorEastAsia" w:eastAsiaTheme="majorEastAsia" w:cstheme="majorEastAsia"/>
          <w:b w:val="0"/>
          <w:bCs w:val="0"/>
          <w:sz w:val="21"/>
          <w:szCs w:val="21"/>
        </w:rPr>
        <w:t>全部参考资料和有关附件。</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3）</w:t>
      </w:r>
      <w:r>
        <w:rPr>
          <w:rFonts w:hint="eastAsia" w:asciiTheme="majorEastAsia" w:hAnsiTheme="majorEastAsia" w:eastAsiaTheme="majorEastAsia" w:cstheme="majorEastAsia"/>
          <w:b w:val="0"/>
          <w:bCs w:val="0"/>
          <w:sz w:val="21"/>
          <w:szCs w:val="21"/>
        </w:rPr>
        <w:t>投标方将按</w:t>
      </w:r>
      <w:r>
        <w:rPr>
          <w:rFonts w:hint="eastAsia" w:asciiTheme="majorEastAsia" w:hAnsiTheme="majorEastAsia" w:eastAsiaTheme="majorEastAsia" w:cstheme="majorEastAsia"/>
          <w:b w:val="0"/>
          <w:bCs w:val="0"/>
          <w:sz w:val="21"/>
          <w:szCs w:val="21"/>
          <w:lang w:eastAsia="zh-CN"/>
        </w:rPr>
        <w:t>采购项目邀请书</w:t>
      </w:r>
      <w:r>
        <w:rPr>
          <w:rFonts w:hint="eastAsia" w:asciiTheme="majorEastAsia" w:hAnsiTheme="majorEastAsia" w:eastAsiaTheme="majorEastAsia" w:cstheme="majorEastAsia"/>
          <w:b w:val="0"/>
          <w:bCs w:val="0"/>
          <w:sz w:val="21"/>
          <w:szCs w:val="21"/>
        </w:rPr>
        <w:t>的规定履行合同责任和义务。</w:t>
      </w:r>
    </w:p>
    <w:p>
      <w:pPr>
        <w:autoSpaceDE w:val="0"/>
        <w:autoSpaceDN w:val="0"/>
        <w:adjustRightInd w:val="0"/>
        <w:snapToGrid w:val="0"/>
        <w:spacing w:line="360" w:lineRule="auto"/>
        <w:ind w:firstLine="420" w:firstLineChars="200"/>
        <w:rPr>
          <w:rFonts w:hint="eastAsia" w:eastAsia="宋体" w:asciiTheme="majorEastAsia" w:hAnsiTheme="majorEastAsia" w:cstheme="majorEastAsia"/>
          <w:b w:val="0"/>
          <w:bCs w:val="0"/>
          <w:sz w:val="21"/>
          <w:szCs w:val="21"/>
          <w:lang w:eastAsia="zh-CN"/>
        </w:rPr>
      </w:pPr>
      <w:r>
        <w:rPr>
          <w:rFonts w:hint="eastAsia" w:asciiTheme="majorEastAsia" w:hAnsiTheme="majorEastAsia" w:eastAsiaTheme="majorEastAsia" w:cstheme="majorEastAsia"/>
          <w:b w:val="0"/>
          <w:bCs w:val="0"/>
          <w:sz w:val="21"/>
          <w:szCs w:val="21"/>
          <w:lang w:val="en-US" w:eastAsia="zh-CN"/>
        </w:rPr>
        <w:t>(4</w:t>
      </w:r>
      <w:r>
        <w:rPr>
          <w:rFonts w:hint="eastAsia" w:asciiTheme="majorEastAsia" w:hAnsiTheme="majorEastAsia" w:eastAsiaTheme="majorEastAsia" w:cstheme="majorEastAsia"/>
          <w:b w:val="0"/>
          <w:bCs w:val="0"/>
          <w:sz w:val="21"/>
          <w:szCs w:val="21"/>
          <w:lang w:eastAsia="zh-CN"/>
        </w:rPr>
        <w:t>）</w:t>
      </w:r>
      <w:r>
        <w:rPr>
          <w:rFonts w:hint="eastAsia" w:asciiTheme="majorEastAsia" w:hAnsiTheme="majorEastAsia" w:eastAsiaTheme="majorEastAsia" w:cstheme="majorEastAsia"/>
          <w:b w:val="0"/>
          <w:bCs w:val="0"/>
          <w:sz w:val="21"/>
          <w:szCs w:val="21"/>
        </w:rPr>
        <w:t>邮</w:t>
      </w:r>
      <w:r>
        <w:rPr>
          <w:rFonts w:hint="eastAsia" w:asciiTheme="majorEastAsia" w:hAnsiTheme="majorEastAsia" w:eastAsiaTheme="majorEastAsia" w:cstheme="majorEastAsia"/>
          <w:b w:val="0"/>
          <w:bCs w:val="0"/>
          <w:sz w:val="21"/>
          <w:szCs w:val="21"/>
          <w:lang w:eastAsia="zh-CN"/>
        </w:rPr>
        <w:t>箱地址：</w:t>
      </w:r>
      <w:r>
        <w:rPr>
          <w:rFonts w:hint="eastAsia" w:ascii="宋体" w:hAnsi="宋体" w:eastAsia="宋体" w:cs="宋体"/>
          <w:sz w:val="24"/>
          <w:szCs w:val="24"/>
          <w:lang w:val="en-US" w:eastAsia="zh-CN"/>
        </w:rPr>
        <w:t>Rongxing</w:t>
      </w:r>
      <w:r>
        <w:rPr>
          <w:rFonts w:ascii="宋体" w:hAnsi="宋体" w:eastAsia="宋体" w:cs="宋体"/>
          <w:sz w:val="24"/>
          <w:szCs w:val="24"/>
        </w:rPr>
        <w:t>.</w:t>
      </w:r>
      <w:r>
        <w:rPr>
          <w:rFonts w:hint="eastAsia" w:ascii="宋体" w:hAnsi="宋体" w:eastAsia="宋体" w:cs="宋体"/>
          <w:sz w:val="24"/>
          <w:szCs w:val="24"/>
          <w:lang w:val="en-US" w:eastAsia="zh-CN"/>
        </w:rPr>
        <w:t>Zhai</w:t>
      </w:r>
      <w:r>
        <w:rPr>
          <w:rFonts w:ascii="宋体" w:hAnsi="宋体" w:eastAsia="宋体" w:cs="宋体"/>
          <w:sz w:val="24"/>
          <w:szCs w:val="24"/>
        </w:rPr>
        <w:t>@geely.com</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翟荣兴</w:t>
      </w:r>
      <w:r>
        <w:rPr>
          <w:rFonts w:hint="eastAsia" w:ascii="宋体" w:hAnsi="宋体" w:eastAsia="宋体" w:cs="宋体"/>
          <w:sz w:val="24"/>
          <w:szCs w:val="24"/>
          <w:lang w:eastAsia="zh-CN"/>
        </w:rPr>
        <w:t>）</w:t>
      </w:r>
    </w:p>
    <w:p>
      <w:pPr>
        <w:pStyle w:val="2"/>
        <w:rPr>
          <w:rFonts w:hint="eastAsia" w:asciiTheme="majorEastAsia" w:hAnsiTheme="majorEastAsia" w:eastAsiaTheme="majorEastAsia" w:cstheme="majorEastAsia"/>
          <w:lang w:eastAsia="zh-CN"/>
        </w:rPr>
      </w:pPr>
    </w:p>
    <w:p>
      <w:pPr>
        <w:pStyle w:val="2"/>
        <w:ind w:firstLine="840" w:firstLineChars="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特此确认。</w:t>
      </w:r>
    </w:p>
    <w:p>
      <w:pPr>
        <w:spacing w:line="360" w:lineRule="auto"/>
        <w:ind w:firstLine="420"/>
        <w:rPr>
          <w:rFonts w:hint="eastAsia" w:asciiTheme="majorEastAsia" w:hAnsiTheme="majorEastAsia" w:eastAsiaTheme="majorEastAsia" w:cstheme="majorEastAsia"/>
          <w:sz w:val="21"/>
          <w:szCs w:val="21"/>
        </w:rPr>
      </w:pPr>
    </w:p>
    <w:p>
      <w:pPr>
        <w:pStyle w:val="2"/>
        <w:rPr>
          <w:rFonts w:hint="eastAsia" w:asciiTheme="majorEastAsia" w:hAnsiTheme="majorEastAsia" w:eastAsiaTheme="majorEastAsia" w:cstheme="majorEastAsia"/>
          <w:sz w:val="21"/>
          <w:szCs w:val="21"/>
        </w:rPr>
      </w:pPr>
    </w:p>
    <w:p>
      <w:pPr>
        <w:pStyle w:val="3"/>
        <w:rPr>
          <w:rFonts w:hint="eastAsia"/>
        </w:rPr>
      </w:pPr>
    </w:p>
    <w:p>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被邀请单位名称：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（盖单位章）</w:t>
      </w:r>
    </w:p>
    <w:p>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法定代表人或其委托代理人：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（签字）</w:t>
      </w:r>
    </w:p>
    <w:p>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w:t>
      </w:r>
    </w:p>
    <w:p>
      <w:pPr>
        <w:rPr>
          <w:rFonts w:hint="eastAsia"/>
        </w:rPr>
      </w:pPr>
    </w:p>
    <w:p>
      <w:pPr>
        <w:spacing w:line="440" w:lineRule="exact"/>
        <w:rPr>
          <w:rFonts w:ascii="微软雅黑" w:hAnsi="微软雅黑" w:eastAsia="微软雅黑"/>
          <w:color w:val="FF0000"/>
          <w:sz w:val="24"/>
          <w:szCs w:val="24"/>
        </w:rPr>
      </w:pPr>
    </w:p>
    <w:p>
      <w:pPr>
        <w:rPr>
          <w:rFonts w:hint="eastAsia"/>
        </w:rPr>
      </w:pPr>
    </w:p>
    <w:p>
      <w:pPr>
        <w:spacing w:line="440" w:lineRule="exact"/>
        <w:rPr>
          <w:rFonts w:ascii="微软雅黑" w:hAnsi="微软雅黑" w:eastAsia="微软雅黑"/>
          <w:color w:val="FF0000"/>
          <w:sz w:val="24"/>
          <w:szCs w:val="24"/>
        </w:rPr>
      </w:pPr>
    </w:p>
    <w:p>
      <w:pPr>
        <w:pStyle w:val="2"/>
      </w:pPr>
    </w:p>
    <w:p>
      <w:pPr>
        <w:pStyle w:val="3"/>
      </w:pPr>
    </w:p>
    <w:p>
      <w:pPr>
        <w:keepLines w:val="0"/>
        <w:pageBreakBefore w:val="0"/>
        <w:kinsoku/>
        <w:overflowPunct/>
        <w:topLinePunct w:val="0"/>
        <w:bidi w:val="0"/>
        <w:spacing w:line="240" w:lineRule="auto"/>
        <w:jc w:val="center"/>
        <w:outlineLvl w:val="0"/>
        <w:rPr>
          <w:rFonts w:hint="eastAsia" w:ascii="微软雅黑" w:hAnsi="微软雅黑" w:eastAsia="微软雅黑"/>
          <w:b/>
          <w:color w:val="000000"/>
          <w:sz w:val="44"/>
          <w:szCs w:val="44"/>
        </w:rPr>
      </w:pPr>
      <w:r>
        <w:rPr>
          <w:rFonts w:hint="eastAsia" w:ascii="微软雅黑" w:hAnsi="微软雅黑" w:eastAsia="微软雅黑"/>
          <w:b/>
          <w:color w:val="000000"/>
          <w:sz w:val="44"/>
          <w:szCs w:val="44"/>
        </w:rPr>
        <w:t>投标承诺书</w:t>
      </w:r>
    </w:p>
    <w:p>
      <w:pPr>
        <w:keepLines w:val="0"/>
        <w:pageBreakBefore w:val="0"/>
        <w:kinsoku/>
        <w:overflowPunct/>
        <w:topLinePunct w:val="0"/>
        <w:bidi w:val="0"/>
        <w:spacing w:line="400" w:lineRule="exact"/>
        <w:rPr>
          <w:rFonts w:hint="eastAsia" w:ascii="微软雅黑" w:hAnsi="微软雅黑" w:eastAsia="微软雅黑"/>
          <w:color w:val="000000"/>
          <w:sz w:val="24"/>
        </w:rPr>
      </w:pPr>
      <w:r>
        <w:rPr>
          <w:rFonts w:hint="eastAsia" w:ascii="微软雅黑" w:hAnsi="微软雅黑" w:eastAsia="微软雅黑"/>
          <w:color w:val="000000"/>
          <w:sz w:val="24"/>
          <w:szCs w:val="22"/>
          <w:highlight w:val="none"/>
          <w:u w:val="single"/>
          <w:lang w:val="en-US" w:eastAsia="zh-CN"/>
        </w:rPr>
        <w:t>靖西市锰矿有限责任公司</w:t>
      </w:r>
      <w:r>
        <w:rPr>
          <w:rFonts w:hint="eastAsia" w:ascii="微软雅黑" w:hAnsi="微软雅黑" w:eastAsia="微软雅黑"/>
          <w:color w:val="000000"/>
          <w:sz w:val="24"/>
        </w:rPr>
        <w:t>：</w:t>
      </w:r>
    </w:p>
    <w:p>
      <w:pPr>
        <w:keepLines w:val="0"/>
        <w:pageBreakBefore w:val="0"/>
        <w:kinsoku/>
        <w:overflowPunct/>
        <w:topLinePunct w:val="0"/>
        <w:bidi w:val="0"/>
        <w:spacing w:line="400" w:lineRule="exact"/>
        <w:ind w:leftChars="100"/>
        <w:jc w:val="distribute"/>
        <w:rPr>
          <w:rFonts w:hint="eastAsia" w:ascii="微软雅黑" w:hAnsi="微软雅黑" w:eastAsia="微软雅黑"/>
          <w:b/>
          <w:color w:val="000000"/>
          <w:sz w:val="24"/>
          <w:u w:val="single"/>
        </w:rPr>
      </w:pPr>
      <w:r>
        <w:rPr>
          <w:rFonts w:hint="eastAsia" w:ascii="微软雅黑" w:hAnsi="微软雅黑" w:eastAsia="微软雅黑"/>
          <w:color w:val="000000"/>
          <w:sz w:val="24"/>
        </w:rPr>
        <w:t>1、根据已收到贵公</w:t>
      </w:r>
      <w:r>
        <w:rPr>
          <w:rFonts w:hint="eastAsia" w:ascii="微软雅黑" w:hAnsi="微软雅黑" w:eastAsia="微软雅黑"/>
          <w:color w:val="000000"/>
          <w:sz w:val="24"/>
          <w:szCs w:val="22"/>
        </w:rPr>
        <w:t>司</w:t>
      </w:r>
      <w:r>
        <w:rPr>
          <w:rFonts w:hint="eastAsia" w:ascii="微软雅黑" w:hAnsi="微软雅黑" w:eastAsia="微软雅黑"/>
          <w:color w:val="000000"/>
          <w:sz w:val="24"/>
          <w:szCs w:val="22"/>
          <w:u w:val="single"/>
          <w:lang w:val="en-US" w:eastAsia="zh-CN"/>
        </w:rPr>
        <w:t>2025年度石乳化炸药采购项目</w:t>
      </w:r>
      <w:bookmarkStart w:id="0" w:name="_GoBack"/>
      <w:bookmarkEnd w:id="0"/>
      <w:r>
        <w:rPr>
          <w:rFonts w:hint="eastAsia" w:ascii="微软雅黑" w:hAnsi="微软雅黑" w:eastAsia="微软雅黑"/>
          <w:color w:val="000000"/>
          <w:sz w:val="24"/>
          <w:szCs w:val="22"/>
        </w:rPr>
        <w:t>招标文件，我单位经考察招标单位和研究</w:t>
      </w:r>
      <w:r>
        <w:rPr>
          <w:rFonts w:hint="eastAsia" w:ascii="微软雅黑" w:hAnsi="微软雅黑" w:eastAsia="微软雅黑"/>
          <w:color w:val="000000"/>
          <w:sz w:val="24"/>
        </w:rPr>
        <w:t>招标文件后，除偏离部分外全部同意招标文件内容前提下，我方保证：</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（1）</w:t>
      </w:r>
      <w:r>
        <w:rPr>
          <w:rFonts w:hint="eastAsia" w:ascii="微软雅黑" w:hAnsi="微软雅黑" w:eastAsia="微软雅黑"/>
          <w:color w:val="000000"/>
          <w:sz w:val="24"/>
          <w:lang w:eastAsia="zh-CN"/>
        </w:rPr>
        <w:t>项目</w:t>
      </w:r>
      <w:r>
        <w:rPr>
          <w:rFonts w:hint="eastAsia" w:ascii="微软雅黑" w:hAnsi="微软雅黑" w:eastAsia="微软雅黑"/>
          <w:color w:val="000000"/>
          <w:sz w:val="24"/>
        </w:rPr>
        <w:t>总价(详见商务标),包含设备、运输、保险、备件及售后服务等；（根据实际情况填写）</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（2）时间：</w:t>
      </w:r>
      <w:r>
        <w:rPr>
          <w:rFonts w:hint="eastAsia" w:ascii="微软雅黑" w:hAnsi="微软雅黑" w:eastAsia="微软雅黑"/>
          <w:color w:val="000000"/>
          <w:sz w:val="24"/>
          <w:u w:val="single"/>
        </w:rPr>
        <w:t>按照甲方使用要求</w:t>
      </w:r>
      <w:r>
        <w:rPr>
          <w:rFonts w:hint="eastAsia" w:ascii="微软雅黑" w:hAnsi="微软雅黑" w:eastAsia="微软雅黑"/>
          <w:color w:val="000000"/>
          <w:sz w:val="24"/>
        </w:rPr>
        <w:t>；</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（3）按招标文件要求交货和售后服务。</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2、如果我方中标，我方将按照招标文件规定提交履约担保，承担物资质量、按时交货等过程的责任。</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3、如果我司中标，放弃中标或不按中标通知书要求签订合同的，我司愿意将投标保证金赔偿给招标方，如不足赔偿的愿意承担其它损失。</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4、如果出现采取违法行为中标的或与招标方（发包方）人员进行幕后交易，我司愿意将投标保证金赔偿给招标方，如果已签订合同并在履行过程，我司愿意将履约保证金赔偿给招标方，并无条件承担其它违约责任。</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5、我方同意在本项目招标文件中规定的投标文件有效期</w:t>
      </w:r>
      <w:r>
        <w:rPr>
          <w:rFonts w:hint="eastAsia" w:ascii="微软雅黑" w:hAnsi="微软雅黑" w:eastAsia="微软雅黑"/>
          <w:color w:val="000000"/>
          <w:sz w:val="24"/>
          <w:u w:val="single"/>
        </w:rPr>
        <w:t>90</w:t>
      </w:r>
      <w:r>
        <w:rPr>
          <w:rFonts w:hint="eastAsia" w:ascii="微软雅黑" w:hAnsi="微软雅黑" w:eastAsia="微软雅黑"/>
          <w:color w:val="000000"/>
          <w:sz w:val="24"/>
        </w:rPr>
        <w:t>个日历天内（自递交投标文件之日起计算）遵守本投标文件中的承诺且在此期限期满之前均具有约束力。如果中标，投标文件有效期延长至合同履约完毕。</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6、保证忠实地执行双方所签订的合同，并承担合同规定的责任和义务。</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7、承诺完全满足和响应招标文件中的各项商务和技术要求，若有偏差，已在投标文件偏离表中予以明确特别说明。</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8、保证遵守招标文件的所有规定。</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9、对贵方以书面(包括书面材料、信函、传真、电子邮件等)或以在本次招标公告刊登的媒体上发布的公告或与本项目有关的通知，我方会立即予以回复确认。若因登记有误或线路故障等其他原因导致通知延迟送达或无法送达，责任由我方自负。</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10、如果在开标后规定的投标有效期内撤回投标，我方的投标保证金可被贵方没收。</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11、我方愿意向贵方提供任何与本项投标有关的数据、情况和技术资料。若贵方需要，我方愿意提供我方做出的一切承诺的证明材料。</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12、我方已详细审核全部投标文件，包括投标文件修改书（如有的话）、参考资料及有关附件，确认无误。</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13、我方承诺：采购人若需追加采购本项目招标文件所列货物及相关服务的，在不改变合同其他实质性条款的前提下，按相同或更优惠的折扣率保证供货。</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14、我方承诺接受招标文件中合同全部条款且无任何异议。</w:t>
      </w:r>
    </w:p>
    <w:p>
      <w:pPr>
        <w:keepLines w:val="0"/>
        <w:pageBreakBefore w:val="0"/>
        <w:kinsoku/>
        <w:overflowPunct/>
        <w:topLinePunct w:val="0"/>
        <w:bidi w:val="0"/>
        <w:spacing w:line="400" w:lineRule="exact"/>
        <w:rPr>
          <w:rFonts w:hint="eastAsia" w:ascii="微软雅黑" w:hAnsi="微软雅黑" w:eastAsia="微软雅黑"/>
          <w:color w:val="000000"/>
          <w:sz w:val="24"/>
        </w:rPr>
      </w:pPr>
      <w:r>
        <w:rPr>
          <w:rFonts w:hint="eastAsia" w:ascii="微软雅黑" w:hAnsi="微软雅黑" w:eastAsia="微软雅黑"/>
          <w:color w:val="000000"/>
          <w:sz w:val="24"/>
        </w:rPr>
        <w:t>所有有关本次投标的一切往来联系方式为：</w:t>
      </w:r>
    </w:p>
    <w:p>
      <w:pPr>
        <w:keepLines w:val="0"/>
        <w:pageBreakBefore w:val="0"/>
        <w:kinsoku/>
        <w:overflowPunct/>
        <w:topLinePunct w:val="0"/>
        <w:bidi w:val="0"/>
        <w:spacing w:line="400" w:lineRule="exact"/>
        <w:rPr>
          <w:rFonts w:hint="eastAsia" w:ascii="微软雅黑" w:hAnsi="微软雅黑" w:eastAsia="微软雅黑"/>
          <w:color w:val="000000"/>
          <w:sz w:val="24"/>
        </w:rPr>
      </w:pPr>
      <w:r>
        <w:rPr>
          <w:rFonts w:hint="eastAsia" w:ascii="微软雅黑" w:hAnsi="微软雅黑" w:eastAsia="微软雅黑"/>
          <w:color w:val="000000"/>
          <w:sz w:val="24"/>
        </w:rPr>
        <w:t>地址：</w:t>
      </w:r>
      <w:r>
        <w:rPr>
          <w:rFonts w:hint="eastAsia" w:ascii="微软雅黑" w:hAnsi="微软雅黑" w:eastAsia="微软雅黑"/>
          <w:color w:val="000000"/>
          <w:sz w:val="24"/>
        </w:rPr>
        <w:tab/>
      </w:r>
      <w:r>
        <w:rPr>
          <w:rFonts w:hint="eastAsia" w:ascii="微软雅黑" w:hAnsi="微软雅黑" w:eastAsia="微软雅黑"/>
          <w:color w:val="000000"/>
          <w:sz w:val="24"/>
        </w:rPr>
        <w:t xml:space="preserve">                            邮编：</w:t>
      </w:r>
      <w:r>
        <w:rPr>
          <w:rFonts w:hint="eastAsia" w:ascii="微软雅黑" w:hAnsi="微软雅黑" w:eastAsia="微软雅黑"/>
          <w:color w:val="000000"/>
          <w:sz w:val="24"/>
        </w:rPr>
        <w:tab/>
      </w:r>
    </w:p>
    <w:p>
      <w:pPr>
        <w:keepLines w:val="0"/>
        <w:pageBreakBefore w:val="0"/>
        <w:kinsoku/>
        <w:overflowPunct/>
        <w:topLinePunct w:val="0"/>
        <w:bidi w:val="0"/>
        <w:spacing w:line="400" w:lineRule="exact"/>
        <w:rPr>
          <w:rFonts w:hint="eastAsia" w:ascii="微软雅黑" w:hAnsi="微软雅黑" w:eastAsia="微软雅黑"/>
          <w:color w:val="000000"/>
          <w:sz w:val="24"/>
        </w:rPr>
      </w:pPr>
      <w:r>
        <w:rPr>
          <w:rFonts w:hint="eastAsia" w:ascii="微软雅黑" w:hAnsi="微软雅黑" w:eastAsia="微软雅黑"/>
          <w:color w:val="000000"/>
          <w:sz w:val="24"/>
        </w:rPr>
        <w:t>电话：</w:t>
      </w:r>
      <w:r>
        <w:rPr>
          <w:rFonts w:hint="eastAsia" w:ascii="微软雅黑" w:hAnsi="微软雅黑" w:eastAsia="微软雅黑"/>
          <w:color w:val="000000"/>
          <w:sz w:val="24"/>
        </w:rPr>
        <w:tab/>
      </w:r>
      <w:r>
        <w:rPr>
          <w:rFonts w:hint="eastAsia" w:ascii="微软雅黑" w:hAnsi="微软雅黑" w:eastAsia="微软雅黑"/>
          <w:color w:val="000000"/>
          <w:sz w:val="24"/>
        </w:rPr>
        <w:t xml:space="preserve">                            传真：</w:t>
      </w:r>
    </w:p>
    <w:p>
      <w:pPr>
        <w:keepLines w:val="0"/>
        <w:pageBreakBefore w:val="0"/>
        <w:kinsoku/>
        <w:overflowPunct/>
        <w:topLinePunct w:val="0"/>
        <w:bidi w:val="0"/>
        <w:spacing w:line="400" w:lineRule="exact"/>
        <w:rPr>
          <w:rFonts w:hint="eastAsia" w:ascii="微软雅黑" w:hAnsi="微软雅黑" w:eastAsia="微软雅黑"/>
          <w:color w:val="000000"/>
          <w:sz w:val="24"/>
        </w:rPr>
      </w:pPr>
      <w:r>
        <w:rPr>
          <w:rFonts w:hint="eastAsia" w:ascii="微软雅黑" w:hAnsi="微软雅黑" w:eastAsia="微软雅黑"/>
          <w:color w:val="000000"/>
          <w:sz w:val="24"/>
        </w:rPr>
        <w:t>投标人代表姓名：</w:t>
      </w:r>
    </w:p>
    <w:p>
      <w:pPr>
        <w:keepLines w:val="0"/>
        <w:pageBreakBefore w:val="0"/>
        <w:kinsoku/>
        <w:overflowPunct/>
        <w:topLinePunct w:val="0"/>
        <w:bidi w:val="0"/>
        <w:spacing w:line="400" w:lineRule="exact"/>
        <w:rPr>
          <w:rFonts w:hint="eastAsia" w:ascii="微软雅黑" w:hAnsi="微软雅黑" w:eastAsia="微软雅黑"/>
          <w:color w:val="000000"/>
          <w:sz w:val="24"/>
        </w:rPr>
      </w:pPr>
      <w:r>
        <w:rPr>
          <w:rFonts w:hint="eastAsia" w:ascii="微软雅黑" w:hAnsi="微软雅黑" w:eastAsia="微软雅黑"/>
          <w:color w:val="000000"/>
          <w:sz w:val="24"/>
        </w:rPr>
        <w:t>投标人代表联系电话：      （办公）           （手机）</w:t>
      </w:r>
    </w:p>
    <w:p>
      <w:pPr>
        <w:keepLines w:val="0"/>
        <w:pageBreakBefore w:val="0"/>
        <w:kinsoku/>
        <w:overflowPunct/>
        <w:topLinePunct w:val="0"/>
        <w:bidi w:val="0"/>
        <w:spacing w:line="400" w:lineRule="exact"/>
        <w:rPr>
          <w:rFonts w:hint="eastAsia" w:ascii="微软雅黑" w:hAnsi="微软雅黑" w:eastAsia="微软雅黑"/>
          <w:color w:val="000000"/>
          <w:sz w:val="24"/>
        </w:rPr>
      </w:pPr>
      <w:r>
        <w:rPr>
          <w:rFonts w:hint="eastAsia" w:ascii="微软雅黑" w:hAnsi="微软雅黑" w:eastAsia="微软雅黑"/>
          <w:color w:val="000000"/>
          <w:sz w:val="24"/>
        </w:rPr>
        <w:t>E-mail：</w:t>
      </w:r>
    </w:p>
    <w:p>
      <w:pPr>
        <w:keepLines w:val="0"/>
        <w:pageBreakBefore w:val="0"/>
        <w:kinsoku/>
        <w:overflowPunct/>
        <w:topLinePunct w:val="0"/>
        <w:bidi w:val="0"/>
        <w:spacing w:line="400" w:lineRule="exact"/>
        <w:rPr>
          <w:rFonts w:hint="eastAsia" w:ascii="微软雅黑" w:hAnsi="微软雅黑" w:eastAsia="微软雅黑"/>
          <w:color w:val="000000"/>
          <w:sz w:val="24"/>
        </w:rPr>
      </w:pPr>
      <w:r>
        <w:rPr>
          <w:rFonts w:hint="eastAsia" w:ascii="微软雅黑" w:hAnsi="微软雅黑" w:eastAsia="微软雅黑"/>
          <w:color w:val="000000"/>
          <w:sz w:val="24"/>
        </w:rPr>
        <w:t>投标单位（盖章）：</w:t>
      </w:r>
      <w:r>
        <w:rPr>
          <w:rFonts w:hint="eastAsia" w:ascii="微软雅黑" w:hAnsi="微软雅黑" w:eastAsia="微软雅黑"/>
          <w:color w:val="000000"/>
          <w:sz w:val="24"/>
          <w:u w:val="single"/>
        </w:rPr>
        <w:t xml:space="preserve">                  </w:t>
      </w:r>
    </w:p>
    <w:p>
      <w:pPr>
        <w:keepLines w:val="0"/>
        <w:pageBreakBefore w:val="0"/>
        <w:kinsoku/>
        <w:overflowPunct/>
        <w:topLinePunct w:val="0"/>
        <w:bidi w:val="0"/>
        <w:spacing w:line="400" w:lineRule="exact"/>
        <w:rPr>
          <w:rFonts w:hint="eastAsia" w:ascii="微软雅黑" w:hAnsi="微软雅黑" w:eastAsia="微软雅黑"/>
          <w:color w:val="000000"/>
          <w:sz w:val="24"/>
          <w:u w:val="single"/>
        </w:rPr>
      </w:pPr>
      <w:r>
        <w:rPr>
          <w:rFonts w:hint="eastAsia" w:ascii="微软雅黑" w:hAnsi="微软雅黑" w:eastAsia="微软雅黑"/>
          <w:color w:val="000000"/>
          <w:sz w:val="24"/>
        </w:rPr>
        <w:t>投标人代表（签字）：</w:t>
      </w:r>
      <w:r>
        <w:rPr>
          <w:rFonts w:hint="eastAsia" w:ascii="微软雅黑" w:hAnsi="微软雅黑" w:eastAsia="微软雅黑"/>
          <w:color w:val="000000"/>
          <w:sz w:val="24"/>
          <w:u w:val="single"/>
        </w:rPr>
        <w:t xml:space="preserve">                </w:t>
      </w:r>
    </w:p>
    <w:p>
      <w:pPr>
        <w:keepLines w:val="0"/>
        <w:pageBreakBefore w:val="0"/>
        <w:kinsoku/>
        <w:overflowPunct/>
        <w:topLinePunct w:val="0"/>
        <w:bidi w:val="0"/>
        <w:spacing w:line="400" w:lineRule="exact"/>
        <w:rPr>
          <w:rFonts w:hint="eastAsia" w:ascii="微软雅黑" w:hAnsi="微软雅黑" w:eastAsia="微软雅黑"/>
          <w:color w:val="000000"/>
          <w:sz w:val="24"/>
          <w:u w:val="single"/>
        </w:rPr>
      </w:pPr>
      <w:r>
        <w:rPr>
          <w:rFonts w:hint="eastAsia" w:ascii="微软雅黑" w:hAnsi="微软雅黑" w:eastAsia="微软雅黑"/>
          <w:color w:val="000000"/>
          <w:sz w:val="24"/>
        </w:rPr>
        <w:t>日        期：</w:t>
      </w:r>
      <w:r>
        <w:rPr>
          <w:rFonts w:hint="eastAsia" w:ascii="微软雅黑" w:hAnsi="微软雅黑" w:eastAsia="微软雅黑"/>
          <w:color w:val="000000"/>
          <w:sz w:val="24"/>
          <w:u w:val="single"/>
        </w:rPr>
        <w:t xml:space="preserve">                     </w:t>
      </w:r>
    </w:p>
    <w:p>
      <w:pPr>
        <w:pStyle w:val="3"/>
      </w:pPr>
    </w:p>
    <w:p>
      <w:pPr>
        <w:pStyle w:val="2"/>
        <w:rPr>
          <w:rFonts w:hint="eastAsia" w:eastAsia="微软雅黑"/>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pPr>
          <w:pStyle w:val="10"/>
          <w:jc w:val="center"/>
        </w:pPr>
        <w:r>
          <w:fldChar w:fldCharType="begin"/>
        </w:r>
        <w:r>
          <w:instrText xml:space="preserve">PAGE   \* MERGEFORMAT</w:instrText>
        </w:r>
        <w:r>
          <w:fldChar w:fldCharType="separate"/>
        </w:r>
        <w:r>
          <w:rPr>
            <w:lang w:val="zh-CN"/>
          </w:rPr>
          <w:t>3</w:t>
        </w:r>
        <w: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heme="minorEastAsia" w:hAnsiTheme="minorEastAsia"/>
        <w:sz w:val="24"/>
        <w:szCs w:val="24"/>
      </w:rPr>
    </w:pPr>
    <w:r>
      <w:rPr>
        <w:rFonts w:hint="eastAsia" w:asciiTheme="minorEastAsia" w:hAnsiTheme="minorEastAsia"/>
        <w:sz w:val="24"/>
        <w:szCs w:val="24"/>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1ZmM2MWQ5YjAwMTY3NTUzMWYyMTRkMTljNjViYzkifQ=="/>
  </w:docVars>
  <w:rsids>
    <w:rsidRoot w:val="00530892"/>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20D3B"/>
    <w:rsid w:val="00E265CB"/>
    <w:rsid w:val="00E36C66"/>
    <w:rsid w:val="00E85FBB"/>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3B234C9"/>
    <w:rsid w:val="040E12F0"/>
    <w:rsid w:val="052F65AB"/>
    <w:rsid w:val="053C21DA"/>
    <w:rsid w:val="05772429"/>
    <w:rsid w:val="063B27C1"/>
    <w:rsid w:val="06F63781"/>
    <w:rsid w:val="08691809"/>
    <w:rsid w:val="0A2E7D2E"/>
    <w:rsid w:val="0C6C07F6"/>
    <w:rsid w:val="0C7C5845"/>
    <w:rsid w:val="0CAD008F"/>
    <w:rsid w:val="0DE54DDD"/>
    <w:rsid w:val="0E3C3073"/>
    <w:rsid w:val="0E544459"/>
    <w:rsid w:val="0E5F5B6B"/>
    <w:rsid w:val="0E6C3CDC"/>
    <w:rsid w:val="0EB115E1"/>
    <w:rsid w:val="0EC22769"/>
    <w:rsid w:val="0FDD12BC"/>
    <w:rsid w:val="1031492B"/>
    <w:rsid w:val="113A610C"/>
    <w:rsid w:val="1323176D"/>
    <w:rsid w:val="136B5FB3"/>
    <w:rsid w:val="13934C8A"/>
    <w:rsid w:val="139B2695"/>
    <w:rsid w:val="169A7F07"/>
    <w:rsid w:val="17073614"/>
    <w:rsid w:val="18C56ABE"/>
    <w:rsid w:val="18C740FB"/>
    <w:rsid w:val="1A0D2A1F"/>
    <w:rsid w:val="1B0E6548"/>
    <w:rsid w:val="1C0B4FDF"/>
    <w:rsid w:val="1C16479A"/>
    <w:rsid w:val="1C4170A8"/>
    <w:rsid w:val="1C5B2F04"/>
    <w:rsid w:val="1CF1772C"/>
    <w:rsid w:val="1EA413BD"/>
    <w:rsid w:val="1F2F4D5A"/>
    <w:rsid w:val="1F536863"/>
    <w:rsid w:val="209F6845"/>
    <w:rsid w:val="20EE2F4F"/>
    <w:rsid w:val="22B86521"/>
    <w:rsid w:val="24782E39"/>
    <w:rsid w:val="24AF4570"/>
    <w:rsid w:val="24B313FC"/>
    <w:rsid w:val="256C065C"/>
    <w:rsid w:val="25CE197B"/>
    <w:rsid w:val="263920D0"/>
    <w:rsid w:val="27FF17B9"/>
    <w:rsid w:val="28266776"/>
    <w:rsid w:val="29C32E28"/>
    <w:rsid w:val="2A7055D9"/>
    <w:rsid w:val="2ABF4217"/>
    <w:rsid w:val="2BA16A9E"/>
    <w:rsid w:val="2BB655EB"/>
    <w:rsid w:val="2CE548A9"/>
    <w:rsid w:val="2DE03868"/>
    <w:rsid w:val="2E036B4F"/>
    <w:rsid w:val="2F1D76D7"/>
    <w:rsid w:val="2F2E0DD3"/>
    <w:rsid w:val="30530CB9"/>
    <w:rsid w:val="310D21D7"/>
    <w:rsid w:val="31B61C41"/>
    <w:rsid w:val="334F7CF1"/>
    <w:rsid w:val="33512E4B"/>
    <w:rsid w:val="337C12F0"/>
    <w:rsid w:val="33A5028C"/>
    <w:rsid w:val="33EB71A2"/>
    <w:rsid w:val="340A6022"/>
    <w:rsid w:val="34CB5BC3"/>
    <w:rsid w:val="34E47465"/>
    <w:rsid w:val="3523054D"/>
    <w:rsid w:val="362C5540"/>
    <w:rsid w:val="37ED6F08"/>
    <w:rsid w:val="37FD118C"/>
    <w:rsid w:val="382C4A36"/>
    <w:rsid w:val="38AC6F88"/>
    <w:rsid w:val="39F347C1"/>
    <w:rsid w:val="3A3E06A3"/>
    <w:rsid w:val="3B0722D4"/>
    <w:rsid w:val="3B2A12CD"/>
    <w:rsid w:val="3D990912"/>
    <w:rsid w:val="3DB14A95"/>
    <w:rsid w:val="3E4F3034"/>
    <w:rsid w:val="3EFB08B9"/>
    <w:rsid w:val="40541F75"/>
    <w:rsid w:val="408373C1"/>
    <w:rsid w:val="409E30A8"/>
    <w:rsid w:val="40FC4CB0"/>
    <w:rsid w:val="41034C6C"/>
    <w:rsid w:val="41523008"/>
    <w:rsid w:val="45792638"/>
    <w:rsid w:val="45A92F0D"/>
    <w:rsid w:val="46BC3B00"/>
    <w:rsid w:val="47AB2817"/>
    <w:rsid w:val="487415C3"/>
    <w:rsid w:val="48C9616B"/>
    <w:rsid w:val="4AAA717F"/>
    <w:rsid w:val="4B45585D"/>
    <w:rsid w:val="4D325A00"/>
    <w:rsid w:val="4EC95138"/>
    <w:rsid w:val="4F3E52A8"/>
    <w:rsid w:val="4F586394"/>
    <w:rsid w:val="4FC40B35"/>
    <w:rsid w:val="502D133B"/>
    <w:rsid w:val="50ED6FCF"/>
    <w:rsid w:val="51000484"/>
    <w:rsid w:val="51283EEC"/>
    <w:rsid w:val="536F00DE"/>
    <w:rsid w:val="537416DA"/>
    <w:rsid w:val="53FA3250"/>
    <w:rsid w:val="55497E47"/>
    <w:rsid w:val="561B446B"/>
    <w:rsid w:val="56B26B95"/>
    <w:rsid w:val="574965E4"/>
    <w:rsid w:val="57C021E2"/>
    <w:rsid w:val="58335B73"/>
    <w:rsid w:val="592F33CC"/>
    <w:rsid w:val="5A6067B3"/>
    <w:rsid w:val="5AC801DA"/>
    <w:rsid w:val="5B2172A6"/>
    <w:rsid w:val="5C5D606F"/>
    <w:rsid w:val="5D010967"/>
    <w:rsid w:val="5EED37AD"/>
    <w:rsid w:val="60934C78"/>
    <w:rsid w:val="60FC4012"/>
    <w:rsid w:val="6106280A"/>
    <w:rsid w:val="617667AE"/>
    <w:rsid w:val="618F164B"/>
    <w:rsid w:val="61A241F9"/>
    <w:rsid w:val="62976BA7"/>
    <w:rsid w:val="62D46057"/>
    <w:rsid w:val="63EF192E"/>
    <w:rsid w:val="65BB3DCB"/>
    <w:rsid w:val="665A118E"/>
    <w:rsid w:val="66944814"/>
    <w:rsid w:val="66BB5779"/>
    <w:rsid w:val="66D01BEB"/>
    <w:rsid w:val="67714B74"/>
    <w:rsid w:val="682806B6"/>
    <w:rsid w:val="6B3E03B6"/>
    <w:rsid w:val="6BE34CA1"/>
    <w:rsid w:val="6BE91E82"/>
    <w:rsid w:val="6C386F35"/>
    <w:rsid w:val="6C4538C5"/>
    <w:rsid w:val="6D260567"/>
    <w:rsid w:val="6D517422"/>
    <w:rsid w:val="6E1038D1"/>
    <w:rsid w:val="6EA76F13"/>
    <w:rsid w:val="6F5D25CA"/>
    <w:rsid w:val="70C24E21"/>
    <w:rsid w:val="716B46DE"/>
    <w:rsid w:val="724F2B10"/>
    <w:rsid w:val="728F17A7"/>
    <w:rsid w:val="72E55401"/>
    <w:rsid w:val="72E96F62"/>
    <w:rsid w:val="73B93F82"/>
    <w:rsid w:val="74261A49"/>
    <w:rsid w:val="74AE0D50"/>
    <w:rsid w:val="75B826B8"/>
    <w:rsid w:val="7600251B"/>
    <w:rsid w:val="76444236"/>
    <w:rsid w:val="76BF0406"/>
    <w:rsid w:val="78054355"/>
    <w:rsid w:val="7A53275F"/>
    <w:rsid w:val="7C8B31E4"/>
    <w:rsid w:val="7EDD360A"/>
    <w:rsid w:val="7F4F2B67"/>
    <w:rsid w:val="7F683C0C"/>
    <w:rsid w:val="7FA62F03"/>
    <w:rsid w:val="7FB372A7"/>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5">
    <w:name w:val="Default Paragraph Font"/>
    <w:link w:val="16"/>
    <w:unhideWhenUsed/>
    <w:qFormat/>
    <w:uiPriority w:val="1"/>
    <w:rPr>
      <w:kern w:val="1"/>
    </w:rPr>
  </w:style>
  <w:style w:type="table" w:default="1" w:styleId="13">
    <w:name w:val="Normal Table"/>
    <w:autoRedefine/>
    <w:unhideWhenUsed/>
    <w:qFormat/>
    <w:uiPriority w:val="99"/>
    <w:tblPr>
      <w:tblCellMar>
        <w:top w:w="0" w:type="dxa"/>
        <w:left w:w="108" w:type="dxa"/>
        <w:bottom w:w="0" w:type="dxa"/>
        <w:right w:w="108" w:type="dxa"/>
      </w:tblCellMar>
    </w:tblPr>
  </w:style>
  <w:style w:type="paragraph" w:customStyle="1" w:styleId="2">
    <w:name w:val="Default"/>
    <w:next w:val="3"/>
    <w:autoRedefine/>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paragraph" w:customStyle="1" w:styleId="3">
    <w:name w:val="样式1"/>
    <w:basedOn w:val="1"/>
    <w:autoRedefine/>
    <w:qFormat/>
    <w:uiPriority w:val="0"/>
    <w:rPr>
      <w:b/>
      <w:color w:val="538135"/>
      <w:sz w:val="28"/>
    </w:rPr>
  </w:style>
  <w:style w:type="paragraph" w:styleId="6">
    <w:name w:val="Normal Indent"/>
    <w:basedOn w:val="1"/>
    <w:autoRedefine/>
    <w:qFormat/>
    <w:uiPriority w:val="0"/>
    <w:pPr>
      <w:snapToGrid w:val="0"/>
      <w:spacing w:line="300" w:lineRule="auto"/>
      <w:ind w:firstLine="556"/>
    </w:pPr>
    <w:rPr>
      <w:rFonts w:ascii="仿宋_GB2312" w:hAnsi="Times New Roman" w:eastAsia="仿宋_GB2312"/>
      <w:kern w:val="0"/>
      <w:szCs w:val="20"/>
    </w:rPr>
  </w:style>
  <w:style w:type="paragraph" w:styleId="7">
    <w:name w:val="annotation text"/>
    <w:basedOn w:val="1"/>
    <w:link w:val="27"/>
    <w:autoRedefine/>
    <w:unhideWhenUsed/>
    <w:qFormat/>
    <w:uiPriority w:val="99"/>
    <w:pPr>
      <w:jc w:val="left"/>
    </w:pPr>
  </w:style>
  <w:style w:type="paragraph" w:styleId="8">
    <w:name w:val="Date"/>
    <w:basedOn w:val="1"/>
    <w:next w:val="1"/>
    <w:link w:val="25"/>
    <w:autoRedefine/>
    <w:unhideWhenUsed/>
    <w:qFormat/>
    <w:uiPriority w:val="99"/>
    <w:pPr>
      <w:ind w:left="100" w:leftChars="2500"/>
    </w:pPr>
  </w:style>
  <w:style w:type="paragraph" w:styleId="9">
    <w:name w:val="Balloon Text"/>
    <w:basedOn w:val="1"/>
    <w:link w:val="28"/>
    <w:autoRedefine/>
    <w:unhideWhenUsed/>
    <w:qFormat/>
    <w:uiPriority w:val="99"/>
    <w:rPr>
      <w:sz w:val="18"/>
      <w:szCs w:val="18"/>
    </w:rPr>
  </w:style>
  <w:style w:type="paragraph" w:styleId="10">
    <w:name w:val="footer"/>
    <w:basedOn w:val="1"/>
    <w:link w:val="24"/>
    <w:autoRedefine/>
    <w:unhideWhenUsed/>
    <w:qFormat/>
    <w:uiPriority w:val="99"/>
    <w:pPr>
      <w:tabs>
        <w:tab w:val="center" w:pos="4153"/>
        <w:tab w:val="right" w:pos="8306"/>
      </w:tabs>
      <w:snapToGrid w:val="0"/>
      <w:jc w:val="left"/>
    </w:pPr>
    <w:rPr>
      <w:sz w:val="18"/>
      <w:szCs w:val="18"/>
    </w:rPr>
  </w:style>
  <w:style w:type="paragraph" w:styleId="11">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 Char"/>
    <w:basedOn w:val="1"/>
    <w:link w:val="15"/>
    <w:autoRedefine/>
    <w:qFormat/>
    <w:uiPriority w:val="0"/>
    <w:rPr>
      <w:kern w:val="1"/>
    </w:rPr>
  </w:style>
  <w:style w:type="character" w:styleId="17">
    <w:name w:val="Strong"/>
    <w:basedOn w:val="15"/>
    <w:autoRedefine/>
    <w:qFormat/>
    <w:uiPriority w:val="22"/>
    <w:rPr>
      <w:b/>
      <w:bCs/>
    </w:rPr>
  </w:style>
  <w:style w:type="character" w:styleId="18">
    <w:name w:val="page number"/>
    <w:basedOn w:val="15"/>
    <w:autoRedefine/>
    <w:qFormat/>
    <w:uiPriority w:val="0"/>
  </w:style>
  <w:style w:type="character" w:styleId="19">
    <w:name w:val="FollowedHyperlink"/>
    <w:basedOn w:val="15"/>
    <w:autoRedefine/>
    <w:unhideWhenUsed/>
    <w:qFormat/>
    <w:uiPriority w:val="99"/>
    <w:rPr>
      <w:color w:val="800080" w:themeColor="followedHyperlink"/>
      <w:u w:val="single"/>
      <w14:textFill>
        <w14:solidFill>
          <w14:schemeClr w14:val="folHlink"/>
        </w14:solidFill>
      </w14:textFill>
    </w:rPr>
  </w:style>
  <w:style w:type="character" w:styleId="20">
    <w:name w:val="Emphasis"/>
    <w:basedOn w:val="15"/>
    <w:autoRedefine/>
    <w:qFormat/>
    <w:uiPriority w:val="20"/>
    <w:rPr>
      <w:i/>
    </w:rPr>
  </w:style>
  <w:style w:type="character" w:styleId="21">
    <w:name w:val="Hyperlink"/>
    <w:basedOn w:val="15"/>
    <w:autoRedefine/>
    <w:unhideWhenUsed/>
    <w:qFormat/>
    <w:uiPriority w:val="99"/>
    <w:rPr>
      <w:color w:val="0000FF"/>
      <w:u w:val="none"/>
    </w:rPr>
  </w:style>
  <w:style w:type="character" w:styleId="22">
    <w:name w:val="annotation reference"/>
    <w:basedOn w:val="15"/>
    <w:autoRedefine/>
    <w:unhideWhenUsed/>
    <w:qFormat/>
    <w:uiPriority w:val="99"/>
    <w:rPr>
      <w:sz w:val="21"/>
      <w:szCs w:val="21"/>
    </w:rPr>
  </w:style>
  <w:style w:type="character" w:customStyle="1" w:styleId="23">
    <w:name w:val="页眉 Char"/>
    <w:basedOn w:val="15"/>
    <w:link w:val="11"/>
    <w:autoRedefine/>
    <w:qFormat/>
    <w:uiPriority w:val="99"/>
    <w:rPr>
      <w:sz w:val="18"/>
      <w:szCs w:val="18"/>
    </w:rPr>
  </w:style>
  <w:style w:type="character" w:customStyle="1" w:styleId="24">
    <w:name w:val="页脚 Char"/>
    <w:basedOn w:val="15"/>
    <w:link w:val="10"/>
    <w:autoRedefine/>
    <w:qFormat/>
    <w:uiPriority w:val="99"/>
    <w:rPr>
      <w:sz w:val="18"/>
      <w:szCs w:val="18"/>
    </w:rPr>
  </w:style>
  <w:style w:type="character" w:customStyle="1" w:styleId="25">
    <w:name w:val="日期 Char"/>
    <w:basedOn w:val="15"/>
    <w:link w:val="8"/>
    <w:autoRedefine/>
    <w:semiHidden/>
    <w:qFormat/>
    <w:uiPriority w:val="99"/>
  </w:style>
  <w:style w:type="paragraph" w:customStyle="1" w:styleId="26">
    <w:name w:val="List Paragraph"/>
    <w:basedOn w:val="1"/>
    <w:autoRedefine/>
    <w:qFormat/>
    <w:uiPriority w:val="34"/>
    <w:pPr>
      <w:ind w:firstLine="420" w:firstLineChars="200"/>
    </w:pPr>
  </w:style>
  <w:style w:type="character" w:customStyle="1" w:styleId="27">
    <w:name w:val="批注文字 Char"/>
    <w:basedOn w:val="15"/>
    <w:link w:val="7"/>
    <w:autoRedefine/>
    <w:semiHidden/>
    <w:qFormat/>
    <w:uiPriority w:val="99"/>
  </w:style>
  <w:style w:type="character" w:customStyle="1" w:styleId="28">
    <w:name w:val="批注框文本 Char"/>
    <w:basedOn w:val="15"/>
    <w:link w:val="9"/>
    <w:autoRedefine/>
    <w:semiHidden/>
    <w:qFormat/>
    <w:uiPriority w:val="99"/>
    <w:rPr>
      <w:sz w:val="18"/>
      <w:szCs w:val="18"/>
    </w:rPr>
  </w:style>
  <w:style w:type="paragraph" w:customStyle="1" w:styleId="29">
    <w:name w:val="z0"/>
    <w:basedOn w:val="1"/>
    <w:autoRedefine/>
    <w:qFormat/>
    <w:uiPriority w:val="0"/>
    <w:pPr>
      <w:spacing w:line="360" w:lineRule="auto"/>
      <w:ind w:firstLine="200" w:firstLineChars="200"/>
    </w:pPr>
    <w:rPr>
      <w:rFonts w:ascii="宋体" w:hAnsi="宋体" w:eastAsia="宋体"/>
      <w:sz w:val="24"/>
      <w:szCs w:val="24"/>
    </w:rPr>
  </w:style>
  <w:style w:type="paragraph" w:customStyle="1" w:styleId="30">
    <w:name w:val="报告正文"/>
    <w:basedOn w:val="1"/>
    <w:autoRedefine/>
    <w:qFormat/>
    <w:uiPriority w:val="0"/>
    <w:pPr>
      <w:tabs>
        <w:tab w:val="left" w:pos="0"/>
      </w:tabs>
      <w:spacing w:line="360" w:lineRule="auto"/>
      <w:ind w:firstLine="200" w:firstLineChars="200"/>
    </w:pPr>
    <w:rPr>
      <w:color w:val="000000"/>
      <w:sz w:val="24"/>
    </w:rPr>
  </w:style>
  <w:style w:type="paragraph" w:customStyle="1" w:styleId="31">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character" w:customStyle="1" w:styleId="32">
    <w:name w:val="font21"/>
    <w:basedOn w:val="15"/>
    <w:autoRedefine/>
    <w:qFormat/>
    <w:uiPriority w:val="0"/>
    <w:rPr>
      <w:rFonts w:hint="eastAsia" w:ascii="宋体" w:hAnsi="宋体" w:eastAsia="宋体" w:cs="宋体"/>
      <w:color w:val="000000"/>
      <w:sz w:val="24"/>
      <w:szCs w:val="24"/>
      <w:u w:val="none"/>
    </w:rPr>
  </w:style>
  <w:style w:type="character" w:customStyle="1" w:styleId="33">
    <w:name w:val="font41"/>
    <w:basedOn w:val="15"/>
    <w:autoRedefine/>
    <w:qFormat/>
    <w:uiPriority w:val="0"/>
    <w:rPr>
      <w:rFonts w:hint="default" w:ascii="Times New Roman" w:hAnsi="Times New Roman" w:cs="Times New Roman"/>
      <w:color w:val="000000"/>
      <w:sz w:val="22"/>
      <w:szCs w:val="22"/>
      <w:u w:val="none"/>
    </w:rPr>
  </w:style>
  <w:style w:type="character" w:customStyle="1" w:styleId="34">
    <w:name w:val="font11"/>
    <w:basedOn w:val="15"/>
    <w:autoRedefine/>
    <w:qFormat/>
    <w:uiPriority w:val="0"/>
    <w:rPr>
      <w:rFonts w:hint="eastAsia" w:ascii="宋体" w:hAnsi="宋体" w:eastAsia="宋体" w:cs="宋体"/>
      <w:color w:val="FF0000"/>
      <w:sz w:val="20"/>
      <w:szCs w:val="20"/>
      <w:u w:val="none"/>
    </w:rPr>
  </w:style>
  <w:style w:type="character" w:customStyle="1" w:styleId="35">
    <w:name w:val="font01"/>
    <w:basedOn w:val="15"/>
    <w:autoRedefine/>
    <w:qFormat/>
    <w:uiPriority w:val="0"/>
    <w:rPr>
      <w:rFonts w:hint="eastAsia" w:ascii="宋体" w:hAnsi="宋体" w:eastAsia="宋体" w:cs="宋体"/>
      <w:color w:val="000000"/>
      <w:sz w:val="21"/>
      <w:szCs w:val="21"/>
      <w:u w:val="none"/>
    </w:rPr>
  </w:style>
  <w:style w:type="character" w:customStyle="1" w:styleId="36">
    <w:name w:val="font61"/>
    <w:basedOn w:val="15"/>
    <w:autoRedefine/>
    <w:qFormat/>
    <w:uiPriority w:val="0"/>
    <w:rPr>
      <w:rFonts w:hint="default" w:ascii="Times New Roman" w:hAnsi="Times New Roman" w:cs="Times New Roman"/>
      <w:color w:val="000000"/>
      <w:sz w:val="19"/>
      <w:szCs w:val="19"/>
      <w:u w:val="none"/>
    </w:rPr>
  </w:style>
  <w:style w:type="character" w:customStyle="1" w:styleId="37">
    <w:name w:val="font51"/>
    <w:basedOn w:val="15"/>
    <w:autoRedefine/>
    <w:qFormat/>
    <w:uiPriority w:val="0"/>
    <w:rPr>
      <w:rFonts w:hint="eastAsia" w:ascii="宋体" w:hAnsi="宋体" w:eastAsia="宋体" w:cs="宋体"/>
      <w:color w:val="000000"/>
      <w:sz w:val="19"/>
      <w:szCs w:val="19"/>
      <w:u w:val="none"/>
    </w:rPr>
  </w:style>
  <w:style w:type="paragraph" w:customStyle="1" w:styleId="38">
    <w:name w:val="样式 标题 3条标题1.1.1Level 3 Headsect1.2.3h33rd levelH33Head 3..."/>
    <w:basedOn w:val="5"/>
    <w:autoRedefine/>
    <w:qFormat/>
    <w:uiPriority w:val="0"/>
    <w:pPr>
      <w:spacing w:before="0" w:after="0" w:line="360" w:lineRule="auto"/>
    </w:pPr>
    <w:rPr>
      <w:rFonts w:ascii="宋体" w:hAnsi="宋体"/>
      <w:sz w:val="24"/>
    </w:rPr>
  </w:style>
  <w:style w:type="paragraph" w:customStyle="1" w:styleId="39">
    <w:name w:val="纯文本1"/>
    <w:basedOn w:val="1"/>
    <w:autoRedefine/>
    <w:unhideWhenUsed/>
    <w:qFormat/>
    <w:uiPriority w:val="99"/>
    <w:pPr>
      <w:spacing w:beforeLines="0" w:afterLines="0"/>
    </w:pPr>
    <w:rPr>
      <w:rFonts w:hint="eastAsia" w:ascii="宋体" w:hAnsi="Courier New"/>
      <w:sz w:val="28"/>
    </w:rPr>
  </w:style>
  <w:style w:type="character" w:customStyle="1" w:styleId="40">
    <w:name w:val="tb-link"/>
    <w:basedOn w:val="15"/>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262</Words>
  <Characters>297</Characters>
  <Lines>13</Lines>
  <Paragraphs>3</Paragraphs>
  <TotalTime>1</TotalTime>
  <ScaleCrop>false</ScaleCrop>
  <LinksUpToDate>false</LinksUpToDate>
  <CharactersWithSpaces>427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咻咻咻</cp:lastModifiedBy>
  <dcterms:modified xsi:type="dcterms:W3CDTF">2024-12-09T03:47:28Z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1DA187D13B894B9886A6AA6B04E7D5AC</vt:lpwstr>
  </property>
  <property fmtid="{D5CDD505-2E9C-101B-9397-08002B2CF9AE}" pid="4" name="EagleCloud">
    <vt:lpwstr>{"watermark_type":"track","current_time":"2024-08-22 18:23","employee_id":"emp_fdcceb92-e7f0-4a5c-a809-ce6cab38c3a9","agent_id":"99c2b164ed46551b36849a91b5b016659fbb9ad13cabc2feed1aa1d4260b4c4b","process":"","custom_content":"科技租户","total_content":"2024-08-22 18:23-emp_fdcceb92-e7f0-4a5c-a809-ce6cab38c3a9-99c2b164ed46551b36849a91b5b016659fbb9ad13cabc2feed1aa1d4260b4c4b-{{process}}-科技租户"}|{"watermark_type":"track","current_time":"2024-11-29 14:29","employee_id":"emp_12e4261c-5a39-4456-b7d2-88c1b794baff","agent_id":"7458228a88105b73ac814daf3bedf7bf013dcc8766acd009c32724c80bd2b17a","process":"","custom_content":"科技租户","total_content":"2024-11-29 14:29-emp_12e4261c-5a39-4456-b7d2-88c1b794baff-7458228a88105b73ac814daf3bedf7bf013dcc8766acd009c32724c80bd2b17a-{{process}}-科技租户"}</vt:lpwstr>
  </property>
</Properties>
</file>