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微软雅黑" w:hAnsi="微软雅黑" w:eastAsia="微软雅黑" w:cs="微软雅黑"/>
          <w:b/>
          <w:sz w:val="30"/>
          <w:szCs w:val="30"/>
          <w:lang w:val="en-US" w:eastAsia="zh-CN"/>
        </w:rPr>
      </w:pPr>
      <w:r>
        <w:rPr>
          <w:rFonts w:hint="eastAsia" w:ascii="微软雅黑" w:hAnsi="微软雅黑" w:eastAsia="微软雅黑" w:cs="微软雅黑"/>
          <w:b/>
          <w:sz w:val="30"/>
          <w:szCs w:val="30"/>
          <w:lang w:val="en-US" w:eastAsia="zh-CN"/>
        </w:rPr>
        <w:t>靖锰公司2025年度二氧化锰矿采购项目</w:t>
      </w:r>
    </w:p>
    <w:p>
      <w:pPr>
        <w:spacing w:line="440" w:lineRule="exact"/>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邀请书</w:t>
      </w:r>
    </w:p>
    <w:p>
      <w:pPr>
        <w:pStyle w:val="12"/>
        <w:rPr>
          <w:rFonts w:hint="eastAsia" w:ascii="微软雅黑" w:hAnsi="微软雅黑" w:eastAsia="微软雅黑" w:cs="微软雅黑"/>
          <w:b/>
          <w:sz w:val="24"/>
          <w:szCs w:val="24"/>
        </w:rPr>
      </w:pPr>
      <w:bookmarkStart w:id="0" w:name="_Toc33189455"/>
    </w:p>
    <w:bookmarkEnd w:id="0"/>
    <w:p>
      <w:pPr>
        <w:spacing w:line="440" w:lineRule="exact"/>
        <w:jc w:val="both"/>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采购类别：</w:t>
      </w:r>
      <w:r>
        <w:rPr>
          <w:rFonts w:hint="eastAsia" w:ascii="微软雅黑" w:hAnsi="微软雅黑" w:eastAsia="微软雅黑" w:cs="微软雅黑"/>
          <w:b/>
          <w:sz w:val="24"/>
          <w:szCs w:val="24"/>
          <w:lang w:val="en-US" w:eastAsia="zh-CN"/>
        </w:rPr>
        <w:t>生产辅材</w:t>
      </w:r>
      <w:r>
        <w:rPr>
          <w:rFonts w:hint="eastAsia" w:ascii="微软雅黑" w:hAnsi="微软雅黑" w:eastAsia="微软雅黑" w:cs="微软雅黑"/>
          <w:b/>
          <w:sz w:val="24"/>
          <w:szCs w:val="24"/>
        </w:rPr>
        <w:t>类（注：请选择此类别，否则无法报名）</w:t>
      </w:r>
    </w:p>
    <w:p>
      <w:pPr>
        <w:pStyle w:val="12"/>
        <w:numPr>
          <w:ilvl w:val="0"/>
          <w:numId w:val="0"/>
        </w:numP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1.</w:t>
      </w:r>
      <w:r>
        <w:rPr>
          <w:rFonts w:hint="eastAsia" w:ascii="微软雅黑" w:hAnsi="微软雅黑" w:eastAsia="微软雅黑" w:cs="微软雅黑"/>
          <w:b/>
          <w:sz w:val="24"/>
          <w:szCs w:val="24"/>
        </w:rPr>
        <w:t>招标条件</w:t>
      </w:r>
    </w:p>
    <w:p>
      <w:pPr>
        <w:spacing w:line="400" w:lineRule="exact"/>
        <w:ind w:firstLine="420"/>
        <w:rPr>
          <w:rFonts w:hint="eastAsia"/>
          <w:lang w:val="en-US" w:eastAsia="zh-CN"/>
        </w:rPr>
      </w:pPr>
      <w:r>
        <w:rPr>
          <w:rFonts w:hint="eastAsia" w:ascii="微软雅黑" w:hAnsi="微软雅黑" w:eastAsia="微软雅黑" w:cs="宋体"/>
          <w:color w:val="000000" w:themeColor="text1"/>
          <w:kern w:val="0"/>
          <w:sz w:val="24"/>
          <w:szCs w:val="24"/>
          <w:u w:val="single"/>
          <w:lang w:val="en-US" w:eastAsia="zh-CN"/>
          <w14:textFill>
            <w14:solidFill>
              <w14:schemeClr w14:val="tx1"/>
            </w14:solidFill>
          </w14:textFill>
        </w:rPr>
        <w:t>靖锰公司2025年度二氧化锰矿采购项目</w:t>
      </w:r>
      <w:r>
        <w:rPr>
          <w:rFonts w:hint="eastAsia" w:ascii="微软雅黑" w:hAnsi="微软雅黑" w:eastAsia="微软雅黑" w:cs="微软雅黑"/>
          <w:sz w:val="22"/>
          <w:szCs w:val="22"/>
        </w:rPr>
        <w:t>已具备招标</w:t>
      </w:r>
      <w:r>
        <w:rPr>
          <w:rFonts w:hint="eastAsia" w:ascii="微软雅黑" w:hAnsi="微软雅黑" w:eastAsia="微软雅黑" w:cs="微软雅黑"/>
          <w:sz w:val="22"/>
          <w:szCs w:val="22"/>
          <w:lang w:val="en-US" w:eastAsia="zh-CN"/>
        </w:rPr>
        <w:t>采购</w:t>
      </w:r>
      <w:r>
        <w:rPr>
          <w:rFonts w:hint="eastAsia" w:ascii="微软雅黑" w:hAnsi="微软雅黑" w:eastAsia="微软雅黑" w:cs="微软雅黑"/>
          <w:sz w:val="22"/>
          <w:szCs w:val="22"/>
        </w:rPr>
        <w:t>条件，现邀请</w:t>
      </w:r>
      <w:r>
        <w:rPr>
          <w:rFonts w:hint="eastAsia" w:ascii="微软雅黑" w:hAnsi="微软雅黑" w:eastAsia="微软雅黑" w:cs="微软雅黑"/>
          <w:sz w:val="22"/>
          <w:szCs w:val="22"/>
          <w:lang w:val="en-US" w:eastAsia="zh-CN"/>
        </w:rPr>
        <w:t>各福美钠应商</w:t>
      </w:r>
      <w:r>
        <w:rPr>
          <w:rFonts w:hint="eastAsia" w:ascii="微软雅黑" w:hAnsi="微软雅黑" w:eastAsia="微软雅黑" w:cs="微软雅黑"/>
          <w:sz w:val="22"/>
          <w:szCs w:val="22"/>
        </w:rPr>
        <w:t>参与本项目投标，</w:t>
      </w:r>
      <w:r>
        <w:rPr>
          <w:rFonts w:hint="eastAsia" w:ascii="微软雅黑" w:hAnsi="微软雅黑" w:eastAsia="微软雅黑" w:cs="微软雅黑"/>
          <w:sz w:val="22"/>
          <w:szCs w:val="22"/>
          <w:highlight w:val="none"/>
        </w:rPr>
        <w:t>招标人为</w:t>
      </w:r>
      <w:r>
        <w:rPr>
          <w:rFonts w:hint="eastAsia" w:ascii="微软雅黑" w:hAnsi="微软雅黑" w:eastAsia="微软雅黑" w:cs="微软雅黑"/>
          <w:sz w:val="22"/>
          <w:szCs w:val="22"/>
          <w:highlight w:val="none"/>
          <w:lang w:val="en-US" w:eastAsia="zh-CN"/>
        </w:rPr>
        <w:t>靖西市锰矿有限责任公司</w:t>
      </w:r>
      <w:r>
        <w:rPr>
          <w:rFonts w:hint="eastAsia" w:ascii="微软雅黑" w:hAnsi="微软雅黑" w:eastAsia="微软雅黑" w:cs="微软雅黑"/>
          <w:sz w:val="22"/>
          <w:szCs w:val="22"/>
          <w:lang w:eastAsia="zh-CN"/>
        </w:rPr>
        <w:t>，组织单位：</w:t>
      </w:r>
      <w:r>
        <w:rPr>
          <w:rFonts w:hint="eastAsia" w:ascii="微软雅黑" w:hAnsi="微软雅黑" w:eastAsia="微软雅黑" w:cs="微软雅黑"/>
          <w:sz w:val="22"/>
          <w:szCs w:val="22"/>
          <w:u w:val="single"/>
          <w:lang w:val="en-US" w:eastAsia="zh-CN"/>
        </w:rPr>
        <w:t>靖西市锰矿有限责任公司。</w:t>
      </w:r>
    </w:p>
    <w:p>
      <w:pPr>
        <w:pStyle w:val="12"/>
        <w:numPr>
          <w:ilvl w:val="0"/>
          <w:numId w:val="1"/>
        </w:numPr>
        <w:rPr>
          <w:rFonts w:hint="eastAsia" w:ascii="微软雅黑" w:hAnsi="微软雅黑" w:eastAsia="微软雅黑" w:cs="微软雅黑"/>
          <w:b/>
          <w:sz w:val="24"/>
          <w:szCs w:val="24"/>
        </w:rPr>
      </w:pPr>
      <w:bookmarkStart w:id="1" w:name="_Toc33189456"/>
      <w:r>
        <w:rPr>
          <w:rFonts w:hint="eastAsia" w:ascii="微软雅黑" w:hAnsi="微软雅黑" w:eastAsia="微软雅黑" w:cs="微软雅黑"/>
          <w:b/>
          <w:sz w:val="24"/>
          <w:szCs w:val="24"/>
          <w:lang w:val="en-US" w:eastAsia="zh-CN"/>
        </w:rPr>
        <w:t>招标单位简介</w:t>
      </w:r>
      <w:bookmarkEnd w:id="1"/>
      <w:r>
        <w:rPr>
          <w:rFonts w:hint="eastAsia" w:ascii="微软雅黑" w:hAnsi="微软雅黑" w:eastAsia="微软雅黑" w:cs="微软雅黑"/>
          <w:b/>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val="0"/>
          <w:bCs/>
          <w:kern w:val="2"/>
          <w:sz w:val="22"/>
          <w:szCs w:val="22"/>
          <w:lang w:val="en-US" w:eastAsia="zh-CN" w:bidi="ar-SA"/>
        </w:rPr>
      </w:pPr>
      <w:r>
        <w:rPr>
          <w:rFonts w:hint="eastAsia" w:ascii="微软雅黑" w:hAnsi="微软雅黑" w:eastAsia="微软雅黑" w:cs="微软雅黑"/>
          <w:b w:val="0"/>
          <w:bCs/>
          <w:kern w:val="2"/>
          <w:sz w:val="22"/>
          <w:szCs w:val="22"/>
          <w:lang w:val="en-US" w:eastAsia="zh-CN" w:bidi="ar-SA"/>
        </w:rPr>
        <w:t>吉利科技集团隶属于世界500强吉利控股集团，是一家以新材料、新能源、摩旅文化为核心业务的大型产业集团，同步战略投资低空出行、商业航天和创新孵化业务等。公司主营业务涵盖新材料上下游投资与开发、材料加工、分布式能源开发与综合利用、电池制造与回收利用、摩托车制造及摩旅文化推广。成立仅4年以来，吉利科技集团资产规模已超1000亿元，实现年营收近500亿元，员工26000人，专利数超1.5万项。</w:t>
      </w:r>
    </w:p>
    <w:p>
      <w:pPr>
        <w:spacing w:line="440" w:lineRule="exact"/>
        <w:ind w:firstLine="440" w:firstLineChars="200"/>
        <w:rPr>
          <w:rFonts w:hint="eastAsia" w:ascii="宋体" w:hAnsi="宋体" w:eastAsia="宋体" w:cs="宋体"/>
          <w:sz w:val="24"/>
          <w:lang w:val="en-US" w:eastAsia="zh-CN"/>
        </w:rPr>
      </w:pPr>
      <w:r>
        <w:rPr>
          <w:rFonts w:hint="eastAsia" w:ascii="微软雅黑" w:hAnsi="微软雅黑" w:eastAsia="微软雅黑" w:cs="微软雅黑"/>
          <w:b w:val="0"/>
          <w:bCs/>
          <w:kern w:val="2"/>
          <w:sz w:val="22"/>
          <w:szCs w:val="22"/>
          <w:lang w:val="en-US" w:eastAsia="zh-CN" w:bidi="ar-SA"/>
        </w:rPr>
        <w:t>靖西市锰矿有限责任公司位于广西靖西市湖润镇湖润街，主营锰矿石集约化开采、电解金属锰产品加工及销售贸易，现有湖润矿区、新兴矿区2个矿区，总面积达11.2平方公里，已探明矿石储量2000万吨，远景储量将达到5000万吨。近年来，公司全力推进生态锰一体化项目建设，利用原矿、电价等优势，积极发展锰矿石精深加工，先后整合并购周边多家电解金属锰产品加工企业及生产线，随着原4条电解金属锰生产线升级改造项目建成投产，电解金属锰产能将达到8.5万吨/年。</w:t>
      </w:r>
    </w:p>
    <w:p>
      <w:pPr>
        <w:pStyle w:val="12"/>
        <w:numPr>
          <w:ilvl w:val="0"/>
          <w:numId w:val="1"/>
        </w:numP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采购</w:t>
      </w:r>
      <w:r>
        <w:rPr>
          <w:rFonts w:hint="eastAsia" w:ascii="微软雅黑" w:hAnsi="微软雅黑" w:eastAsia="微软雅黑" w:cs="微软雅黑"/>
          <w:b/>
          <w:sz w:val="24"/>
          <w:szCs w:val="24"/>
        </w:rPr>
        <w:t>范围</w:t>
      </w:r>
    </w:p>
    <w:tbl>
      <w:tblPr>
        <w:tblStyle w:val="6"/>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96"/>
        <w:gridCol w:w="1434"/>
        <w:gridCol w:w="1177"/>
        <w:gridCol w:w="1619"/>
        <w:gridCol w:w="2625"/>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5" w:type="dxa"/>
          <w:trHeight w:val="163" w:hRule="atLeast"/>
        </w:trPr>
        <w:tc>
          <w:tcPr>
            <w:tcW w:w="884" w:type="dxa"/>
          </w:tcPr>
          <w:p>
            <w:pPr>
              <w:pStyle w:val="12"/>
              <w:numPr>
                <w:ilvl w:val="0"/>
                <w:numId w:val="0"/>
              </w:numPr>
              <w:rPr>
                <w:rFonts w:hint="eastAsia"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序号</w:t>
            </w:r>
          </w:p>
        </w:tc>
        <w:tc>
          <w:tcPr>
            <w:tcW w:w="1496" w:type="dxa"/>
            <w:vAlign w:val="center"/>
          </w:tcPr>
          <w:p>
            <w:pPr>
              <w:keepNext w:val="0"/>
              <w:keepLines w:val="0"/>
              <w:widowControl/>
              <w:suppressLineNumbers w:val="0"/>
              <w:jc w:val="center"/>
              <w:textAlignment w:val="center"/>
              <w:rPr>
                <w:rFonts w:hint="default"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单位名称</w:t>
            </w:r>
          </w:p>
        </w:tc>
        <w:tc>
          <w:tcPr>
            <w:tcW w:w="1434" w:type="dxa"/>
            <w:vAlign w:val="center"/>
          </w:tcPr>
          <w:p>
            <w:pPr>
              <w:keepNext w:val="0"/>
              <w:keepLines w:val="0"/>
              <w:widowControl/>
              <w:suppressLineNumbers w:val="0"/>
              <w:jc w:val="center"/>
              <w:textAlignment w:val="center"/>
              <w:rPr>
                <w:rFonts w:hint="eastAsia" w:ascii="ˎ̥" w:hAnsi="ˎ̥" w:eastAsia="ˎ̥" w:cs="ˎ̥"/>
                <w:b/>
                <w:bCs/>
                <w:i w:val="0"/>
                <w:iCs w:val="0"/>
                <w:color w:val="000000"/>
                <w:kern w:val="0"/>
                <w:sz w:val="24"/>
                <w:szCs w:val="24"/>
                <w:u w:val="none"/>
                <w:lang w:val="en-US" w:eastAsia="zh-CN" w:bidi="ar"/>
              </w:rPr>
            </w:pPr>
            <w:r>
              <w:rPr>
                <w:rFonts w:hint="default" w:ascii="ˎ̥" w:hAnsi="ˎ̥" w:eastAsia="ˎ̥" w:cs="ˎ̥"/>
                <w:b/>
                <w:bCs/>
                <w:i w:val="0"/>
                <w:iCs w:val="0"/>
                <w:color w:val="000000"/>
                <w:kern w:val="0"/>
                <w:sz w:val="24"/>
                <w:szCs w:val="24"/>
                <w:u w:val="none"/>
                <w:lang w:val="en-US" w:eastAsia="zh-CN" w:bidi="ar"/>
              </w:rPr>
              <w:t>物料名称</w:t>
            </w:r>
          </w:p>
        </w:tc>
        <w:tc>
          <w:tcPr>
            <w:tcW w:w="1177" w:type="dxa"/>
            <w:vAlign w:val="center"/>
          </w:tcPr>
          <w:p>
            <w:pPr>
              <w:keepNext w:val="0"/>
              <w:keepLines w:val="0"/>
              <w:widowControl/>
              <w:suppressLineNumbers w:val="0"/>
              <w:jc w:val="center"/>
              <w:textAlignment w:val="center"/>
              <w:rPr>
                <w:rFonts w:hint="eastAsia" w:ascii="ˎ̥" w:hAnsi="ˎ̥" w:eastAsia="ˎ̥" w:cs="ˎ̥"/>
                <w:b/>
                <w:bCs/>
                <w:i w:val="0"/>
                <w:iCs w:val="0"/>
                <w:color w:val="000000"/>
                <w:kern w:val="0"/>
                <w:sz w:val="24"/>
                <w:szCs w:val="24"/>
                <w:u w:val="none"/>
                <w:lang w:val="en-US" w:eastAsia="zh-CN" w:bidi="ar"/>
              </w:rPr>
            </w:pPr>
            <w:r>
              <w:rPr>
                <w:rFonts w:hint="default" w:ascii="ˎ̥" w:hAnsi="ˎ̥" w:eastAsia="ˎ̥" w:cs="ˎ̥"/>
                <w:b/>
                <w:bCs/>
                <w:i w:val="0"/>
                <w:iCs w:val="0"/>
                <w:color w:val="000000"/>
                <w:kern w:val="0"/>
                <w:sz w:val="24"/>
                <w:szCs w:val="24"/>
                <w:u w:val="none"/>
                <w:lang w:val="en-US" w:eastAsia="zh-CN" w:bidi="ar"/>
              </w:rPr>
              <w:t>计量单位</w:t>
            </w:r>
          </w:p>
        </w:tc>
        <w:tc>
          <w:tcPr>
            <w:tcW w:w="1619" w:type="dxa"/>
            <w:vAlign w:val="center"/>
          </w:tcPr>
          <w:p>
            <w:pPr>
              <w:keepNext w:val="0"/>
              <w:keepLines w:val="0"/>
              <w:widowControl/>
              <w:suppressLineNumbers w:val="0"/>
              <w:jc w:val="center"/>
              <w:textAlignment w:val="center"/>
              <w:rPr>
                <w:rFonts w:hint="eastAsia"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预估数量</w:t>
            </w:r>
          </w:p>
        </w:tc>
        <w:tc>
          <w:tcPr>
            <w:tcW w:w="2625" w:type="dxa"/>
            <w:vAlign w:val="center"/>
          </w:tcPr>
          <w:p>
            <w:pPr>
              <w:pStyle w:val="12"/>
              <w:numPr>
                <w:ilvl w:val="0"/>
                <w:numId w:val="0"/>
              </w:numPr>
              <w:jc w:val="center"/>
              <w:rPr>
                <w:rFonts w:hint="eastAsia"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收货地址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5" w:type="dxa"/>
          <w:trHeight w:val="337" w:hRule="atLeast"/>
        </w:trPr>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149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靖锰公司</w:t>
            </w:r>
          </w:p>
        </w:tc>
        <w:tc>
          <w:tcPr>
            <w:tcW w:w="1434" w:type="dxa"/>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MnO2≧25%,目数≧95%，水分≦10%</w:t>
            </w:r>
          </w:p>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（详见技术任务书）</w:t>
            </w:r>
          </w:p>
        </w:tc>
        <w:tc>
          <w:tcPr>
            <w:tcW w:w="11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16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12000</w:t>
            </w:r>
          </w:p>
        </w:tc>
        <w:tc>
          <w:tcPr>
            <w:tcW w:w="2625" w:type="dxa"/>
            <w:vAlign w:val="center"/>
          </w:tcPr>
          <w:p>
            <w:pPr>
              <w:pStyle w:val="12"/>
              <w:numPr>
                <w:ilvl w:val="0"/>
                <w:numId w:val="0"/>
              </w:numPr>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广西靖西市湖润镇湖润镇新兴街道厂区辅料仓库内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20" w:type="dxa"/>
            <w:gridSpan w:val="7"/>
          </w:tcPr>
          <w:p>
            <w:pPr>
              <w:pStyle w:val="12"/>
              <w:numPr>
                <w:ilvl w:val="0"/>
                <w:numId w:val="0"/>
              </w:numP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技术要求：MnO2≧25%,目数≧95%，水分≦10%</w:t>
            </w:r>
          </w:p>
          <w:p>
            <w:pPr>
              <w:pStyle w:val="12"/>
              <w:numPr>
                <w:ilvl w:val="0"/>
                <w:numId w:val="0"/>
              </w:numP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备注：详见附件《技术任务书》</w:t>
            </w:r>
          </w:p>
        </w:tc>
      </w:tr>
    </w:tbl>
    <w:p>
      <w:pPr>
        <w:pStyle w:val="12"/>
        <w:numPr>
          <w:ilvl w:val="0"/>
          <w:numId w:val="0"/>
        </w:numPr>
        <w:rPr>
          <w:rFonts w:hint="eastAsia" w:ascii="微软雅黑" w:hAnsi="微软雅黑" w:eastAsia="微软雅黑" w:cs="微软雅黑"/>
          <w:b/>
          <w:sz w:val="24"/>
          <w:szCs w:val="24"/>
        </w:rPr>
      </w:pPr>
    </w:p>
    <w:p>
      <w:pPr>
        <w:pStyle w:val="12"/>
        <w:numPr>
          <w:ilvl w:val="0"/>
          <w:numId w:val="1"/>
        </w:numPr>
        <w:ind w:left="0" w:leftChars="0" w:firstLine="0" w:firstLineChars="0"/>
        <w:rPr>
          <w:rFonts w:hint="eastAsia" w:ascii="微软雅黑" w:hAnsi="微软雅黑" w:eastAsia="微软雅黑" w:cs="微软雅黑"/>
          <w:b/>
          <w:sz w:val="24"/>
          <w:szCs w:val="24"/>
          <w:highlight w:val="none"/>
        </w:rPr>
      </w:pPr>
      <w:bookmarkStart w:id="2" w:name="_Toc33189457"/>
      <w:r>
        <w:rPr>
          <w:rFonts w:hint="eastAsia" w:ascii="微软雅黑" w:hAnsi="微软雅黑" w:eastAsia="微软雅黑" w:cs="微软雅黑"/>
          <w:b/>
          <w:sz w:val="24"/>
          <w:szCs w:val="24"/>
          <w:highlight w:val="none"/>
          <w:lang w:val="en-US" w:eastAsia="zh-CN"/>
        </w:rPr>
        <w:t>定价、供货方式</w:t>
      </w:r>
    </w:p>
    <w:p>
      <w:pPr>
        <w:pStyle w:val="12"/>
        <w:numPr>
          <w:ilvl w:val="0"/>
          <w:numId w:val="2"/>
        </w:numPr>
        <w:ind w:left="-20" w:leftChars="0" w:firstLine="440" w:firstLineChars="0"/>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val="0"/>
          <w:bCs w:val="0"/>
          <w:color w:val="auto"/>
          <w:kern w:val="2"/>
          <w:sz w:val="22"/>
          <w:szCs w:val="22"/>
          <w:highlight w:val="none"/>
          <w:lang w:val="en-US" w:eastAsia="zh-CN" w:bidi="ar-SA"/>
        </w:rPr>
        <w:t>本次定价确定每项产品价格。单价最低者为中标单位，</w:t>
      </w:r>
      <w:r>
        <w:rPr>
          <w:rFonts w:hint="eastAsia" w:ascii="微软雅黑" w:hAnsi="微软雅黑" w:eastAsia="微软雅黑" w:cs="微软雅黑"/>
          <w:color w:val="auto"/>
          <w:sz w:val="22"/>
          <w:szCs w:val="22"/>
          <w:highlight w:val="none"/>
          <w:lang w:val="en-US" w:eastAsia="zh-CN"/>
        </w:rPr>
        <w:t>本项目选择一家中标单位。</w:t>
      </w:r>
    </w:p>
    <w:p>
      <w:pPr>
        <w:pStyle w:val="12"/>
        <w:numPr>
          <w:ilvl w:val="0"/>
          <w:numId w:val="2"/>
        </w:numPr>
        <w:ind w:left="-20" w:leftChars="0" w:firstLine="440" w:firstLineChars="0"/>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val="0"/>
          <w:bCs w:val="0"/>
          <w:color w:val="auto"/>
          <w:kern w:val="2"/>
          <w:sz w:val="22"/>
          <w:szCs w:val="22"/>
          <w:highlight w:val="none"/>
          <w:lang w:val="en-US" w:eastAsia="zh-CN" w:bidi="ar-SA"/>
        </w:rPr>
        <w:t>固定单价结算，合同签订后，供方按照甲方每批需求量进行供货，验收无误后按批次结算。按月结算付款，结算金额=单价*送货数量，</w:t>
      </w:r>
      <w:r>
        <w:rPr>
          <w:rFonts w:hint="eastAsia" w:ascii="微软雅黑" w:hAnsi="微软雅黑" w:eastAsia="微软雅黑" w:cs="微软雅黑"/>
          <w:sz w:val="22"/>
          <w:szCs w:val="22"/>
        </w:rPr>
        <w:t>乙方根据双方确认的付款金额开具税率为</w:t>
      </w:r>
      <w:r>
        <w:rPr>
          <w:rFonts w:hint="eastAsia" w:ascii="微软雅黑" w:hAnsi="微软雅黑" w:eastAsia="微软雅黑" w:cs="微软雅黑"/>
          <w:sz w:val="22"/>
          <w:szCs w:val="22"/>
          <w:lang w:val="en-US" w:eastAsia="zh-CN"/>
        </w:rPr>
        <w:t>13</w:t>
      </w:r>
      <w:r>
        <w:rPr>
          <w:rFonts w:hint="eastAsia" w:ascii="微软雅黑" w:hAnsi="微软雅黑" w:eastAsia="微软雅黑" w:cs="微软雅黑"/>
          <w:sz w:val="22"/>
          <w:szCs w:val="22"/>
        </w:rPr>
        <w:t>%的增值税专用发票并在</w:t>
      </w:r>
      <w:r>
        <w:rPr>
          <w:rFonts w:hint="eastAsia" w:ascii="微软雅黑" w:hAnsi="微软雅黑" w:eastAsia="微软雅黑" w:cs="微软雅黑"/>
          <w:sz w:val="22"/>
          <w:szCs w:val="22"/>
          <w:lang w:val="en-US" w:eastAsia="zh-CN"/>
        </w:rPr>
        <w:t>7个工作</w:t>
      </w:r>
      <w:r>
        <w:rPr>
          <w:rFonts w:hint="eastAsia" w:ascii="微软雅黑" w:hAnsi="微软雅黑" w:eastAsia="微软雅黑" w:cs="微软雅黑"/>
          <w:sz w:val="22"/>
          <w:szCs w:val="22"/>
        </w:rPr>
        <w:t>日内向甲方交付发票，甲方在发票登记的开票时间起</w:t>
      </w:r>
      <w:r>
        <w:rPr>
          <w:rFonts w:hint="eastAsia" w:ascii="微软雅黑" w:hAnsi="微软雅黑" w:eastAsia="微软雅黑" w:cs="微软雅黑"/>
          <w:sz w:val="22"/>
          <w:szCs w:val="22"/>
          <w:lang w:val="en-US" w:eastAsia="zh-CN"/>
        </w:rPr>
        <w:t>30</w:t>
      </w:r>
      <w:r>
        <w:rPr>
          <w:rFonts w:hint="eastAsia" w:ascii="微软雅黑" w:hAnsi="微软雅黑" w:eastAsia="微软雅黑" w:cs="微软雅黑"/>
          <w:sz w:val="22"/>
          <w:szCs w:val="22"/>
        </w:rPr>
        <w:t>日内付款</w:t>
      </w:r>
      <w:r>
        <w:rPr>
          <w:rFonts w:hint="eastAsia" w:ascii="微软雅黑" w:hAnsi="微软雅黑" w:eastAsia="微软雅黑" w:cs="微软雅黑"/>
          <w:kern w:val="0"/>
          <w:sz w:val="22"/>
          <w:szCs w:val="22"/>
        </w:rPr>
        <w:t>。</w:t>
      </w:r>
    </w:p>
    <w:p>
      <w:pPr>
        <w:pStyle w:val="12"/>
        <w:numPr>
          <w:ilvl w:val="0"/>
          <w:numId w:val="2"/>
        </w:numPr>
        <w:ind w:left="-20" w:leftChars="0" w:firstLine="440" w:firstLineChars="0"/>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val="0"/>
          <w:bCs w:val="0"/>
          <w:color w:val="auto"/>
          <w:kern w:val="2"/>
          <w:sz w:val="22"/>
          <w:szCs w:val="22"/>
          <w:highlight w:val="none"/>
          <w:lang w:val="en-US" w:eastAsia="zh-CN" w:bidi="ar-SA"/>
        </w:rPr>
        <w:t>供货周期：合同签订之日起逐批发货，按需通知内完成供货。</w:t>
      </w:r>
    </w:p>
    <w:bookmarkEnd w:id="2"/>
    <w:p>
      <w:pPr>
        <w:pStyle w:val="12"/>
        <w:numPr>
          <w:ilvl w:val="0"/>
          <w:numId w:val="1"/>
        </w:numPr>
        <w:ind w:left="0" w:leftChars="0" w:firstLine="0" w:firstLineChars="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投标人资格要</w:t>
      </w:r>
      <w:r>
        <w:rPr>
          <w:rFonts w:hint="eastAsia" w:ascii="微软雅黑" w:hAnsi="微软雅黑" w:eastAsia="微软雅黑" w:cs="微软雅黑"/>
          <w:b/>
          <w:sz w:val="24"/>
          <w:szCs w:val="24"/>
          <w:highlight w:val="none"/>
          <w:lang w:val="en-US" w:eastAsia="zh-CN"/>
        </w:rPr>
        <w:t>求</w:t>
      </w:r>
    </w:p>
    <w:p>
      <w:pPr>
        <w:spacing w:line="400" w:lineRule="exact"/>
        <w:ind w:firstLine="440" w:firstLineChars="200"/>
        <w:rPr>
          <w:rFonts w:hint="eastAsia"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rPr>
        <w:t>本次</w:t>
      </w:r>
      <w:r>
        <w:rPr>
          <w:rFonts w:hint="eastAsia" w:ascii="微软雅黑" w:hAnsi="微软雅黑" w:eastAsia="微软雅黑" w:cs="微软雅黑"/>
          <w:sz w:val="22"/>
          <w:szCs w:val="22"/>
          <w:highlight w:val="none"/>
          <w:lang w:val="en-US" w:eastAsia="zh-CN"/>
        </w:rPr>
        <w:t>采购</w:t>
      </w:r>
      <w:r>
        <w:rPr>
          <w:rFonts w:hint="eastAsia" w:ascii="微软雅黑" w:hAnsi="微软雅黑" w:eastAsia="微软雅黑" w:cs="微软雅黑"/>
          <w:sz w:val="22"/>
          <w:szCs w:val="22"/>
          <w:highlight w:val="none"/>
        </w:rPr>
        <w:t>招标要求投标人具备以下资质</w:t>
      </w:r>
      <w:r>
        <w:rPr>
          <w:rFonts w:hint="eastAsia" w:ascii="微软雅黑" w:hAnsi="微软雅黑" w:eastAsia="微软雅黑" w:cs="微软雅黑"/>
          <w:sz w:val="22"/>
          <w:szCs w:val="22"/>
          <w:highlight w:val="none"/>
          <w:lang w:eastAsia="zh-CN"/>
        </w:rPr>
        <w:t>。</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1.投价人须在中国境内注册，有独立法人资格和承担民事责任的能力；</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2.没有处于被责令停业，财产被接管、冻结及破产状态；</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3.遵守中华人民共和国有关法律、法规和条例。</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4.具有自行生产制造能力，</w:t>
      </w:r>
      <w:r>
        <w:rPr>
          <w:rFonts w:hint="eastAsia" w:ascii="微软雅黑" w:hAnsi="微软雅黑" w:eastAsia="微软雅黑" w:cs="微软雅黑"/>
          <w:color w:val="auto"/>
          <w:sz w:val="22"/>
          <w:szCs w:val="22"/>
          <w:highlight w:val="yellow"/>
          <w:lang w:val="en-US" w:eastAsia="zh-CN"/>
        </w:rPr>
        <w:t>具有竞标规格近1年不少于1个及以上供应业绩</w:t>
      </w:r>
      <w:r>
        <w:rPr>
          <w:rFonts w:hint="eastAsia" w:ascii="微软雅黑" w:hAnsi="微软雅黑" w:eastAsia="微软雅黑" w:cs="微软雅黑"/>
          <w:color w:val="auto"/>
          <w:sz w:val="22"/>
          <w:szCs w:val="22"/>
          <w:highlight w:val="none"/>
          <w:lang w:val="en-US" w:eastAsia="zh-CN"/>
        </w:rPr>
        <w:t>（业绩须附列表及对应列表的合同原件扫描件。合同原件扫描件含首尾页、能反应物料清单、签字盖章页，否则按无效业绩处理）。业绩应当是目前存在并有可能接受招标人的请求为招标人进行实际考察的。</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5.近年来有较好业绩且无不良商业行为。</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6.具有良好的商业信誉和健全的财务会计制度。</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7.本次招标不接受联合体投标/分包。</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8.完全响应我方项目的规格型号、质量要求、定价方式、付款方式及合同条款。</w:t>
      </w:r>
    </w:p>
    <w:p>
      <w:pPr>
        <w:spacing w:line="400" w:lineRule="exact"/>
        <w:ind w:firstLine="440" w:firstLineChars="20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9.提供近一年第三方审计报告或税务系统下载的财务报表或企业年报。</w:t>
      </w:r>
    </w:p>
    <w:p>
      <w:pPr>
        <w:pStyle w:val="12"/>
        <w:numPr>
          <w:ilvl w:val="0"/>
          <w:numId w:val="0"/>
        </w:numPr>
        <w:ind w:leftChars="0"/>
        <w:rPr>
          <w:rFonts w:hint="eastAsia" w:ascii="微软雅黑" w:hAnsi="微软雅黑" w:eastAsia="微软雅黑" w:cs="微软雅黑"/>
          <w:b/>
          <w:sz w:val="24"/>
          <w:szCs w:val="24"/>
          <w:highlight w:val="none"/>
        </w:rPr>
      </w:pPr>
      <w:bookmarkStart w:id="3" w:name="_Toc33189458"/>
      <w:r>
        <w:rPr>
          <w:rFonts w:hint="eastAsia" w:ascii="微软雅黑" w:hAnsi="微软雅黑" w:eastAsia="微软雅黑" w:cs="微软雅黑"/>
          <w:b/>
          <w:sz w:val="24"/>
          <w:szCs w:val="24"/>
          <w:highlight w:val="none"/>
          <w:lang w:val="en-US" w:eastAsia="zh-CN"/>
        </w:rPr>
        <w:t>6. 竞价谈判评标办法</w:t>
      </w:r>
      <w:bookmarkEnd w:id="3"/>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通过资格审查后，我司根据“生产性原辅材料采购管理办法”确定入围的投标人，请至</w:t>
      </w:r>
      <w:r>
        <w:rPr>
          <w:rFonts w:hint="eastAsia" w:ascii="微软雅黑" w:hAnsi="微软雅黑" w:eastAsia="微软雅黑" w:cs="微软雅黑"/>
          <w:color w:val="auto"/>
          <w:sz w:val="22"/>
          <w:szCs w:val="22"/>
          <w:highlight w:val="none"/>
          <w:u w:val="single"/>
          <w:lang w:val="en-US" w:eastAsia="zh-CN"/>
        </w:rPr>
        <w:t>吉利电子招标平台（https://glzb.geely.com）</w:t>
      </w:r>
      <w:r>
        <w:rPr>
          <w:rFonts w:hint="eastAsia" w:ascii="微软雅黑" w:hAnsi="微软雅黑" w:eastAsia="微软雅黑" w:cs="微软雅黑"/>
          <w:color w:val="auto"/>
          <w:sz w:val="22"/>
          <w:szCs w:val="22"/>
          <w:highlight w:val="none"/>
          <w:lang w:val="en-US" w:eastAsia="zh-CN"/>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本次评标采用低价评标法。本次招标暂定于 </w:t>
      </w:r>
      <w:r>
        <w:rPr>
          <w:rFonts w:hint="eastAsia" w:ascii="微软雅黑" w:hAnsi="微软雅黑" w:eastAsia="微软雅黑" w:cs="微软雅黑"/>
          <w:color w:val="auto"/>
          <w:sz w:val="22"/>
          <w:szCs w:val="22"/>
          <w:highlight w:val="none"/>
          <w:u w:val="single"/>
          <w:lang w:val="en-US" w:eastAsia="zh-CN"/>
        </w:rPr>
        <w:t>2024年12月23日上午</w:t>
      </w:r>
      <w:r>
        <w:rPr>
          <w:rFonts w:hint="eastAsia" w:ascii="微软雅黑" w:hAnsi="微软雅黑" w:eastAsia="微软雅黑" w:cs="微软雅黑"/>
          <w:color w:val="auto"/>
          <w:sz w:val="22"/>
          <w:szCs w:val="22"/>
          <w:highlight w:val="none"/>
          <w:lang w:val="en-US" w:eastAsia="zh-CN"/>
        </w:rPr>
        <w:t>进行（具体时间以通知为准），登录</w:t>
      </w:r>
      <w:r>
        <w:rPr>
          <w:rFonts w:hint="eastAsia" w:ascii="微软雅黑" w:hAnsi="微软雅黑" w:eastAsia="微软雅黑" w:cs="微软雅黑"/>
          <w:color w:val="auto"/>
          <w:sz w:val="22"/>
          <w:szCs w:val="22"/>
          <w:highlight w:val="none"/>
          <w:u w:val="single"/>
          <w:lang w:val="en-US" w:eastAsia="zh-CN"/>
        </w:rPr>
        <w:t>吉利电子招标平台（https://glzb.geely.com）</w:t>
      </w:r>
      <w:r>
        <w:rPr>
          <w:rFonts w:hint="eastAsia" w:ascii="微软雅黑" w:hAnsi="微软雅黑" w:eastAsia="微软雅黑" w:cs="微软雅黑"/>
          <w:color w:val="auto"/>
          <w:sz w:val="22"/>
          <w:szCs w:val="22"/>
          <w:highlight w:val="none"/>
          <w:lang w:val="en-US" w:eastAsia="zh-CN"/>
        </w:rPr>
        <w:t>进行报价，将采取多轮报价，末尾淘汰制（详见“电子竞价须知”）。根据报价结果确认价格及采购量，既</w:t>
      </w:r>
      <w:r>
        <w:rPr>
          <w:rFonts w:hint="eastAsia" w:ascii="微软雅黑" w:hAnsi="微软雅黑" w:eastAsia="微软雅黑" w:cs="微软雅黑"/>
          <w:b w:val="0"/>
          <w:bCs/>
          <w:kern w:val="2"/>
          <w:sz w:val="22"/>
          <w:szCs w:val="22"/>
          <w:lang w:val="en-US" w:eastAsia="zh-CN" w:bidi="ar-SA"/>
        </w:rPr>
        <w:t>2025年</w:t>
      </w:r>
      <w:r>
        <w:rPr>
          <w:rFonts w:hint="eastAsia" w:ascii="微软雅黑" w:hAnsi="微软雅黑" w:eastAsia="微软雅黑" w:cs="微软雅黑"/>
          <w:color w:val="auto"/>
          <w:sz w:val="22"/>
          <w:szCs w:val="22"/>
          <w:highlight w:val="none"/>
          <w:lang w:val="en-US" w:eastAsia="zh-CN"/>
        </w:rPr>
        <w:t>度二氧化锰矿采购价。</w:t>
      </w:r>
    </w:p>
    <w:p>
      <w:pPr>
        <w:pStyle w:val="12"/>
        <w:rPr>
          <w:rFonts w:hint="eastAsia" w:ascii="微软雅黑" w:hAnsi="微软雅黑" w:eastAsia="微软雅黑" w:cs="微软雅黑"/>
          <w:b/>
          <w:sz w:val="24"/>
          <w:szCs w:val="24"/>
          <w:highlight w:val="none"/>
        </w:rPr>
      </w:pPr>
      <w:bookmarkStart w:id="4" w:name="_Toc33189460"/>
      <w:r>
        <w:rPr>
          <w:rFonts w:hint="eastAsia" w:ascii="微软雅黑" w:hAnsi="微软雅黑" w:eastAsia="微软雅黑" w:cs="微软雅黑"/>
          <w:b/>
          <w:sz w:val="24"/>
          <w:szCs w:val="24"/>
          <w:highlight w:val="none"/>
          <w:lang w:val="en-US" w:eastAsia="zh-CN"/>
        </w:rPr>
        <w:t>7</w:t>
      </w: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参与</w:t>
      </w:r>
      <w:r>
        <w:rPr>
          <w:rFonts w:hint="eastAsia" w:ascii="微软雅黑" w:hAnsi="微软雅黑" w:eastAsia="微软雅黑" w:cs="微软雅黑"/>
          <w:b/>
          <w:sz w:val="24"/>
          <w:szCs w:val="24"/>
          <w:highlight w:val="none"/>
        </w:rPr>
        <w:t>确认</w:t>
      </w:r>
      <w:bookmarkEnd w:id="4"/>
    </w:p>
    <w:p>
      <w:pPr>
        <w:spacing w:line="40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4"/>
          <w:highlight w:val="none"/>
        </w:rPr>
        <w:t xml:space="preserve">  </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 w:val="22"/>
          <w:szCs w:val="22"/>
          <w:highlight w:val="none"/>
          <w:lang w:val="en-US" w:eastAsia="zh-CN"/>
        </w:rPr>
        <w:t>贵司</w:t>
      </w:r>
      <w:r>
        <w:rPr>
          <w:rFonts w:hint="eastAsia" w:ascii="微软雅黑" w:hAnsi="微软雅黑" w:eastAsia="微软雅黑" w:cs="微软雅黑"/>
          <w:sz w:val="22"/>
          <w:szCs w:val="22"/>
          <w:highlight w:val="none"/>
        </w:rPr>
        <w:t>收到邀请书后，请于</w:t>
      </w:r>
      <w:r>
        <w:rPr>
          <w:rFonts w:hint="eastAsia" w:ascii="微软雅黑" w:hAnsi="微软雅黑" w:eastAsia="微软雅黑" w:cs="微软雅黑"/>
          <w:sz w:val="22"/>
          <w:szCs w:val="22"/>
          <w:highlight w:val="none"/>
          <w:u w:val="single"/>
        </w:rPr>
        <w:t xml:space="preserve"> </w:t>
      </w:r>
      <w:r>
        <w:rPr>
          <w:rFonts w:hint="eastAsia" w:ascii="微软雅黑" w:hAnsi="微软雅黑" w:eastAsia="微软雅黑" w:cs="微软雅黑"/>
          <w:sz w:val="22"/>
          <w:szCs w:val="22"/>
          <w:highlight w:val="none"/>
          <w:u w:val="single"/>
          <w:lang w:val="en-US" w:eastAsia="zh-CN"/>
        </w:rPr>
        <w:t>2024</w:t>
      </w:r>
      <w:r>
        <w:rPr>
          <w:rFonts w:hint="eastAsia" w:ascii="微软雅黑" w:hAnsi="微软雅黑" w:eastAsia="微软雅黑" w:cs="微软雅黑"/>
          <w:sz w:val="22"/>
          <w:szCs w:val="22"/>
          <w:highlight w:val="none"/>
        </w:rPr>
        <w:t>年</w:t>
      </w:r>
      <w:r>
        <w:rPr>
          <w:rFonts w:hint="eastAsia" w:ascii="微软雅黑" w:hAnsi="微软雅黑" w:eastAsia="微软雅黑" w:cs="微软雅黑"/>
          <w:sz w:val="22"/>
          <w:szCs w:val="22"/>
          <w:highlight w:val="none"/>
          <w:u w:val="single"/>
        </w:rPr>
        <w:t xml:space="preserve"> </w:t>
      </w:r>
      <w:r>
        <w:rPr>
          <w:rFonts w:hint="eastAsia" w:ascii="微软雅黑" w:hAnsi="微软雅黑" w:eastAsia="微软雅黑" w:cs="微软雅黑"/>
          <w:sz w:val="22"/>
          <w:szCs w:val="22"/>
          <w:highlight w:val="none"/>
          <w:u w:val="single"/>
          <w:lang w:val="en-US" w:eastAsia="zh-CN"/>
        </w:rPr>
        <w:t>12</w:t>
      </w:r>
      <w:r>
        <w:rPr>
          <w:rFonts w:hint="eastAsia" w:ascii="微软雅黑" w:hAnsi="微软雅黑" w:eastAsia="微软雅黑" w:cs="微软雅黑"/>
          <w:sz w:val="22"/>
          <w:szCs w:val="22"/>
          <w:highlight w:val="none"/>
          <w:u w:val="single"/>
        </w:rPr>
        <w:t xml:space="preserve"> </w:t>
      </w:r>
      <w:r>
        <w:rPr>
          <w:rFonts w:hint="eastAsia" w:ascii="微软雅黑" w:hAnsi="微软雅黑" w:eastAsia="微软雅黑" w:cs="微软雅黑"/>
          <w:sz w:val="22"/>
          <w:szCs w:val="22"/>
          <w:highlight w:val="none"/>
        </w:rPr>
        <w:t>月</w:t>
      </w:r>
      <w:r>
        <w:rPr>
          <w:rFonts w:hint="eastAsia" w:ascii="微软雅黑" w:hAnsi="微软雅黑" w:eastAsia="微软雅黑" w:cs="微软雅黑"/>
          <w:sz w:val="22"/>
          <w:szCs w:val="22"/>
          <w:highlight w:val="none"/>
          <w:u w:val="single"/>
          <w:lang w:val="en-US" w:eastAsia="zh-CN"/>
        </w:rPr>
        <w:t>13</w:t>
      </w:r>
      <w:r>
        <w:rPr>
          <w:rFonts w:hint="eastAsia" w:ascii="微软雅黑" w:hAnsi="微软雅黑" w:eastAsia="微软雅黑" w:cs="微软雅黑"/>
          <w:sz w:val="22"/>
          <w:szCs w:val="22"/>
          <w:highlight w:val="none"/>
        </w:rPr>
        <w:t>日</w:t>
      </w:r>
      <w:r>
        <w:rPr>
          <w:rFonts w:hint="eastAsia" w:ascii="微软雅黑" w:hAnsi="微软雅黑" w:eastAsia="微软雅黑" w:cs="微软雅黑"/>
          <w:sz w:val="22"/>
          <w:szCs w:val="22"/>
          <w:highlight w:val="none"/>
          <w:u w:val="single"/>
          <w:lang w:val="en-US" w:eastAsia="zh-CN"/>
        </w:rPr>
        <w:t>17</w:t>
      </w:r>
      <w:r>
        <w:rPr>
          <w:rFonts w:hint="eastAsia" w:ascii="微软雅黑" w:hAnsi="微软雅黑" w:eastAsia="微软雅黑" w:cs="微软雅黑"/>
          <w:sz w:val="22"/>
          <w:szCs w:val="22"/>
          <w:highlight w:val="none"/>
        </w:rPr>
        <w:t>时前将</w:t>
      </w:r>
      <w:r>
        <w:rPr>
          <w:rFonts w:hint="eastAsia" w:ascii="微软雅黑" w:hAnsi="微软雅黑" w:eastAsia="微软雅黑" w:cs="微软雅黑"/>
          <w:b/>
          <w:sz w:val="22"/>
          <w:szCs w:val="22"/>
          <w:highlight w:val="yellow"/>
          <w:lang w:val="en-US" w:eastAsia="zh-CN"/>
        </w:rPr>
        <w:t>参与确认</w:t>
      </w:r>
      <w:r>
        <w:rPr>
          <w:rFonts w:hint="eastAsia" w:ascii="微软雅黑" w:hAnsi="微软雅黑" w:eastAsia="微软雅黑" w:cs="微软雅黑"/>
          <w:b/>
          <w:sz w:val="22"/>
          <w:szCs w:val="22"/>
          <w:highlight w:val="yellow"/>
        </w:rPr>
        <w:t>（附件</w:t>
      </w:r>
      <w:r>
        <w:rPr>
          <w:rFonts w:hint="eastAsia" w:ascii="微软雅黑" w:hAnsi="微软雅黑" w:eastAsia="微软雅黑" w:cs="微软雅黑"/>
          <w:b/>
          <w:sz w:val="22"/>
          <w:szCs w:val="22"/>
          <w:highlight w:val="yellow"/>
          <w:lang w:val="en-US" w:eastAsia="zh-CN"/>
        </w:rPr>
        <w:t>四</w:t>
      </w:r>
      <w:r>
        <w:rPr>
          <w:rFonts w:hint="eastAsia" w:ascii="微软雅黑" w:hAnsi="微软雅黑" w:eastAsia="微软雅黑" w:cs="微软雅黑"/>
          <w:b/>
          <w:sz w:val="22"/>
          <w:szCs w:val="22"/>
          <w:highlight w:val="yellow"/>
        </w:rPr>
        <w:t>）</w:t>
      </w:r>
      <w:r>
        <w:rPr>
          <w:rFonts w:hint="eastAsia" w:ascii="微软雅黑" w:hAnsi="微软雅黑" w:eastAsia="微软雅黑" w:cs="微软雅黑"/>
          <w:b/>
          <w:sz w:val="22"/>
          <w:szCs w:val="22"/>
          <w:highlight w:val="yellow"/>
          <w:lang w:eastAsia="zh-CN"/>
        </w:rPr>
        <w:t>、</w:t>
      </w:r>
      <w:r>
        <w:rPr>
          <w:rFonts w:hint="eastAsia" w:ascii="微软雅黑" w:hAnsi="微软雅黑" w:eastAsia="微软雅黑" w:cs="微软雅黑"/>
          <w:b/>
          <w:sz w:val="22"/>
          <w:szCs w:val="22"/>
          <w:highlight w:val="yellow"/>
          <w:lang w:val="en-US" w:eastAsia="zh-CN"/>
        </w:rPr>
        <w:t>资质材料+业绩+财务报表</w:t>
      </w:r>
      <w:r>
        <w:rPr>
          <w:rFonts w:hint="eastAsia" w:ascii="微软雅黑" w:hAnsi="微软雅黑" w:eastAsia="微软雅黑" w:cs="微软雅黑"/>
          <w:sz w:val="22"/>
          <w:szCs w:val="22"/>
          <w:highlight w:val="none"/>
        </w:rPr>
        <w:t>以邮件方式反馈给招标人商务人员，以确认是否参加投标。在本投标邀请书规定的时间内未表示是否参加或明确表示不参加投标的，不得再参加投标。</w:t>
      </w:r>
    </w:p>
    <w:p>
      <w:pPr>
        <w:pStyle w:val="12"/>
        <w:rPr>
          <w:rFonts w:hint="default" w:ascii="微软雅黑" w:hAnsi="微软雅黑" w:eastAsia="微软雅黑" w:cs="微软雅黑"/>
          <w:b/>
          <w:sz w:val="24"/>
          <w:szCs w:val="24"/>
          <w:highlight w:val="none"/>
          <w:lang w:val="en-US"/>
        </w:rPr>
      </w:pPr>
      <w:r>
        <w:rPr>
          <w:rFonts w:hint="eastAsia" w:ascii="微软雅黑" w:hAnsi="微软雅黑" w:eastAsia="微软雅黑" w:cs="微软雅黑"/>
          <w:b/>
          <w:sz w:val="24"/>
          <w:szCs w:val="24"/>
          <w:highlight w:val="none"/>
          <w:lang w:val="en-US" w:eastAsia="zh-CN"/>
        </w:rPr>
        <w:t>8</w:t>
      </w: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投标保证金</w:t>
      </w:r>
    </w:p>
    <w:p>
      <w:pPr>
        <w:spacing w:line="40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8</w:t>
      </w:r>
      <w:r>
        <w:rPr>
          <w:rFonts w:hint="eastAsia" w:ascii="微软雅黑" w:hAnsi="微软雅黑" w:eastAsia="微软雅黑" w:cs="微软雅黑"/>
          <w:sz w:val="22"/>
          <w:szCs w:val="22"/>
          <w:highlight w:val="none"/>
        </w:rPr>
        <w:t>.1、投标单位在递交</w:t>
      </w:r>
      <w:r>
        <w:rPr>
          <w:rFonts w:hint="eastAsia" w:ascii="微软雅黑" w:hAnsi="微软雅黑" w:eastAsia="微软雅黑" w:cs="微软雅黑"/>
          <w:sz w:val="22"/>
          <w:szCs w:val="22"/>
          <w:highlight w:val="none"/>
          <w:lang w:eastAsia="zh-CN"/>
        </w:rPr>
        <w:t>邀请书</w:t>
      </w:r>
      <w:r>
        <w:rPr>
          <w:rFonts w:hint="eastAsia" w:ascii="微软雅黑" w:hAnsi="微软雅黑" w:eastAsia="微软雅黑" w:cs="微软雅黑"/>
          <w:sz w:val="22"/>
          <w:szCs w:val="22"/>
          <w:highlight w:val="none"/>
        </w:rPr>
        <w:t>时需交纳投标保证金，投标保证金电汇形式。</w:t>
      </w:r>
    </w:p>
    <w:p>
      <w:pPr>
        <w:spacing w:line="40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20000</w:t>
      </w:r>
      <w:r>
        <w:rPr>
          <w:rFonts w:hint="eastAsia" w:ascii="微软雅黑" w:hAnsi="微软雅黑" w:eastAsia="微软雅黑" w:cs="微软雅黑"/>
          <w:sz w:val="22"/>
          <w:szCs w:val="22"/>
          <w:highlight w:val="none"/>
        </w:rPr>
        <w:t>元电汇到以下账户：</w:t>
      </w:r>
    </w:p>
    <w:p>
      <w:pPr>
        <w:spacing w:line="400" w:lineRule="exact"/>
        <w:rPr>
          <w:rFonts w:hint="eastAsia"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开</w:t>
      </w:r>
      <w:r>
        <w:rPr>
          <w:rFonts w:hint="eastAsia" w:ascii="微软雅黑" w:hAnsi="微软雅黑" w:eastAsia="微软雅黑" w:cs="微软雅黑"/>
          <w:sz w:val="22"/>
          <w:szCs w:val="22"/>
          <w:highlight w:val="none"/>
          <w:lang w:val="en-US" w:eastAsia="zh-CN"/>
        </w:rPr>
        <w:t xml:space="preserve"> </w:t>
      </w:r>
      <w:r>
        <w:rPr>
          <w:rFonts w:hint="eastAsia" w:ascii="微软雅黑" w:hAnsi="微软雅黑" w:eastAsia="微软雅黑" w:cs="微软雅黑"/>
          <w:sz w:val="22"/>
          <w:szCs w:val="22"/>
          <w:highlight w:val="none"/>
          <w:lang w:eastAsia="zh-CN"/>
        </w:rPr>
        <w:t>户</w:t>
      </w:r>
      <w:r>
        <w:rPr>
          <w:rFonts w:hint="eastAsia" w:ascii="微软雅黑" w:hAnsi="微软雅黑" w:eastAsia="微软雅黑" w:cs="微软雅黑"/>
          <w:sz w:val="22"/>
          <w:szCs w:val="22"/>
          <w:highlight w:val="none"/>
          <w:lang w:val="en-US" w:eastAsia="zh-CN"/>
        </w:rPr>
        <w:t xml:space="preserve"> </w:t>
      </w:r>
      <w:r>
        <w:rPr>
          <w:rFonts w:hint="eastAsia" w:ascii="微软雅黑" w:hAnsi="微软雅黑" w:eastAsia="微软雅黑" w:cs="微软雅黑"/>
          <w:sz w:val="22"/>
          <w:szCs w:val="22"/>
          <w:highlight w:val="none"/>
          <w:lang w:eastAsia="zh-CN"/>
        </w:rPr>
        <w:t>名：吉利百矿集团有限公司</w:t>
      </w:r>
    </w:p>
    <w:p>
      <w:pPr>
        <w:spacing w:line="400" w:lineRule="exact"/>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开户银行：中国建设银行股份有限公司百色分行</w:t>
      </w:r>
    </w:p>
    <w:p>
      <w:pPr>
        <w:spacing w:line="400" w:lineRule="exact"/>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帐    号：4500 1676 1010 5900 0168</w:t>
      </w:r>
    </w:p>
    <w:p>
      <w:pPr>
        <w:spacing w:line="40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（汇款时备注：</w:t>
      </w:r>
      <w:r>
        <w:rPr>
          <w:rFonts w:hint="eastAsia" w:ascii="微软雅黑" w:hAnsi="微软雅黑" w:eastAsia="微软雅黑" w:cs="微软雅黑"/>
          <w:sz w:val="22"/>
          <w:szCs w:val="22"/>
          <w:highlight w:val="none"/>
          <w:lang w:val="en-US" w:eastAsia="zh-CN"/>
        </w:rPr>
        <w:t>靖锰公司2025年度二氧化锰矿采购项目</w:t>
      </w:r>
      <w:r>
        <w:rPr>
          <w:rFonts w:hint="eastAsia" w:ascii="微软雅黑" w:hAnsi="微软雅黑" w:eastAsia="微软雅黑" w:cs="微软雅黑"/>
          <w:sz w:val="22"/>
          <w:szCs w:val="22"/>
          <w:highlight w:val="none"/>
        </w:rPr>
        <w:t>投标保证金）</w:t>
      </w:r>
    </w:p>
    <w:p>
      <w:pPr>
        <w:spacing w:line="400" w:lineRule="exac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8.2、有下列情形之一的，投标保证金将不予退还：</w:t>
      </w:r>
    </w:p>
    <w:p>
      <w:pPr>
        <w:spacing w:line="400" w:lineRule="exac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（1）第一中标候选人若明示或以其他行为不按规定时间签订或拒不签订正式合同的；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（2）第一中标候选人若明示或以其他行为不按规定时间提交履约保证金的；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（3）第一中标候选人因恶意竞争、经营财务发生较大变化等自身原因要求放弃中标的；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（4）投标人存在违法行为获取中标或存在以其他方式弄虚作假行为骗取中标的；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（5）投标有效期内投标人撤销投标文件的。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8.3若第一预中标人放弃中标资格，招标人将与第二中标候选人签订合同，如果第二中标候选人同样出现8.2规定的情形的，其投标保证金不予退还。</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8.4投标人如违反招标人纪律要求的，其投标保证金不予退还。</w:t>
      </w:r>
    </w:p>
    <w:p>
      <w:pPr>
        <w:pStyle w:val="12"/>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9.特别约定条款：</w:t>
      </w:r>
    </w:p>
    <w:p>
      <w:pPr>
        <w:spacing w:line="400" w:lineRule="exact"/>
        <w:ind w:firstLine="440" w:firstLineChars="20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鉴于卖方通过参加买方的招投标活动或竟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合同终止日起本合同终止。</w:t>
      </w:r>
    </w:p>
    <w:p>
      <w:pPr>
        <w:pStyle w:val="12"/>
        <w:numPr>
          <w:ilvl w:val="0"/>
          <w:numId w:val="0"/>
        </w:numPr>
        <w:rPr>
          <w:rFonts w:hint="eastAsia" w:ascii="微软雅黑" w:hAnsi="微软雅黑" w:eastAsia="微软雅黑" w:cs="微软雅黑"/>
          <w:b/>
          <w:sz w:val="24"/>
          <w:szCs w:val="24"/>
        </w:rPr>
      </w:pPr>
      <w:bookmarkStart w:id="5" w:name="_Toc33189461"/>
      <w:r>
        <w:rPr>
          <w:rFonts w:hint="eastAsia" w:ascii="微软雅黑" w:hAnsi="微软雅黑" w:eastAsia="微软雅黑" w:cs="微软雅黑"/>
          <w:b/>
          <w:sz w:val="24"/>
          <w:szCs w:val="24"/>
          <w:lang w:val="en-US" w:eastAsia="zh-CN"/>
        </w:rPr>
        <w:t>10</w:t>
      </w:r>
      <w:r>
        <w:rPr>
          <w:rFonts w:hint="eastAsia" w:ascii="微软雅黑" w:hAnsi="微软雅黑" w:eastAsia="微软雅黑" w:cs="微软雅黑"/>
          <w:b/>
          <w:sz w:val="24"/>
          <w:szCs w:val="24"/>
        </w:rPr>
        <w:t>. 联系方式</w:t>
      </w:r>
      <w:bookmarkEnd w:id="5"/>
    </w:p>
    <w:p>
      <w:pPr>
        <w:pStyle w:val="12"/>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default"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商务联系人：翟荣兴 电话：</w:t>
      </w:r>
      <w:r>
        <w:rPr>
          <w:rFonts w:hint="eastAsia" w:ascii="微软雅黑" w:hAnsi="微软雅黑" w:eastAsia="微软雅黑" w:cs="微软雅黑"/>
          <w:b w:val="0"/>
          <w:bCs/>
          <w:sz w:val="22"/>
          <w:szCs w:val="22"/>
          <w:u w:val="single"/>
          <w:lang w:val="en-US" w:eastAsia="zh-CN"/>
        </w:rPr>
        <w:t>18907768303</w:t>
      </w:r>
      <w:r>
        <w:rPr>
          <w:rFonts w:hint="eastAsia" w:ascii="微软雅黑" w:hAnsi="微软雅黑" w:eastAsia="微软雅黑" w:cs="微软雅黑"/>
          <w:b w:val="0"/>
          <w:bCs/>
          <w:sz w:val="22"/>
          <w:szCs w:val="22"/>
          <w:u w:val="none"/>
          <w:lang w:val="en-US" w:eastAsia="zh-CN"/>
        </w:rPr>
        <w:t xml:space="preserve"> ；邮箱：</w:t>
      </w:r>
      <w:r>
        <w:rPr>
          <w:rFonts w:hint="eastAsia" w:ascii="微软雅黑" w:hAnsi="微软雅黑" w:eastAsia="微软雅黑" w:cs="微软雅黑"/>
          <w:b w:val="0"/>
          <w:bCs/>
          <w:sz w:val="22"/>
          <w:szCs w:val="22"/>
          <w:u w:val="single"/>
          <w:lang w:val="en-US" w:eastAsia="zh-CN"/>
        </w:rPr>
        <w:t>Rongxing.zhaig@geely.com</w:t>
      </w:r>
    </w:p>
    <w:p>
      <w:pPr>
        <w:pStyle w:val="12"/>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default"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技术联系人：</w:t>
      </w:r>
      <w:r>
        <w:rPr>
          <w:rFonts w:hint="eastAsia" w:ascii="微软雅黑" w:hAnsi="微软雅黑" w:eastAsia="微软雅黑" w:cs="微软雅黑"/>
          <w:b w:val="0"/>
          <w:bCs/>
          <w:sz w:val="22"/>
          <w:szCs w:val="22"/>
          <w:u w:val="single"/>
          <w:lang w:val="en-US" w:eastAsia="zh-CN"/>
        </w:rPr>
        <w:t>陈州华</w:t>
      </w:r>
      <w:r>
        <w:rPr>
          <w:rFonts w:hint="eastAsia" w:ascii="微软雅黑" w:hAnsi="微软雅黑" w:eastAsia="微软雅黑" w:cs="微软雅黑"/>
          <w:b w:val="0"/>
          <w:bCs/>
          <w:sz w:val="22"/>
          <w:szCs w:val="22"/>
          <w:u w:val="none"/>
          <w:lang w:val="en-US" w:eastAsia="zh-CN"/>
        </w:rPr>
        <w:t xml:space="preserve"> 手机号 </w:t>
      </w:r>
      <w:r>
        <w:rPr>
          <w:rFonts w:hint="eastAsia" w:ascii="微软雅黑" w:hAnsi="微软雅黑" w:eastAsia="微软雅黑" w:cs="微软雅黑"/>
          <w:b w:val="0"/>
          <w:bCs/>
          <w:sz w:val="22"/>
          <w:szCs w:val="22"/>
          <w:u w:val="single"/>
          <w:lang w:val="en-US" w:eastAsia="zh-CN"/>
        </w:rPr>
        <w:t>18076599960 ；</w:t>
      </w:r>
      <w:r>
        <w:rPr>
          <w:rFonts w:hint="eastAsia" w:ascii="微软雅黑" w:hAnsi="微软雅黑" w:eastAsia="微软雅黑" w:cs="微软雅黑"/>
          <w:b w:val="0"/>
          <w:bCs/>
          <w:sz w:val="22"/>
          <w:szCs w:val="22"/>
          <w:u w:val="none"/>
          <w:lang w:val="en-US" w:eastAsia="zh-CN"/>
        </w:rPr>
        <w:t>邮箱：</w:t>
      </w:r>
      <w:r>
        <w:rPr>
          <w:rFonts w:hint="eastAsia" w:ascii="微软雅黑" w:hAnsi="微软雅黑" w:eastAsia="微软雅黑" w:cs="微软雅黑"/>
          <w:b w:val="0"/>
          <w:bCs/>
          <w:sz w:val="22"/>
          <w:szCs w:val="22"/>
          <w:u w:val="single"/>
          <w:lang w:val="en-US" w:eastAsia="zh-CN"/>
        </w:rPr>
        <w:t>Zhouhua.Chen@geely.com</w:t>
      </w:r>
    </w:p>
    <w:p>
      <w:pPr>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附件一：</w:t>
      </w:r>
      <w:r>
        <w:rPr>
          <w:rFonts w:hint="eastAsia" w:ascii="微软雅黑" w:hAnsi="微软雅黑" w:eastAsia="微软雅黑" w:cs="微软雅黑"/>
          <w:sz w:val="22"/>
          <w:szCs w:val="22"/>
          <w:highlight w:val="none"/>
          <w:lang w:val="en-US" w:eastAsia="zh-CN"/>
        </w:rPr>
        <w:t>靖锰公司2025年度二氧化锰矿采购项目</w:t>
      </w:r>
      <w:r>
        <w:rPr>
          <w:rFonts w:hint="eastAsia" w:ascii="微软雅黑" w:hAnsi="微软雅黑" w:eastAsia="微软雅黑" w:cs="微软雅黑"/>
          <w:color w:val="auto"/>
          <w:sz w:val="22"/>
          <w:szCs w:val="22"/>
          <w:highlight w:val="none"/>
          <w:lang w:val="en-US" w:eastAsia="zh-CN"/>
        </w:rPr>
        <w:t>报价函</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附件二：</w:t>
      </w:r>
      <w:r>
        <w:rPr>
          <w:rFonts w:hint="eastAsia" w:ascii="微软雅黑" w:hAnsi="微软雅黑" w:eastAsia="微软雅黑" w:cs="微软雅黑"/>
          <w:sz w:val="22"/>
          <w:szCs w:val="22"/>
          <w:highlight w:val="none"/>
          <w:lang w:val="en-US" w:eastAsia="zh-CN"/>
        </w:rPr>
        <w:t>靖锰公司2025年度二氧化锰矿采购项目</w:t>
      </w:r>
      <w:r>
        <w:rPr>
          <w:rFonts w:hint="eastAsia" w:ascii="微软雅黑" w:hAnsi="微软雅黑" w:eastAsia="微软雅黑" w:cs="微软雅黑"/>
          <w:color w:val="auto"/>
          <w:sz w:val="22"/>
          <w:szCs w:val="22"/>
          <w:highlight w:val="none"/>
          <w:lang w:val="en-US" w:eastAsia="zh-CN"/>
        </w:rPr>
        <w:t>技术任务书</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附件三：</w:t>
      </w:r>
      <w:r>
        <w:rPr>
          <w:rFonts w:hint="eastAsia" w:ascii="微软雅黑" w:hAnsi="微软雅黑" w:eastAsia="微软雅黑" w:cs="微软雅黑"/>
          <w:sz w:val="22"/>
          <w:szCs w:val="22"/>
          <w:highlight w:val="none"/>
          <w:lang w:val="en-US" w:eastAsia="zh-CN"/>
        </w:rPr>
        <w:t>靖锰公司2025年二氧化锰矿采购</w:t>
      </w:r>
      <w:r>
        <w:rPr>
          <w:rFonts w:hint="eastAsia" w:ascii="微软雅黑" w:hAnsi="微软雅黑" w:eastAsia="微软雅黑" w:cs="微软雅黑"/>
          <w:color w:val="auto"/>
          <w:sz w:val="22"/>
          <w:szCs w:val="22"/>
          <w:highlight w:val="none"/>
          <w:lang w:val="en-US" w:eastAsia="zh-CN"/>
        </w:rPr>
        <w:t>采购合同（模板）</w:t>
      </w:r>
    </w:p>
    <w:p>
      <w:pPr>
        <w:spacing w:line="400" w:lineRule="exact"/>
        <w:ind w:firstLine="440" w:firstLineChars="20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附件四：参加确认函</w:t>
      </w:r>
    </w:p>
    <w:p>
      <w:pPr>
        <w:pStyle w:val="10"/>
        <w:ind w:firstLine="5520" w:firstLineChars="23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靖西市锰矿有限责任公司</w:t>
      </w:r>
    </w:p>
    <w:p>
      <w:pPr>
        <w:pStyle w:val="10"/>
        <w:ind w:firstLine="5520" w:firstLineChars="2300"/>
        <w:rPr>
          <w:rFonts w:hint="eastAsia" w:ascii="微软雅黑" w:hAnsi="微软雅黑" w:eastAsia="微软雅黑" w:cs="微软雅黑"/>
          <w:b/>
          <w:szCs w:val="21"/>
        </w:rPr>
      </w:pPr>
      <w:bookmarkStart w:id="6" w:name="_GoBack"/>
      <w:bookmarkEnd w:id="6"/>
      <w:r>
        <w:rPr>
          <w:rFonts w:hint="eastAsia" w:ascii="微软雅黑" w:hAnsi="微软雅黑" w:eastAsia="微软雅黑" w:cs="微软雅黑"/>
          <w:szCs w:val="21"/>
          <w:lang w:val="en-US" w:eastAsia="zh-CN"/>
        </w:rPr>
        <w:t>2024年12月09日</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59183"/>
    <w:multiLevelType w:val="singleLevel"/>
    <w:tmpl w:val="8F859183"/>
    <w:lvl w:ilvl="0" w:tentative="0">
      <w:start w:val="1"/>
      <w:numFmt w:val="decimal"/>
      <w:lvlText w:val="%1."/>
      <w:lvlJc w:val="left"/>
      <w:pPr>
        <w:tabs>
          <w:tab w:val="left" w:pos="312"/>
        </w:tabs>
        <w:ind w:left="-20"/>
      </w:pPr>
    </w:lvl>
  </w:abstractNum>
  <w:abstractNum w:abstractNumId="1">
    <w:nsid w:val="AB1CD670"/>
    <w:multiLevelType w:val="singleLevel"/>
    <w:tmpl w:val="AB1CD67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M2MWQ5YjAwMTY3NTUzMWYyMTRkMTljNjViYzkifQ=="/>
  </w:docVars>
  <w:rsids>
    <w:rsidRoot w:val="00000000"/>
    <w:rsid w:val="00E645F8"/>
    <w:rsid w:val="01392B3F"/>
    <w:rsid w:val="054511C9"/>
    <w:rsid w:val="06530982"/>
    <w:rsid w:val="0A142952"/>
    <w:rsid w:val="0ADF0A36"/>
    <w:rsid w:val="0BDE54C3"/>
    <w:rsid w:val="0FB87AA7"/>
    <w:rsid w:val="12ED6FDE"/>
    <w:rsid w:val="15DA2525"/>
    <w:rsid w:val="178704FD"/>
    <w:rsid w:val="17947A87"/>
    <w:rsid w:val="1E5E66F8"/>
    <w:rsid w:val="23844BA9"/>
    <w:rsid w:val="245F247A"/>
    <w:rsid w:val="2BD66E93"/>
    <w:rsid w:val="2C7963E8"/>
    <w:rsid w:val="2DF74AD6"/>
    <w:rsid w:val="318A7AD5"/>
    <w:rsid w:val="3264795E"/>
    <w:rsid w:val="348A1FB8"/>
    <w:rsid w:val="359543E5"/>
    <w:rsid w:val="367F2B22"/>
    <w:rsid w:val="379E5A44"/>
    <w:rsid w:val="3A0637A2"/>
    <w:rsid w:val="3E5D51F2"/>
    <w:rsid w:val="419B49AF"/>
    <w:rsid w:val="444029F2"/>
    <w:rsid w:val="44DA57EF"/>
    <w:rsid w:val="4E5233AE"/>
    <w:rsid w:val="55C523D8"/>
    <w:rsid w:val="57071EFB"/>
    <w:rsid w:val="584E2326"/>
    <w:rsid w:val="5AAF7962"/>
    <w:rsid w:val="66D76AC9"/>
    <w:rsid w:val="69D539D7"/>
    <w:rsid w:val="6ADD3C50"/>
    <w:rsid w:val="6B393E4A"/>
    <w:rsid w:val="6BBE5133"/>
    <w:rsid w:val="6EB912B8"/>
    <w:rsid w:val="7012739E"/>
    <w:rsid w:val="70ED790C"/>
    <w:rsid w:val="714226F0"/>
    <w:rsid w:val="729B0618"/>
    <w:rsid w:val="74B16AD8"/>
    <w:rsid w:val="75054BF7"/>
    <w:rsid w:val="773A31DB"/>
    <w:rsid w:val="776F49AF"/>
    <w:rsid w:val="77971085"/>
    <w:rsid w:val="78BE3619"/>
    <w:rsid w:val="78D45AD6"/>
    <w:rsid w:val="7BA94FF8"/>
    <w:rsid w:val="7CAF41D8"/>
    <w:rsid w:val="7D0E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table" w:styleId="6">
    <w:name w:val="Table Grid"/>
    <w:basedOn w:val="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styleId="9">
    <w:name w:val="Hyperlink"/>
    <w:autoRedefine/>
    <w:qFormat/>
    <w:uiPriority w:val="99"/>
    <w:rPr>
      <w:color w:val="0000FF"/>
      <w:u w:val="single"/>
    </w:rPr>
  </w:style>
  <w:style w:type="paragraph" w:customStyle="1" w:styleId="10">
    <w:name w:val="Default"/>
    <w:basedOn w:val="11"/>
    <w:next w:val="1"/>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1">
    <w:name w:val="正文（首行缩进两字）"/>
    <w:basedOn w:val="1"/>
    <w:autoRedefine/>
    <w:qFormat/>
    <w:uiPriority w:val="0"/>
    <w:rPr>
      <w:szCs w:val="21"/>
    </w:rPr>
  </w:style>
  <w:style w:type="paragraph" w:customStyle="1" w:styleId="12">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styleId="13">
    <w:name w:val="List Paragraph"/>
    <w:basedOn w:val="1"/>
    <w:autoRedefine/>
    <w:qFormat/>
    <w:uiPriority w:val="34"/>
    <w:pPr>
      <w:ind w:firstLine="420" w:firstLineChars="200"/>
    </w:pPr>
    <w:rPr>
      <w:rFonts w:eastAsia="仿宋_GB2312"/>
      <w:sz w:val="32"/>
      <w:szCs w:val="20"/>
    </w:rPr>
  </w:style>
  <w:style w:type="paragraph" w:customStyle="1" w:styleId="14">
    <w:name w:val="样式1"/>
    <w:basedOn w:val="1"/>
    <w:autoRedefine/>
    <w:qFormat/>
    <w:uiPriority w:val="0"/>
    <w:rPr>
      <w:b/>
      <w:color w:val="538135"/>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3004</Words>
  <Characters>3336</Characters>
  <Lines>0</Lines>
  <Paragraphs>0</Paragraphs>
  <TotalTime>0</TotalTime>
  <ScaleCrop>false</ScaleCrop>
  <LinksUpToDate>false</LinksUpToDate>
  <CharactersWithSpaces>3397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2023-05-22T00:48:00Z</dcterms:created>
  <dc:creator>Administrator</dc:creator>
  <cp:lastModifiedBy>咻咻咻</cp:lastModifiedBy>
  <dcterms:modified xsi:type="dcterms:W3CDTF">2024-12-09T08:17:05Z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2D35E7B82C9F4A51BCE8695C23DCDD50_13</vt:lpwstr>
  </property>
  <property fmtid="{D5CDD505-2E9C-101B-9397-08002B2CF9AE}" pid="4" name="EagleCloud">
    <vt:lpwstr>{"watermark_type":"track","current_time":"2024-08-22 18:23","employee_id":"emp_fdcceb92-e7f0-4a5c-a809-ce6cab38c3a9","agent_id":"99c2b164ed46551b36849a91b5b016659fbb9ad13cabc2feed1aa1d4260b4c4b","process":"","custom_content":"科技租户","total_content":"2024-08-22 18:23-emp_fdcceb92-e7f0-4a5c-a809-ce6cab38c3a9-99c2b164ed46551b36849a91b5b016659fbb9ad13cabc2feed1aa1d4260b4c4b-{{process}}-科技租户"}|{"watermark_type":"track","current_time":"2024-11-29 14:29","employee_id":"emp_12e4261c-5a39-4456-b7d2-88c1b794baff","agent_id":"7458228a88105b73ac814daf3bedf7bf013dcc8766acd009c32724c80bd2b17a","process":"","custom_content":"科技租户","total_content":"2024-11-29 14:29-emp_12e4261c-5a39-4456-b7d2-88c1b794baff-7458228a88105b73ac814daf3bedf7bf013dcc8766acd009c32724c80bd2b17a-{{process}}-科技租户"}</vt:lpwstr>
  </property>
</Properties>
</file>