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firstLine="0" w:firstLineChars="0"/>
        <w:jc w:val="center"/>
        <w:outlineLvl w:val="0"/>
        <w:rPr>
          <w:rFonts w:hint="eastAsia" w:ascii="宋体" w:hAnsi="宋体" w:eastAsia="宋体" w:cs="Times New Roman"/>
          <w:b/>
          <w:kern w:val="10"/>
          <w:sz w:val="32"/>
          <w:szCs w:val="32"/>
          <w:lang w:eastAsia="zh-CN"/>
        </w:rPr>
      </w:pPr>
      <w:r>
        <w:rPr>
          <w:rFonts w:hint="eastAsia" w:ascii="宋体" w:hAnsi="宋体" w:cs="Times New Roman"/>
          <w:b/>
          <w:kern w:val="10"/>
          <w:sz w:val="32"/>
          <w:szCs w:val="32"/>
          <w:lang w:eastAsia="zh-CN"/>
        </w:rPr>
        <w:t>磷生铁浇铸增炭用</w:t>
      </w:r>
      <w:r>
        <w:rPr>
          <w:rFonts w:hint="eastAsia" w:ascii="宋体" w:hAnsi="宋体" w:eastAsia="宋体" w:cs="Times New Roman"/>
          <w:b/>
          <w:kern w:val="10"/>
          <w:sz w:val="32"/>
          <w:szCs w:val="32"/>
        </w:rPr>
        <w:t>石墨碎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bookmarkStart w:id="0" w:name="_Toc30775"/>
      <w:bookmarkStart w:id="1" w:name="_Toc4887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1.1 范围</w:t>
      </w:r>
      <w:bookmarkEnd w:id="0"/>
      <w:bookmarkEnd w:id="1"/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b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本细则根据原执行的企业标准，结合电解铝业务部现阶段生产运行情况编制，规定了石墨碎的外观质量、理化性能、检验频次及取样方法、质量细则等要求。适用于电解铝业务部下属各铝厂采购石墨碎的质量检验及质量验证，产品用于磷生铁浇铸增炭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bookmarkStart w:id="2" w:name="_Toc25958"/>
      <w:bookmarkStart w:id="3" w:name="_Toc20729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1.2 外观质量</w:t>
      </w:r>
      <w:bookmarkEnd w:id="2"/>
      <w:bookmarkEnd w:id="3"/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FF0000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磷生铁浇铸增炭用石墨碎石墨碎中不应有杂物，</w:t>
      </w:r>
      <w:r>
        <w:rPr>
          <w:rFonts w:hint="eastAsia" w:ascii="宋体" w:hAnsi="宋体" w:cs="Times New Roman"/>
          <w:kern w:val="10"/>
          <w:sz w:val="24"/>
          <w:lang w:val="en-US" w:eastAsia="zh-CN"/>
        </w:rPr>
        <w:t>粒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度要求为2mm&lt;X</w:t>
      </w:r>
      <w:r>
        <w:rPr>
          <w:rFonts w:hint="eastAsia" w:ascii="宋体" w:hAnsi="宋体" w:eastAsia="宋体" w:cs="宋体"/>
          <w:color w:val="auto"/>
          <w:kern w:val="10"/>
          <w:sz w:val="21"/>
          <w:szCs w:val="21"/>
          <w:highlight w:val="none"/>
          <w:lang w:val="en-US" w:eastAsia="zh-CN"/>
        </w:rPr>
        <w:t>≤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6mm</w:t>
      </w:r>
      <w:r>
        <w:rPr>
          <w:rFonts w:hint="eastAsia" w:ascii="宋体" w:hAnsi="宋体" w:cs="Times New Roman"/>
          <w:kern w:val="10"/>
          <w:sz w:val="24"/>
          <w:lang w:val="en-US" w:eastAsia="zh-CN"/>
        </w:rPr>
        <w:t>，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占比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≥</w:t>
      </w:r>
      <w:r>
        <w:rPr>
          <w:rFonts w:hint="eastAsia" w:ascii="宋体" w:hAnsi="宋体" w:cs="Times New Roman"/>
          <w:kern w:val="10"/>
          <w:sz w:val="24"/>
          <w:lang w:val="en-US" w:eastAsia="zh-CN"/>
        </w:rPr>
        <w:t>75%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bookmarkStart w:id="4" w:name="_Toc25026"/>
      <w:bookmarkStart w:id="5" w:name="_Toc7592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1.3 理化性能</w:t>
      </w:r>
      <w:bookmarkEnd w:id="4"/>
      <w:bookmarkEnd w:id="5"/>
    </w:p>
    <w:p>
      <w:pPr>
        <w:spacing w:line="360" w:lineRule="auto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磷生铁浇铸增炭用石墨碎的理化性能指标应符合下表规定的。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tbl>
      <w:tblPr>
        <w:tblStyle w:val="3"/>
        <w:tblW w:w="101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1366"/>
        <w:gridCol w:w="1895"/>
        <w:gridCol w:w="1495"/>
        <w:gridCol w:w="1875"/>
        <w:gridCol w:w="1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6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指标要求</w:t>
            </w:r>
          </w:p>
        </w:tc>
        <w:tc>
          <w:tcPr>
            <w:tcW w:w="136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C%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S%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灰分%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6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1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≥97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＜0.10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≤1.0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≤1.2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132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80" w:hanging="420" w:hangingChars="200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</w:rPr>
              <w:t>数值修约比较按GB/T</w:t>
            </w: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 xml:space="preserve"> 8170有关</w:t>
            </w: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</w:rPr>
              <w:t>规定进行，修约数位与表中所列极限数位一致。</w:t>
            </w:r>
          </w:p>
        </w:tc>
      </w:tr>
    </w:tbl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bookmarkStart w:id="6" w:name="_Toc20228"/>
      <w:bookmarkStart w:id="7" w:name="_Toc325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1.4 检验频次及取样方法</w:t>
      </w:r>
      <w:bookmarkEnd w:id="6"/>
      <w:bookmarkEnd w:id="7"/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10"/>
          <w:sz w:val="24"/>
          <w:lang w:val="en-US" w:eastAsia="zh-CN"/>
        </w:rPr>
        <w:t>1.4.</w:t>
      </w:r>
      <w:r>
        <w:rPr>
          <w:rFonts w:hint="eastAsia" w:ascii="宋体" w:hAnsi="宋体" w:eastAsia="宋体" w:cs="宋体"/>
          <w:kern w:val="10"/>
          <w:sz w:val="24"/>
        </w:rPr>
        <w:t>1</w:t>
      </w:r>
      <w:r>
        <w:rPr>
          <w:rFonts w:hint="eastAsia" w:ascii="宋体" w:hAnsi="宋体" w:eastAsia="宋体" w:cs="宋体"/>
          <w:kern w:val="10"/>
          <w:sz w:val="24"/>
          <w:lang w:val="en-US" w:eastAsia="zh-CN"/>
        </w:rPr>
        <w:t xml:space="preserve"> 石墨碎</w:t>
      </w:r>
      <w:r>
        <w:rPr>
          <w:rFonts w:hint="eastAsia" w:ascii="宋体" w:hAnsi="宋体" w:eastAsia="宋体" w:cs="宋体"/>
          <w:sz w:val="24"/>
        </w:rPr>
        <w:t>的外观质量每车次随机抽检5～10袋。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10"/>
          <w:sz w:val="24"/>
          <w:lang w:val="en-US" w:eastAsia="zh-CN"/>
        </w:rPr>
        <w:t>1.4.</w:t>
      </w:r>
      <w:r>
        <w:rPr>
          <w:rFonts w:hint="eastAsia" w:ascii="宋体" w:hAnsi="宋体" w:eastAsia="宋体" w:cs="宋体"/>
          <w:kern w:val="10"/>
          <w:sz w:val="24"/>
        </w:rPr>
        <w:t>2</w:t>
      </w:r>
      <w:r>
        <w:rPr>
          <w:rFonts w:hint="eastAsia" w:ascii="宋体" w:hAnsi="宋体" w:eastAsia="宋体" w:cs="宋体"/>
          <w:kern w:val="10"/>
          <w:sz w:val="24"/>
          <w:lang w:val="en-US" w:eastAsia="zh-CN"/>
        </w:rPr>
        <w:t xml:space="preserve"> 石墨碎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hint="eastAsia" w:ascii="宋体" w:hAnsi="宋体" w:eastAsia="宋体" w:cs="宋体"/>
          <w:bCs/>
          <w:kern w:val="10"/>
          <w:sz w:val="24"/>
        </w:rPr>
        <w:t>理化性能按每车次组批抽检一次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kern w:val="10"/>
          <w:sz w:val="24"/>
        </w:rPr>
        <w:t>每批次</w:t>
      </w:r>
      <w:r>
        <w:rPr>
          <w:rFonts w:hint="eastAsia" w:ascii="宋体" w:hAnsi="宋体" w:eastAsia="宋体" w:cs="宋体"/>
          <w:sz w:val="24"/>
        </w:rPr>
        <w:t>随机抽取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袋</w:t>
      </w:r>
      <w:r>
        <w:rPr>
          <w:rFonts w:hint="eastAsia" w:ascii="宋体" w:hAnsi="宋体" w:eastAsia="宋体" w:cs="宋体"/>
          <w:sz w:val="24"/>
          <w:lang w:eastAsia="zh-CN"/>
        </w:rPr>
        <w:t>，将样品充分混匀，缩分至每份样品重量不少于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kg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1份用于检验，一份留样保存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 w:eastAsia="宋体" w:cs="宋体"/>
          <w:kern w:val="10"/>
          <w:sz w:val="24"/>
          <w:lang w:val="en-US" w:eastAsia="zh-CN"/>
        </w:rPr>
        <w:t>1.4.3</w:t>
      </w:r>
      <w:r>
        <w:rPr>
          <w:rFonts w:hint="eastAsia" w:ascii="宋体" w:hAnsi="宋体" w:eastAsia="宋体" w:cs="宋体"/>
          <w:sz w:val="24"/>
        </w:rPr>
        <w:t>供需双方在验收过程中就质量问题发生争议时，由双方共同抽样（在原取样袋取样点取样）、封样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并共同委托双方认可权威机构进行仲裁检验，以仲裁结果为最终结果进行结算，检验费用由责任方承担。</w:t>
      </w:r>
    </w:p>
    <w:p>
      <w:pPr>
        <w:tabs>
          <w:tab w:val="left" w:pos="7770"/>
        </w:tabs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bookmarkStart w:id="8" w:name="_Toc22955"/>
      <w:bookmarkStart w:id="9" w:name="_Toc13350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1.5 质量细则</w:t>
      </w:r>
      <w:bookmarkEnd w:id="8"/>
      <w:bookmarkEnd w:id="9"/>
    </w:p>
    <w:tbl>
      <w:tblPr>
        <w:tblStyle w:val="4"/>
        <w:tblpPr w:leftFromText="180" w:rightFromText="180" w:vertAnchor="text" w:horzAnchor="page" w:tblpX="1275" w:tblpY="239"/>
        <w:tblOverlap w:val="never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54"/>
        <w:gridCol w:w="1421"/>
        <w:gridCol w:w="1339"/>
        <w:gridCol w:w="1594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629" w:type="dxa"/>
            <w:gridSpan w:val="6"/>
            <w:vAlign w:val="center"/>
          </w:tcPr>
          <w:p>
            <w:pPr>
              <w:spacing w:line="360" w:lineRule="auto"/>
              <w:ind w:firstLine="2891" w:firstLineChars="1200"/>
              <w:rPr>
                <w:rFonts w:hint="default" w:ascii="宋体" w:hAnsi="宋体" w:eastAsia="宋体" w:cs="Times New Roman"/>
                <w:kern w:val="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10"/>
                <w:sz w:val="24"/>
                <w:lang w:val="en-US" w:eastAsia="zh-CN"/>
              </w:rPr>
              <w:t>磷生铁浇铸增炭用石墨碎质量细则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子项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指标要求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处理类别</w:t>
            </w:r>
          </w:p>
        </w:tc>
        <w:tc>
          <w:tcPr>
            <w:tcW w:w="47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处理措施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（x为对应的控制子项）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71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10"/>
                <w:sz w:val="21"/>
                <w:szCs w:val="21"/>
                <w:highlight w:val="none"/>
                <w:lang w:val="en-US" w:eastAsia="zh-CN" w:bidi="ar-SA"/>
              </w:rPr>
              <w:t>C%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≥97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  <w:t>扣款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95 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  <w:t>x＜97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每低于要求0.5扣款50元/吨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1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  <w:t>退货处理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  <w:t>＜95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退货处理，七日内不及时运走的，将由我公司自行处理。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71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10"/>
                <w:sz w:val="21"/>
                <w:szCs w:val="21"/>
                <w:highlight w:val="none"/>
                <w:lang w:val="en-US" w:eastAsia="zh-CN" w:bidi="ar-SA"/>
              </w:rPr>
              <w:t>S%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＜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10"/>
                <w:sz w:val="21"/>
                <w:szCs w:val="21"/>
                <w:highlight w:val="none"/>
                <w:lang w:val="en-US" w:eastAsia="zh-CN" w:bidi="ar-SA"/>
              </w:rPr>
              <w:t>0.1</w:t>
            </w:r>
            <w:r>
              <w:rPr>
                <w:rFonts w:hint="eastAsia" w:ascii="宋体" w:hAnsi="宋体" w:cs="Times New Roman"/>
                <w:bCs/>
                <w:color w:val="auto"/>
                <w:kern w:val="10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  <w:t>扣款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  <w:t>0.10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  <w:t>x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  <w:t>0.15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每高于要求0.05扣款100元/吨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1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  <w:t>退货处理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  <w:t>＞0.15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退货处理，七日内不及时运走的，将由我公司自行处理。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71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kern w:val="10"/>
                <w:sz w:val="21"/>
                <w:szCs w:val="21"/>
                <w:highlight w:val="none"/>
                <w:lang w:val="en-US" w:eastAsia="zh-CN" w:bidi="ar-SA"/>
              </w:rPr>
              <w:t>水</w:t>
            </w:r>
            <w:r>
              <w:rPr>
                <w:rFonts w:hint="eastAsia" w:ascii="宋体" w:hAnsi="宋体" w:cs="Times New Roman"/>
                <w:bCs/>
                <w:color w:val="auto"/>
                <w:kern w:val="10"/>
                <w:sz w:val="21"/>
                <w:szCs w:val="21"/>
                <w:highlight w:val="none"/>
                <w:lang w:val="en-US" w:eastAsia="zh-CN" w:bidi="ar-SA"/>
              </w:rPr>
              <w:t>分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10"/>
                <w:sz w:val="21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bCs/>
                <w:color w:val="auto"/>
                <w:kern w:val="10"/>
                <w:sz w:val="21"/>
                <w:szCs w:val="21"/>
                <w:highlight w:val="none"/>
                <w:lang w:val="en-US" w:eastAsia="zh-CN" w:bidi="ar-SA"/>
              </w:rPr>
              <w:t>≤</w:t>
            </w:r>
            <w:r>
              <w:rPr>
                <w:rFonts w:hint="eastAsia" w:ascii="宋体" w:hAnsi="宋体" w:eastAsia="宋体" w:cs="Times New Roman"/>
                <w:bCs/>
                <w:color w:val="auto"/>
                <w:kern w:val="10"/>
                <w:sz w:val="21"/>
                <w:szCs w:val="21"/>
                <w:highlight w:val="none"/>
                <w:lang w:val="en-US" w:eastAsia="zh-CN" w:bidi="ar-SA"/>
              </w:rPr>
              <w:t>1.0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  <w:t>扣款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  <w:t>1.0＜x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每高于要求0.1扣款50元/吨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1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  <w:t>退货处理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10"/>
                <w:sz w:val="21"/>
                <w:szCs w:val="21"/>
                <w:highlight w:val="none"/>
                <w:u w:val="none"/>
                <w:lang w:val="en-US" w:eastAsia="zh-CN" w:bidi="ar"/>
              </w:rPr>
              <w:t>＞1.5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退货处理，七日内不及时运走的，将由我公司自行处理。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71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灰分%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≤1.2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扣款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1.2＜x≤1.5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每高于要求0.1扣款50元/吨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退货处理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＞1.5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退货处理，七日内不及时运走的，将由我公司自行处理。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7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挥发分%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≤0.3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扣款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0.3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＜x≤</w:t>
            </w: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0.5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于要求0.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扣款50元/吨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7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退货处理</w:t>
            </w:r>
          </w:p>
        </w:tc>
        <w:tc>
          <w:tcPr>
            <w:tcW w:w="1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＞</w:t>
            </w: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0.5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退货处理，七日内不及时运走的，将由我公司自行处理。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外观质量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不得有杂物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退货处理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含有杂物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退货处理，七日内不及时运走的，将由我公司自行处理。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71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料度要求</w:t>
            </w:r>
          </w:p>
        </w:tc>
        <w:tc>
          <w:tcPr>
            <w:tcW w:w="1421" w:type="dxa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2mm&lt;X≤6mm，占比≥</w:t>
            </w: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扣款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2mm&lt;X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6mm，占比：</w:t>
            </w: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x＜</w:t>
            </w: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lang w:val="en-US" w:eastAsia="zh-CN"/>
              </w:rPr>
              <w:t>每低于要求</w:t>
            </w: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lang w:val="en-US" w:eastAsia="zh-CN"/>
              </w:rPr>
              <w:t>1%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lang w:val="en-US" w:eastAsia="zh-CN"/>
              </w:rPr>
              <w:t>扣款50元/吨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退货处理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2mm&lt;X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6mm，占比＜</w:t>
            </w: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lang w:val="en-US" w:eastAsia="zh-CN"/>
              </w:rPr>
              <w:t>退货处理，七日内不及时运走的，将由我公司自行处理。</w:t>
            </w:r>
          </w:p>
        </w:tc>
      </w:tr>
    </w:tbl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color w:val="auto"/>
          <w:kern w:val="10"/>
          <w:sz w:val="24"/>
          <w:highlight w:val="none"/>
          <w:lang w:val="en-US" w:eastAsia="zh-CN"/>
        </w:rPr>
      </w:pPr>
      <w:bookmarkStart w:id="10" w:name="_Toc3481"/>
      <w:r>
        <w:rPr>
          <w:rFonts w:hint="eastAsia" w:ascii="宋体" w:hAnsi="宋体" w:cs="Times New Roman"/>
          <w:b/>
          <w:color w:val="auto"/>
          <w:kern w:val="10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color w:val="auto"/>
          <w:kern w:val="10"/>
          <w:sz w:val="24"/>
          <w:highlight w:val="none"/>
          <w:lang w:val="en-US" w:eastAsia="zh-CN"/>
        </w:rPr>
        <w:t>.</w:t>
      </w:r>
      <w:r>
        <w:rPr>
          <w:rFonts w:hint="eastAsia" w:ascii="宋体" w:hAnsi="宋体" w:cs="Times New Roman"/>
          <w:b/>
          <w:color w:val="auto"/>
          <w:kern w:val="10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color w:val="auto"/>
          <w:kern w:val="10"/>
          <w:sz w:val="24"/>
          <w:highlight w:val="none"/>
          <w:lang w:val="en-US" w:eastAsia="zh-CN"/>
        </w:rPr>
        <w:t xml:space="preserve"> 封存试样的保存期限</w:t>
      </w:r>
      <w:bookmarkEnd w:id="10"/>
    </w:p>
    <w:p>
      <w:pPr>
        <w:spacing w:before="156" w:beforeLines="50" w:after="156" w:afterLines="50" w:line="360" w:lineRule="auto"/>
        <w:ind w:firstLine="0" w:firstLineChars="0"/>
        <w:jc w:val="both"/>
        <w:outlineLvl w:val="9"/>
        <w:rPr>
          <w:rFonts w:hint="eastAsia" w:ascii="宋体" w:hAnsi="宋体" w:eastAsia="宋体" w:cs="Times New Roman"/>
          <w:b/>
          <w:kern w:val="10"/>
          <w:sz w:val="32"/>
          <w:szCs w:val="32"/>
          <w:lang w:val="en-US" w:eastAsia="zh-CN"/>
        </w:rPr>
      </w:pPr>
      <w:r>
        <w:rPr>
          <w:rFonts w:hint="eastAsia"/>
          <w:b w:val="0"/>
          <w:bCs/>
          <w:color w:val="auto"/>
          <w:kern w:val="10"/>
          <w:sz w:val="24"/>
          <w:highlight w:val="none"/>
          <w:lang w:val="en-US" w:eastAsia="zh-CN"/>
        </w:rPr>
        <w:t>石墨碎封存试样保存期限为6个月</w:t>
      </w:r>
      <w:r>
        <w:rPr>
          <w:rFonts w:hint="eastAsia"/>
          <w:b w:val="0"/>
          <w:bCs/>
          <w:color w:val="auto"/>
          <w:kern w:val="10"/>
          <w:sz w:val="24"/>
          <w:highlight w:val="none"/>
          <w:lang w:val="en-US" w:eastAsia="zh-CN"/>
        </w:rPr>
        <w:t>。</w:t>
      </w:r>
    </w:p>
    <w:p>
      <w:pPr>
        <w:pStyle w:val="2"/>
        <w:rPr>
          <w:rFonts w:hint="eastAsia"/>
          <w:b w:val="0"/>
          <w:bCs/>
          <w:color w:val="auto"/>
          <w:kern w:val="10"/>
          <w:sz w:val="24"/>
          <w:highlight w:val="none"/>
          <w:lang w:val="en-US" w:eastAsia="zh-CN"/>
        </w:rPr>
      </w:pPr>
      <w:bookmarkStart w:id="11" w:name="_Toc6866"/>
      <w:r>
        <w:rPr>
          <w:rFonts w:hint="eastAsia"/>
          <w:b w:val="0"/>
          <w:bCs/>
          <w:color w:val="auto"/>
          <w:kern w:val="10"/>
          <w:sz w:val="24"/>
          <w:highlight w:val="none"/>
          <w:lang w:val="en-US" w:eastAsia="zh-CN"/>
        </w:rPr>
        <w:br w:type="page"/>
      </w:r>
    </w:p>
    <w:p>
      <w:pPr>
        <w:spacing w:before="156" w:beforeLines="50" w:after="156" w:afterLines="50" w:line="360" w:lineRule="auto"/>
        <w:ind w:left="0" w:leftChars="0" w:firstLine="0" w:firstLineChars="0"/>
        <w:jc w:val="center"/>
        <w:outlineLvl w:val="0"/>
        <w:rPr>
          <w:rFonts w:hint="eastAsia" w:ascii="宋体" w:hAnsi="宋体" w:eastAsia="宋体" w:cs="Times New Roman"/>
          <w:b/>
          <w:kern w:val="10"/>
          <w:sz w:val="32"/>
          <w:szCs w:val="32"/>
        </w:rPr>
      </w:pPr>
      <w:bookmarkStart w:id="12" w:name="_Toc10656"/>
      <w:r>
        <w:rPr>
          <w:rFonts w:hint="eastAsia" w:ascii="宋体" w:hAnsi="宋体" w:eastAsia="宋体" w:cs="Times New Roman"/>
          <w:b/>
          <w:kern w:val="1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kern w:val="10"/>
          <w:sz w:val="32"/>
          <w:szCs w:val="32"/>
        </w:rPr>
        <w:t>石墨粉</w:t>
      </w:r>
      <w:bookmarkEnd w:id="11"/>
      <w:bookmarkEnd w:id="12"/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bookmarkStart w:id="13" w:name="_Toc24456"/>
      <w:bookmarkStart w:id="14" w:name="_Toc9174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1.1 范围</w:t>
      </w:r>
      <w:bookmarkEnd w:id="13"/>
      <w:bookmarkEnd w:id="14"/>
    </w:p>
    <w:p>
      <w:pPr>
        <w:spacing w:line="360" w:lineRule="auto"/>
        <w:ind w:firstLine="480" w:firstLineChars="200"/>
        <w:rPr>
          <w:rFonts w:hint="default" w:ascii="宋体" w:hAnsi="宋体" w:eastAsia="宋体" w:cs="Times New Roman"/>
          <w:b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本细则根据原执行的企业标准，结合电解铝业务部现阶段生产运行情况编制，规定了石墨粉的外观质量、理化性能、检验频次及取样方法、质量细则等要求。适用于电解铝业务部下属各铝厂采购石墨粉的质量检验及质量验证。用于在阳极组装前，对钢爪头浸敷石墨粉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bookmarkStart w:id="15" w:name="_Toc4484"/>
      <w:bookmarkStart w:id="16" w:name="_Toc13927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1.2 外观质量</w:t>
      </w:r>
      <w:bookmarkEnd w:id="15"/>
      <w:bookmarkEnd w:id="16"/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石墨粉中不应有杂物。</w:t>
      </w:r>
      <w:r>
        <w:rPr>
          <w:rFonts w:hint="eastAsia" w:ascii="宋体" w:hAnsi="宋体" w:cs="Times New Roman"/>
          <w:color w:val="auto"/>
          <w:kern w:val="10"/>
          <w:sz w:val="24"/>
          <w:lang w:val="en-US" w:eastAsia="zh-CN"/>
        </w:rPr>
        <w:t>粒度要求大于1500</w:t>
      </w:r>
      <w:r>
        <w:rPr>
          <w:rFonts w:hint="eastAsia" w:ascii="宋体" w:hAnsi="宋体" w:cs="Times New Roman"/>
          <w:color w:val="auto"/>
          <w:kern w:val="10"/>
          <w:sz w:val="24"/>
          <w:lang w:val="en-US" w:eastAsia="zh-CN"/>
        </w:rPr>
        <w:t>目，占比</w:t>
      </w:r>
      <w:r>
        <w:rPr>
          <w:rFonts w:hint="eastAsia" w:ascii="宋体" w:hAnsi="宋体" w:eastAsia="宋体" w:cs="Times New Roman"/>
          <w:color w:val="000000" w:themeColor="text1"/>
          <w:kern w:val="10"/>
          <w:sz w:val="24"/>
          <w:lang w:val="en-US" w:eastAsia="zh-CN"/>
          <w14:textFill>
            <w14:solidFill>
              <w14:schemeClr w14:val="tx1"/>
            </w14:solidFill>
          </w14:textFill>
        </w:rPr>
        <w:t>≥90%</w:t>
      </w:r>
      <w:r>
        <w:rPr>
          <w:rFonts w:hint="eastAsia" w:ascii="宋体" w:hAnsi="宋体" w:cs="Times New Roman"/>
          <w:color w:val="000000" w:themeColor="text1"/>
          <w:kern w:val="10"/>
          <w:sz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bookmarkStart w:id="17" w:name="_Toc7486"/>
      <w:bookmarkStart w:id="18" w:name="_Toc21812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1.3 理化性能</w:t>
      </w:r>
      <w:bookmarkEnd w:id="17"/>
      <w:bookmarkEnd w:id="18"/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浸粘阳极钢爪头石墨粉的理化性能指标应符合下表规定。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tbl>
      <w:tblPr>
        <w:tblStyle w:val="3"/>
        <w:tblW w:w="90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194"/>
        <w:gridCol w:w="1975"/>
        <w:gridCol w:w="1425"/>
        <w:gridCol w:w="2282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8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指标要求</w:t>
            </w: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C%</w:t>
            </w:r>
          </w:p>
        </w:tc>
        <w:tc>
          <w:tcPr>
            <w:tcW w:w="197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S%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水份%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灰分%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挥发分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8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7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＜0.10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＜1.0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＜1.0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75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注：数值修约比较按GB/T 8170有关规定进行，修约数位与表中所列极限数位一致。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bookmarkStart w:id="19" w:name="_Toc32436"/>
      <w:bookmarkStart w:id="20" w:name="_Toc5950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1.4 检验频次取产方法</w:t>
      </w:r>
      <w:bookmarkEnd w:id="19"/>
      <w:bookmarkEnd w:id="20"/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10"/>
          <w:sz w:val="24"/>
          <w:szCs w:val="24"/>
          <w:lang w:val="en-US" w:eastAsia="zh-CN"/>
        </w:rPr>
        <w:t>1.4.</w:t>
      </w:r>
      <w:r>
        <w:rPr>
          <w:rFonts w:hint="eastAsia" w:asciiTheme="majorEastAsia" w:hAnsiTheme="majorEastAsia" w:eastAsiaTheme="majorEastAsia" w:cstheme="majorEastAsia"/>
          <w:kern w:val="10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kern w:val="10"/>
          <w:sz w:val="24"/>
          <w:szCs w:val="24"/>
          <w:lang w:val="en-US" w:eastAsia="zh-CN"/>
        </w:rPr>
        <w:t xml:space="preserve"> 石墨粉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的外观质量每车次随机抽检5～10袋。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10"/>
          <w:sz w:val="24"/>
          <w:szCs w:val="24"/>
          <w:lang w:val="en-US" w:eastAsia="zh-CN"/>
        </w:rPr>
        <w:t>1.4.</w:t>
      </w:r>
      <w:r>
        <w:rPr>
          <w:rFonts w:hint="eastAsia" w:asciiTheme="majorEastAsia" w:hAnsiTheme="majorEastAsia" w:eastAsiaTheme="majorEastAsia" w:cstheme="majorEastAsia"/>
          <w:kern w:val="10"/>
          <w:sz w:val="24"/>
          <w:szCs w:val="24"/>
        </w:rPr>
        <w:t>2</w:t>
      </w:r>
      <w:r>
        <w:rPr>
          <w:rFonts w:hint="eastAsia" w:asciiTheme="majorEastAsia" w:hAnsiTheme="majorEastAsia" w:eastAsiaTheme="majorEastAsia" w:cstheme="majorEastAsia"/>
          <w:kern w:val="10"/>
          <w:sz w:val="24"/>
          <w:szCs w:val="24"/>
          <w:lang w:val="en-US" w:eastAsia="zh-CN"/>
        </w:rPr>
        <w:t xml:space="preserve"> 石墨粉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的</w:t>
      </w:r>
      <w:r>
        <w:rPr>
          <w:rFonts w:hint="eastAsia" w:asciiTheme="majorEastAsia" w:hAnsiTheme="majorEastAsia" w:eastAsiaTheme="majorEastAsia" w:cstheme="majorEastAsia"/>
          <w:bCs/>
          <w:kern w:val="10"/>
          <w:sz w:val="24"/>
          <w:szCs w:val="24"/>
        </w:rPr>
        <w:t>理化性能按每车次组批抽检一次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kern w:val="10"/>
          <w:sz w:val="24"/>
          <w:szCs w:val="24"/>
        </w:rPr>
        <w:t>每批次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随机抽取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，将采样器自袋的中心垂直插入至料层深度的3/4处采取样品。将采得的样品充分混匀，缩分至每份样品重量不少于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kg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1份用于检验，一份留样保存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>
      <w:pPr>
        <w:spacing w:line="360" w:lineRule="auto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kern w:val="10"/>
          <w:sz w:val="24"/>
          <w:szCs w:val="24"/>
          <w:lang w:val="en-US" w:eastAsia="zh-CN"/>
        </w:rPr>
        <w:t>1.4.3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供需双方在验收过程中就质量问题发生争议时，由双方共同抽样（在原取样袋取样点取样）、封样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并共同委托双方认可权威机构进行仲裁检验，以仲裁结果为最终结果进行结算，检验费用由责任方承担。</w:t>
      </w:r>
    </w:p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bookmarkStart w:id="21" w:name="_Toc7103"/>
      <w:bookmarkStart w:id="22" w:name="_Toc917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1.5 质量细则</w:t>
      </w:r>
      <w:bookmarkEnd w:id="21"/>
      <w:bookmarkEnd w:id="22"/>
    </w:p>
    <w:tbl>
      <w:tblPr>
        <w:tblStyle w:val="4"/>
        <w:tblpPr w:leftFromText="180" w:rightFromText="180" w:vertAnchor="text" w:horzAnchor="page" w:tblpX="1275" w:tblpY="239"/>
        <w:tblOverlap w:val="never"/>
        <w:tblW w:w="9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254"/>
        <w:gridCol w:w="1136"/>
        <w:gridCol w:w="1219"/>
        <w:gridCol w:w="1899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679" w:type="dxa"/>
            <w:gridSpan w:val="6"/>
            <w:vAlign w:val="center"/>
          </w:tcPr>
          <w:p>
            <w:pPr>
              <w:spacing w:line="360" w:lineRule="auto"/>
              <w:ind w:firstLine="3584" w:firstLineChars="1700"/>
              <w:rPr>
                <w:rFonts w:hint="eastAsia" w:ascii="宋体" w:hAnsi="宋体" w:eastAsia="宋体" w:cs="宋体"/>
                <w:b/>
                <w:bCs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10"/>
                <w:sz w:val="21"/>
                <w:szCs w:val="21"/>
                <w:lang w:val="en-US" w:eastAsia="zh-CN"/>
              </w:rPr>
              <w:t>钢爪头浸粘石墨粉质量细则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子项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指标要求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处理类别</w:t>
            </w:r>
          </w:p>
        </w:tc>
        <w:tc>
          <w:tcPr>
            <w:tcW w:w="519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处理措施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val="none"/>
                <w:lang w:bidi="ar"/>
              </w:rPr>
              <w:t>（x为对应的控制子项）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1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C%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＞90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扣款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85 ≤x＜90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扣款80元/吨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1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退货处理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＜85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退货处理，七日内不及时运走的，将由我公司自行处理。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71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1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1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S%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1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1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＜0.10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1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扣款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1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0.10≤x≤0.20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1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每高于要求0.05扣款100元/吨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71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1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1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1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退货处理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1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＞0.20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1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10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退货处理，七日内不及时运走的，将由我公司自行处理。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71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水份%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＜1.0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扣款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1.0≤x≤1.5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每高于要求0.1扣款50元/吨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1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退货处理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＞1.5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退货处理，七日内不及时运走的，将由我公司自行处理。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71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灰分%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＜1.0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扣款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1.0≤x≤1.5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每高于要求0.1扣款50元/吨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71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退货处理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＞1.5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退货处理，七日内不及时运走的，将由我公司自行处理。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71" w:type="dxa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外观质量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不得有杂物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退货处理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含有杂物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0"/>
                <w:sz w:val="21"/>
                <w:szCs w:val="21"/>
                <w:lang w:val="en-US" w:eastAsia="zh-CN"/>
              </w:rPr>
              <w:t>退货处理，七日内不及时运走的，将由我公司自行处理。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71" w:type="dxa"/>
            <w:vMerge w:val="restart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粒度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&gt;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1500目，占比90%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扣款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＞</w:t>
            </w: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目</w:t>
            </w: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，占比：80%≤x＜90%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扣款100元/吨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1" w:type="dxa"/>
            <w:vMerge w:val="continue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1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pStyle w:val="2"/>
              <w:jc w:val="both"/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＞</w:t>
            </w: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目</w:t>
            </w: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，占比：70%≤x＜80%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扣款</w:t>
            </w: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100</w:t>
            </w:r>
            <w:bookmarkStart w:id="24" w:name="_GoBack"/>
            <w:bookmarkEnd w:id="24"/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71" w:type="dxa"/>
            <w:vMerge w:val="continue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5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退货处理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＞</w:t>
            </w: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500目</w:t>
            </w: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，占比</w:t>
            </w: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70%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0"/>
                <w:sz w:val="21"/>
                <w:szCs w:val="21"/>
                <w:highlight w:val="none"/>
                <w:lang w:val="en-US" w:eastAsia="zh-CN"/>
              </w:rPr>
              <w:t>退货处理，七日内不及时运走的，将由我公司自行处理。</w:t>
            </w:r>
          </w:p>
        </w:tc>
      </w:tr>
    </w:tbl>
    <w:p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color w:val="auto"/>
          <w:kern w:val="10"/>
          <w:sz w:val="24"/>
          <w:highlight w:val="none"/>
          <w:lang w:val="en-US" w:eastAsia="zh-CN"/>
        </w:rPr>
      </w:pPr>
      <w:bookmarkStart w:id="23" w:name="_Toc5015"/>
      <w:r>
        <w:rPr>
          <w:rFonts w:hint="eastAsia" w:ascii="宋体" w:hAnsi="宋体" w:cs="Times New Roman"/>
          <w:b/>
          <w:color w:val="auto"/>
          <w:kern w:val="10"/>
          <w:sz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Times New Roman"/>
          <w:b/>
          <w:color w:val="auto"/>
          <w:kern w:val="10"/>
          <w:sz w:val="24"/>
          <w:highlight w:val="none"/>
          <w:lang w:val="en-US" w:eastAsia="zh-CN"/>
        </w:rPr>
        <w:t>.</w:t>
      </w:r>
      <w:r>
        <w:rPr>
          <w:rFonts w:hint="eastAsia" w:ascii="宋体" w:hAnsi="宋体" w:cs="Times New Roman"/>
          <w:b/>
          <w:color w:val="auto"/>
          <w:kern w:val="10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color w:val="auto"/>
          <w:kern w:val="10"/>
          <w:sz w:val="24"/>
          <w:highlight w:val="none"/>
          <w:lang w:val="en-US" w:eastAsia="zh-CN"/>
        </w:rPr>
        <w:t xml:space="preserve"> 封存试样的保存期限</w:t>
      </w:r>
      <w:bookmarkEnd w:id="23"/>
    </w:p>
    <w:p>
      <w:r>
        <w:rPr>
          <w:rFonts w:hint="eastAsia"/>
          <w:b w:val="0"/>
          <w:bCs/>
          <w:color w:val="auto"/>
          <w:kern w:val="10"/>
          <w:sz w:val="24"/>
          <w:highlight w:val="none"/>
          <w:lang w:val="en-US" w:eastAsia="zh-CN"/>
        </w:rPr>
        <w:t>石墨粉封存试样保存期限为6个月。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WVkMTZkZjVlNjU3OTRkODdkMTU1MDIxYWI5NTUifQ=="/>
  </w:docVars>
  <w:rsids>
    <w:rsidRoot w:val="346152C8"/>
    <w:rsid w:val="346152C8"/>
    <w:rsid w:val="61D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2024-12-16T06:47:00Z</dcterms:created>
  <dc:creator>heart枫林火山</dc:creator>
  <cp:lastModifiedBy>heart枫林火山</cp:lastModifiedBy>
  <dcterms:modified xsi:type="dcterms:W3CDTF">2024-12-16T06:54:03Z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F9C56DCE29444CDEBA46F9FB7DF07D15_11</vt:lpwstr>
  </property>
</Properties>
</file>