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2024-12-19T02:26:02Z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