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电解铝业务部各铝厂2025年上半年阳极磷生铁等采购项目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0"/>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none"/>
          <w:lang w:val="en-US" w:eastAsia="zh-CN" w:bidi="ar-SA"/>
        </w:rPr>
        <w:t>各</w:t>
      </w:r>
      <w:r>
        <w:rPr>
          <w:rFonts w:hint="eastAsia" w:ascii="宋体" w:hAnsi="宋体" w:eastAsia="宋体" w:cs="宋体"/>
          <w:b w:val="0"/>
          <w:bCs w:val="0"/>
          <w:sz w:val="24"/>
          <w:szCs w:val="24"/>
          <w:u w:val="single"/>
          <w:lang w:val="en-US" w:eastAsia="zh-CN"/>
        </w:rPr>
        <w:t>磷生铁、硅铁、锰铁、磷铁</w:t>
      </w:r>
      <w:r>
        <w:rPr>
          <w:rFonts w:hint="eastAsia" w:ascii="宋体" w:hAnsi="宋体" w:eastAsia="宋体" w:cs="宋体"/>
          <w:b w:val="0"/>
          <w:bCs w:val="0"/>
          <w:kern w:val="2"/>
          <w:sz w:val="24"/>
          <w:szCs w:val="24"/>
          <w:u w:val="none"/>
          <w:lang w:val="en-US" w:eastAsia="zh-CN" w:bidi="ar-SA"/>
        </w:rPr>
        <w:t>`</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电解铝业务部各铝厂2025年上半年阳极磷生铁等采购项目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广西德保百矿铝业有限公司位</w:t>
      </w:r>
      <w:r>
        <w:rPr>
          <w:rFonts w:hint="eastAsia" w:ascii="宋体" w:hAnsi="宋体"/>
          <w:color w:val="auto"/>
          <w:sz w:val="24"/>
          <w:lang w:eastAsia="zh-CN"/>
        </w:rPr>
        <w:t>于</w:t>
      </w:r>
      <w:r>
        <w:rPr>
          <w:rFonts w:hint="eastAsia" w:ascii="宋体" w:hAnsi="宋体"/>
          <w:color w:val="auto"/>
          <w:sz w:val="24"/>
        </w:rPr>
        <w:t>广西德保马隘铝产业园内</w:t>
      </w:r>
      <w:r>
        <w:rPr>
          <w:rFonts w:hint="eastAsia" w:ascii="宋体" w:hAnsi="宋体"/>
          <w:color w:val="auto"/>
          <w:sz w:val="24"/>
          <w:lang w:eastAsia="zh-CN"/>
        </w:rPr>
        <w:t>，</w:t>
      </w:r>
      <w:r>
        <w:rPr>
          <w:rFonts w:hint="eastAsia" w:ascii="宋体" w:hAnsi="宋体"/>
          <w:color w:val="auto"/>
          <w:sz w:val="24"/>
        </w:rPr>
        <w:t>该工业园地处</w:t>
      </w:r>
      <w:r>
        <w:rPr>
          <w:rFonts w:hint="eastAsia" w:ascii="宋体" w:hAnsi="宋体"/>
          <w:color w:val="auto"/>
          <w:sz w:val="24"/>
          <w:lang w:val="en-US" w:eastAsia="zh-CN"/>
        </w:rPr>
        <w:t>德保县</w:t>
      </w:r>
      <w:r>
        <w:rPr>
          <w:rFonts w:hint="eastAsia" w:ascii="宋体" w:hAnsi="宋体"/>
          <w:color w:val="auto"/>
          <w:sz w:val="24"/>
        </w:rPr>
        <w:t>马隘</w:t>
      </w:r>
      <w:r>
        <w:rPr>
          <w:rFonts w:hint="eastAsia" w:ascii="宋体" w:hAnsi="宋体"/>
          <w:color w:val="auto"/>
          <w:sz w:val="24"/>
          <w:lang w:val="en-US" w:eastAsia="zh-CN"/>
        </w:rPr>
        <w:t>镇</w:t>
      </w:r>
      <w:r>
        <w:rPr>
          <w:rFonts w:hint="eastAsia" w:ascii="宋体" w:hAnsi="宋体"/>
          <w:color w:val="auto"/>
          <w:sz w:val="24"/>
          <w:lang w:eastAsia="zh-CN"/>
        </w:rPr>
        <w:t>，</w:t>
      </w:r>
      <w:r>
        <w:rPr>
          <w:rFonts w:hint="eastAsia" w:ascii="宋体" w:hAnsi="宋体"/>
          <w:color w:val="auto"/>
          <w:sz w:val="24"/>
          <w:lang w:val="en-US" w:eastAsia="zh-CN"/>
        </w:rPr>
        <w:t>距</w:t>
      </w:r>
      <w:r>
        <w:rPr>
          <w:rFonts w:hint="eastAsia" w:ascii="宋体" w:hAnsi="宋体"/>
          <w:color w:val="auto"/>
          <w:sz w:val="24"/>
          <w:lang w:eastAsia="zh-CN"/>
        </w:rPr>
        <w:t>百色市约</w:t>
      </w:r>
      <w:r>
        <w:rPr>
          <w:rFonts w:hint="eastAsia" w:ascii="宋体" w:hAnsi="宋体"/>
          <w:color w:val="auto"/>
          <w:sz w:val="24"/>
          <w:lang w:val="en-US" w:eastAsia="zh-CN"/>
        </w:rPr>
        <w:t>98</w:t>
      </w:r>
      <w:r>
        <w:rPr>
          <w:rFonts w:hint="eastAsia" w:ascii="宋体" w:hAnsi="宋体"/>
          <w:color w:val="auto"/>
          <w:sz w:val="24"/>
          <w:lang w:eastAsia="zh-CN"/>
        </w:rPr>
        <w:t>km，厂址距</w:t>
      </w:r>
      <w:r>
        <w:rPr>
          <w:rFonts w:hint="eastAsia" w:ascii="宋体" w:hAnsi="宋体"/>
          <w:color w:val="auto"/>
          <w:sz w:val="24"/>
          <w:lang w:val="en-US" w:eastAsia="zh-CN"/>
        </w:rPr>
        <w:t>德保</w:t>
      </w:r>
      <w:r>
        <w:rPr>
          <w:rFonts w:hint="eastAsia" w:ascii="宋体" w:hAnsi="宋体"/>
          <w:color w:val="auto"/>
          <w:sz w:val="24"/>
          <w:lang w:eastAsia="zh-CN"/>
        </w:rPr>
        <w:t>县城约</w:t>
      </w:r>
      <w:r>
        <w:rPr>
          <w:rFonts w:hint="eastAsia" w:ascii="宋体" w:hAnsi="宋体"/>
          <w:color w:val="auto"/>
          <w:sz w:val="24"/>
          <w:lang w:val="en-US" w:eastAsia="zh-CN"/>
        </w:rPr>
        <w:t>5</w:t>
      </w:r>
      <w:r>
        <w:rPr>
          <w:rFonts w:hint="eastAsia" w:ascii="宋体" w:hAnsi="宋体"/>
          <w:color w:val="auto"/>
          <w:sz w:val="24"/>
          <w:lang w:eastAsia="zh-CN"/>
        </w:rPr>
        <w:t>km。</w:t>
      </w:r>
      <w:r>
        <w:rPr>
          <w:rFonts w:hint="eastAsia" w:ascii="宋体" w:hAnsi="宋体"/>
          <w:color w:val="auto"/>
          <w:sz w:val="24"/>
          <w:lang w:val="en-US" w:eastAsia="zh-CN"/>
        </w:rPr>
        <w:t>德保铝业紧靠氧化铝土矿主产区，资源优势得天独厚，是资源就地消化的典范，</w:t>
      </w:r>
      <w:r>
        <w:rPr>
          <w:rFonts w:hint="eastAsia" w:ascii="宋体" w:hAnsi="宋体"/>
          <w:color w:val="auto"/>
          <w:sz w:val="24"/>
          <w:lang w:eastAsia="zh-CN"/>
        </w:rPr>
        <w:t>占地面积845亩，</w:t>
      </w:r>
      <w:r>
        <w:rPr>
          <w:rFonts w:hint="eastAsia" w:ascii="宋体" w:hAnsi="宋体"/>
          <w:color w:val="auto"/>
          <w:sz w:val="24"/>
          <w:lang w:val="en-US" w:eastAsia="zh-CN"/>
        </w:rPr>
        <w:t>2017年2月开工建设，总投资25.5亿元，</w:t>
      </w:r>
      <w:r>
        <w:rPr>
          <w:rFonts w:hint="eastAsia" w:ascii="宋体" w:hAnsi="宋体"/>
          <w:color w:val="auto"/>
          <w:sz w:val="24"/>
          <w:lang w:eastAsia="zh-CN"/>
        </w:rPr>
        <w:t>项目完全投产后，年营业收入达到5</w:t>
      </w:r>
      <w:r>
        <w:rPr>
          <w:rFonts w:hint="eastAsia" w:ascii="宋体" w:hAnsi="宋体"/>
          <w:color w:val="auto"/>
          <w:sz w:val="24"/>
          <w:lang w:val="en-US" w:eastAsia="zh-CN"/>
        </w:rPr>
        <w:t>6.5</w:t>
      </w:r>
      <w:r>
        <w:rPr>
          <w:rFonts w:hint="eastAsia" w:ascii="宋体" w:hAnsi="宋体"/>
          <w:color w:val="auto"/>
          <w:sz w:val="24"/>
          <w:lang w:eastAsia="zh-CN"/>
        </w:rPr>
        <w:t>亿元，实现利税近</w:t>
      </w:r>
      <w:r>
        <w:rPr>
          <w:rFonts w:hint="eastAsia" w:ascii="宋体" w:hAnsi="宋体"/>
          <w:color w:val="auto"/>
          <w:sz w:val="24"/>
          <w:lang w:val="en-US" w:eastAsia="zh-CN"/>
        </w:rPr>
        <w:t>3</w:t>
      </w:r>
      <w:r>
        <w:rPr>
          <w:rFonts w:hint="eastAsia" w:ascii="宋体" w:hAnsi="宋体"/>
          <w:color w:val="auto"/>
          <w:sz w:val="24"/>
          <w:lang w:eastAsia="zh-CN"/>
        </w:rPr>
        <w:t>亿元</w:t>
      </w:r>
      <w:r>
        <w:rPr>
          <w:rFonts w:hint="eastAsia" w:ascii="宋体" w:hAnsi="宋体"/>
          <w:color w:val="auto"/>
          <w:sz w:val="24"/>
          <w:lang w:val="en-US" w:eastAsia="zh-CN"/>
        </w:rPr>
        <w:t>,</w:t>
      </w:r>
      <w:r>
        <w:rPr>
          <w:rFonts w:hint="eastAsia" w:ascii="宋体" w:hAnsi="宋体"/>
          <w:color w:val="auto"/>
          <w:sz w:val="24"/>
          <w:lang w:eastAsia="zh-CN"/>
        </w:rPr>
        <w:t>带动就业</w:t>
      </w:r>
      <w:r>
        <w:rPr>
          <w:rFonts w:hint="eastAsia" w:ascii="宋体" w:hAnsi="宋体"/>
          <w:color w:val="auto"/>
          <w:sz w:val="24"/>
          <w:lang w:val="en-US" w:eastAsia="zh-CN"/>
        </w:rPr>
        <w:t>850</w:t>
      </w:r>
      <w:r>
        <w:rPr>
          <w:rFonts w:hint="eastAsia" w:ascii="宋体" w:hAnsi="宋体"/>
          <w:color w:val="auto"/>
          <w:sz w:val="24"/>
          <w:lang w:eastAsia="zh-CN"/>
        </w:rPr>
        <w:t>人。</w:t>
      </w:r>
      <w:r>
        <w:rPr>
          <w:rFonts w:hint="eastAsia" w:ascii="宋体" w:hAnsi="宋体"/>
          <w:color w:val="auto"/>
          <w:sz w:val="24"/>
          <w:lang w:val="en-US" w:eastAsia="zh-CN"/>
        </w:rPr>
        <w:t>目前已经生产铝水达30万吨/年。</w:t>
      </w:r>
    </w:p>
    <w:p>
      <w:pPr>
        <w:numPr>
          <w:ilvl w:val="0"/>
          <w:numId w:val="0"/>
        </w:numPr>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广西田林百矿铝业有限公司址位于广西百</w:t>
      </w:r>
      <w:r>
        <w:rPr>
          <w:rFonts w:hint="eastAsia" w:ascii="宋体" w:hAnsi="宋体"/>
          <w:color w:val="auto"/>
          <w:sz w:val="24"/>
        </w:rPr>
        <w:t>色市田林县桂黔（田林）经济合作产业园，该工业园地处田林县旧州镇板坚村</w:t>
      </w:r>
      <w:r>
        <w:rPr>
          <w:rFonts w:hint="eastAsia" w:ascii="宋体" w:hAnsi="宋体"/>
          <w:color w:val="auto"/>
          <w:sz w:val="24"/>
          <w:lang w:eastAsia="zh-CN"/>
        </w:rPr>
        <w:t>，</w:t>
      </w:r>
      <w:r>
        <w:rPr>
          <w:rFonts w:hint="eastAsia" w:ascii="宋体" w:hAnsi="宋体"/>
          <w:color w:val="auto"/>
          <w:sz w:val="24"/>
          <w:lang w:val="en-US" w:eastAsia="zh-CN"/>
        </w:rPr>
        <w:t>厂址</w:t>
      </w:r>
      <w:r>
        <w:rPr>
          <w:rFonts w:hint="eastAsia" w:ascii="宋体" w:hAnsi="宋体"/>
          <w:color w:val="auto"/>
          <w:sz w:val="24"/>
        </w:rPr>
        <w:t>距离南宁市370km，距百色市137km。项目于2017年5月14日</w:t>
      </w:r>
      <w:r>
        <w:rPr>
          <w:rFonts w:hint="eastAsia" w:ascii="宋体" w:hAnsi="宋体"/>
          <w:color w:val="auto"/>
          <w:sz w:val="24"/>
          <w:lang w:val="en"/>
        </w:rPr>
        <w:t>开工建设</w:t>
      </w:r>
      <w:r>
        <w:rPr>
          <w:rFonts w:hint="eastAsia" w:ascii="宋体" w:hAnsi="宋体"/>
          <w:color w:val="auto"/>
          <w:sz w:val="24"/>
        </w:rPr>
        <w:t>，建设规模为年产30万吨铝水，总投资约22亿元，占地面积约800亩。</w:t>
      </w:r>
      <w:r>
        <w:rPr>
          <w:rFonts w:hint="eastAsia" w:ascii="宋体" w:hAnsi="宋体"/>
          <w:color w:val="auto"/>
          <w:sz w:val="24"/>
          <w:lang w:val="en-US" w:eastAsia="zh-CN"/>
        </w:rPr>
        <w:t>目前已经生产铝水达30万吨/年。</w:t>
      </w:r>
    </w:p>
    <w:p>
      <w:pPr>
        <w:numPr>
          <w:ilvl w:val="0"/>
          <w:numId w:val="0"/>
        </w:numPr>
        <w:spacing w:line="440" w:lineRule="exact"/>
        <w:ind w:firstLine="480" w:firstLineChars="200"/>
        <w:rPr>
          <w:rFonts w:hint="eastAsia" w:ascii="宋体" w:hAnsi="宋体" w:eastAsia="宋体" w:cs="宋体"/>
          <w:b/>
          <w:bCs/>
          <w:color w:val="000000"/>
          <w:sz w:val="24"/>
          <w:szCs w:val="24"/>
        </w:rPr>
      </w:pPr>
      <w:r>
        <w:rPr>
          <w:rFonts w:hint="eastAsia" w:ascii="宋体" w:hAnsi="宋体"/>
          <w:color w:val="auto"/>
          <w:sz w:val="24"/>
          <w:highlight w:val="none"/>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object>
          <v:shape id="_x0000_i1026" o:spt="75" type="#_x0000_t75" style="height:65.5pt;width:72.5pt;" o:ole="t" filled="f" o:preferrelative="t" stroked="f" coordsize="21600,21600">
            <v:fill on="f" focussize="0,0"/>
            <v:stroke on="f"/>
            <v:imagedata r:id="rId11" o:title=""/>
            <o:lock v:ext="edit" aspectratio="t"/>
            <w10:wrap type="none"/>
            <w10:anchorlock/>
          </v:shape>
          <o:OLEObject Type="Embed" ProgID="Excel.Sheet.8" ShapeID="_x0000_i1026" DrawAspect="Icon" ObjectID="_1468075725" r:id="rId10">
            <o:LockedField>false</o:LockedField>
          </o:OLEObject>
        </w:object>
      </w:r>
    </w:p>
    <w:p>
      <w:pPr>
        <w:tabs>
          <w:tab w:val="left" w:pos="780"/>
          <w:tab w:val="left" w:pos="5700"/>
        </w:tabs>
        <w:adjustRightInd w:val="0"/>
        <w:snapToGrid w:val="0"/>
        <w:spacing w:line="360" w:lineRule="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广西百色田阳县新山铝示范园百矿铝业厂区内；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广西百色田林县旧州镇百矿经济产业园区田林铝厂内；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广西百色市德保县马隘铝产业园区；</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广西百色市隆林各族自治县平班镇母姑村下寨屯隆林百矿内。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highlight w:val="none"/>
          <w:lang w:val="en-US" w:eastAsia="zh-CN"/>
        </w:rPr>
        <w:t>分批到货，以甲方平台订单通知为准。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业绩要求：具有近三年内不少于两个电解铝行业磷生铁业绩。</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宋体"/>
          <w:b/>
          <w:color w:val="auto"/>
          <w:sz w:val="24"/>
          <w:szCs w:val="24"/>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szCs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w:t>
      </w:r>
      <w:r>
        <w:rPr>
          <w:rFonts w:hint="eastAsia" w:ascii="宋体" w:hAnsi="宋体" w:cs="Arial"/>
          <w:color w:val="auto"/>
          <w:sz w:val="24"/>
          <w:lang w:val="en-US" w:eastAsia="zh-CN"/>
        </w:rPr>
        <w:t>5</w:t>
      </w:r>
      <w:r>
        <w:rPr>
          <w:rFonts w:hint="eastAsia" w:ascii="宋体" w:hAnsi="宋体" w:cs="Arial"/>
          <w:color w:val="auto"/>
          <w:sz w:val="24"/>
        </w:rPr>
        <w:t>%</w:t>
      </w:r>
      <w:r>
        <w:rPr>
          <w:rFonts w:hint="eastAsia" w:ascii="宋体" w:hAnsi="宋体" w:cs="Arial"/>
          <w:color w:val="auto"/>
          <w:sz w:val="24"/>
          <w:lang w:eastAsia="zh-CN"/>
        </w:rPr>
        <w:t>，</w:t>
      </w:r>
      <w:r>
        <w:rPr>
          <w:rFonts w:hint="eastAsia" w:ascii="宋体" w:hAnsi="宋体" w:cs="Arial"/>
          <w:color w:val="auto"/>
          <w:sz w:val="24"/>
          <w:lang w:val="en-US" w:eastAsia="zh-CN"/>
        </w:rPr>
        <w:t>原则上不允许超出合同量</w:t>
      </w:r>
      <w:r>
        <w:rPr>
          <w:rFonts w:hint="eastAsia" w:ascii="宋体" w:hAnsi="宋体" w:cs="Arial"/>
          <w:color w:val="auto"/>
          <w:sz w:val="24"/>
        </w:rPr>
        <w:t>)乘合同（产品清单）单价结算</w:t>
      </w:r>
      <w:r>
        <w:rPr>
          <w:rFonts w:hint="eastAsia" w:ascii="宋体" w:hAnsi="宋体" w:cs="Arial"/>
          <w:color w:val="auto"/>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35</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4"/>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25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及营业执照（相关资质证书）、业绩合同扫描件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r>
        <w:rPr>
          <w:rFonts w:hint="eastAsia" w:ascii="宋体" w:hAnsi="宋体" w:eastAsia="宋体"/>
          <w:color w:val="auto"/>
          <w:sz w:val="24"/>
          <w:szCs w:val="24"/>
        </w:rPr>
        <w:t>。</w:t>
      </w:r>
    </w:p>
    <w:p>
      <w:pPr>
        <w:pStyle w:val="2"/>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微软雅黑" w:eastAsia="宋体" w:cs="微软雅黑" w:hAnsiTheme="minorHAnsi"/>
          <w:color w:val="FF0000"/>
          <w:kern w:val="0"/>
          <w:sz w:val="24"/>
          <w:szCs w:val="24"/>
          <w:highlight w:val="none"/>
          <w:lang w:val="en-US" w:eastAsia="zh-CN" w:bidi="ar-SA"/>
        </w:rPr>
      </w:pPr>
      <w:r>
        <w:rPr>
          <w:rFonts w:hint="eastAsia" w:ascii="微软雅黑" w:eastAsia="宋体" w:cs="微软雅黑" w:hAnsiTheme="minorHAnsi"/>
          <w:color w:val="FF0000"/>
          <w:kern w:val="0"/>
          <w:sz w:val="24"/>
          <w:szCs w:val="24"/>
          <w:highlight w:val="none"/>
          <w:lang w:val="en-US" w:eastAsia="zh-CN" w:bidi="ar-SA"/>
        </w:rPr>
        <w:t>投标保证</w:t>
      </w:r>
      <w:r>
        <w:rPr>
          <w:rFonts w:hint="eastAsia" w:ascii="微软雅黑" w:eastAsia="宋体" w:cs="微软雅黑" w:hAnsiTheme="minorHAnsi"/>
          <w:color w:val="FF0000"/>
          <w:kern w:val="0"/>
          <w:sz w:val="24"/>
          <w:szCs w:val="24"/>
          <w:highlight w:val="none"/>
          <w:lang w:val="en-US" w:eastAsia="zh-CN" w:bidi="ar-SA"/>
        </w:rPr>
        <w:t>金</w:t>
      </w:r>
      <w:r>
        <w:rPr>
          <w:rFonts w:hint="eastAsia" w:ascii="微软雅黑" w:eastAsia="宋体" w:cs="微软雅黑" w:hAnsiTheme="minorHAnsi"/>
          <w:color w:val="FF0000"/>
          <w:kern w:val="0"/>
          <w:sz w:val="24"/>
          <w:szCs w:val="24"/>
          <w:highlight w:val="none"/>
          <w:u w:val="single"/>
          <w:lang w:val="en-US" w:eastAsia="zh-CN" w:bidi="ar-SA"/>
        </w:rPr>
        <w:t>10</w:t>
      </w:r>
      <w:r>
        <w:rPr>
          <w:rFonts w:hint="eastAsia" w:ascii="微软雅黑" w:eastAsia="宋体" w:cs="微软雅黑" w:hAnsiTheme="minorHAnsi"/>
          <w:color w:val="FF0000"/>
          <w:kern w:val="0"/>
          <w:sz w:val="24"/>
          <w:szCs w:val="24"/>
          <w:highlight w:val="none"/>
          <w:lang w:val="en-US" w:eastAsia="zh-CN" w:bidi="ar-SA"/>
        </w:rPr>
        <w:t>万元电汇到以下账户：</w:t>
      </w:r>
    </w:p>
    <w:p>
      <w:pPr>
        <w:pStyle w:val="2"/>
        <w:pageBreakBefore w:val="0"/>
        <w:kinsoku/>
        <w:wordWrap/>
        <w:overflowPunct/>
        <w:topLinePunct w:val="0"/>
        <w:bidi w:val="0"/>
        <w:spacing w:line="400" w:lineRule="atLeast"/>
        <w:textAlignment w:val="auto"/>
        <w:rPr>
          <w:rFonts w:hint="eastAsia" w:eastAsia="宋体"/>
          <w:color w:val="FF0000"/>
          <w:sz w:val="24"/>
          <w:szCs w:val="24"/>
          <w:highlight w:val="none"/>
          <w:lang w:eastAsia="zh-CN"/>
        </w:rPr>
      </w:pPr>
      <w:r>
        <w:rPr>
          <w:rFonts w:hint="eastAsia" w:eastAsia="宋体"/>
          <w:color w:val="FF0000"/>
          <w:sz w:val="24"/>
          <w:szCs w:val="24"/>
          <w:highlight w:val="none"/>
          <w:lang w:eastAsia="zh-CN"/>
        </w:rPr>
        <w:t>开</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户</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名：吉利百矿集团有限公司</w:t>
      </w:r>
    </w:p>
    <w:p>
      <w:pPr>
        <w:pageBreakBefore w:val="0"/>
        <w:kinsoku/>
        <w:wordWrap/>
        <w:overflowPunct/>
        <w:topLinePunct w:val="0"/>
        <w:bidi w:val="0"/>
        <w:spacing w:line="400" w:lineRule="atLeast"/>
        <w:jc w:val="left"/>
        <w:textAlignment w:val="auto"/>
        <w:rPr>
          <w:rFonts w:hint="eastAsia"/>
          <w:color w:val="FF0000"/>
          <w:sz w:val="24"/>
          <w:szCs w:val="24"/>
          <w:highlight w:val="none"/>
          <w:lang w:val="en-US" w:eastAsia="zh-CN"/>
        </w:rPr>
      </w:pPr>
      <w:r>
        <w:rPr>
          <w:rFonts w:hint="eastAsia"/>
          <w:color w:val="FF0000"/>
          <w:sz w:val="24"/>
          <w:szCs w:val="24"/>
          <w:highlight w:val="none"/>
          <w:lang w:val="en-US" w:eastAsia="zh-CN"/>
        </w:rPr>
        <w:t>开户银行：建设银行百色中山支行</w:t>
      </w:r>
    </w:p>
    <w:p>
      <w:pPr>
        <w:pageBreakBefore w:val="0"/>
        <w:kinsoku/>
        <w:wordWrap/>
        <w:overflowPunct/>
        <w:topLinePunct w:val="0"/>
        <w:bidi w:val="0"/>
        <w:spacing w:line="400" w:lineRule="atLeast"/>
        <w:jc w:val="left"/>
        <w:textAlignment w:val="auto"/>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lang w:val="en-US" w:eastAsia="zh-CN"/>
        </w:rPr>
        <w:t>帐   号：4500 1676 1140 5070 2700</w:t>
      </w:r>
    </w:p>
    <w:p>
      <w:pPr>
        <w:spacing w:line="400" w:lineRule="exact"/>
        <w:rPr>
          <w:rFonts w:hint="eastAsia" w:ascii="宋体" w:hAnsi="宋体" w:eastAsia="宋体"/>
          <w:color w:val="FF0000"/>
          <w:sz w:val="24"/>
          <w:szCs w:val="24"/>
          <w:highlight w:val="none"/>
        </w:rPr>
      </w:pP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u w:val="single"/>
        </w:rPr>
        <w:t>汇款时备注：</w:t>
      </w:r>
      <w:r>
        <w:rPr>
          <w:rFonts w:hint="eastAsia" w:ascii="宋体" w:hAnsi="宋体" w:eastAsia="宋体"/>
          <w:color w:val="FF0000"/>
          <w:sz w:val="24"/>
          <w:szCs w:val="24"/>
          <w:highlight w:val="none"/>
          <w:u w:val="single"/>
          <w:lang w:val="en-US" w:eastAsia="zh-CN"/>
        </w:rPr>
        <w:t>电解铝业务部各铝厂2025年上半年阳极磷生铁等采购项目</w:t>
      </w:r>
      <w:r>
        <w:rPr>
          <w:rFonts w:hint="eastAsia" w:ascii="宋体" w:hAnsi="宋体" w:eastAsia="宋体"/>
          <w:color w:val="FF0000"/>
          <w:sz w:val="24"/>
          <w:szCs w:val="24"/>
          <w:highlight w:val="none"/>
          <w:u w:val="single"/>
        </w:rPr>
        <w:t>投标保证金</w:t>
      </w:r>
      <w:r>
        <w:rPr>
          <w:rFonts w:hint="eastAsia" w:ascii="宋体" w:hAnsi="宋体" w:eastAsia="宋体"/>
          <w:color w:val="FF0000"/>
          <w:sz w:val="24"/>
          <w:szCs w:val="24"/>
          <w:highlight w:val="none"/>
        </w:rPr>
        <w:t>）</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pPr>
        <w:spacing w:line="400" w:lineRule="exact"/>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FF0000"/>
          <w:sz w:val="24"/>
          <w:szCs w:val="24"/>
          <w:highlight w:val="none"/>
        </w:rPr>
        <w:t>中标人的投标保证金在中标人与招标方签订了经济合同</w:t>
      </w:r>
      <w:r>
        <w:rPr>
          <w:rFonts w:hint="eastAsia" w:ascii="宋体" w:hAnsi="宋体" w:eastAsia="宋体"/>
          <w:color w:val="FF0000"/>
          <w:sz w:val="24"/>
          <w:szCs w:val="24"/>
          <w:highlight w:val="none"/>
          <w:lang w:val="en-US" w:eastAsia="zh-CN"/>
        </w:rPr>
        <w:t>并重新缴纳履约金至业务单位后退还</w:t>
      </w: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lang w:val="en-US" w:eastAsia="zh-CN"/>
        </w:rPr>
        <w:t>第二预中标人的投标保证金在</w:t>
      </w:r>
      <w:r>
        <w:rPr>
          <w:rFonts w:hint="eastAsia" w:ascii="宋体" w:hAnsi="宋体" w:eastAsia="宋体"/>
          <w:color w:val="FF0000"/>
          <w:sz w:val="24"/>
          <w:szCs w:val="24"/>
          <w:highlight w:val="none"/>
        </w:rPr>
        <w:t>中标人与招标方签订了经济合同后</w:t>
      </w:r>
      <w:r>
        <w:rPr>
          <w:rFonts w:hint="eastAsia" w:ascii="宋体" w:hAnsi="宋体" w:eastAsia="宋体"/>
          <w:color w:val="FF0000"/>
          <w:sz w:val="24"/>
          <w:szCs w:val="24"/>
          <w:highlight w:val="none"/>
          <w:lang w:val="en-US" w:eastAsia="zh-CN"/>
        </w:rPr>
        <w:t>退还，</w:t>
      </w:r>
      <w:r>
        <w:rPr>
          <w:rFonts w:hint="eastAsia" w:ascii="宋体" w:hAnsi="宋体" w:eastAsia="宋体" w:cs="宋体"/>
          <w:b w:val="0"/>
          <w:bCs w:val="0"/>
          <w:color w:val="FF0000"/>
          <w:sz w:val="24"/>
          <w:szCs w:val="24"/>
          <w:highlight w:val="none"/>
        </w:rPr>
        <w:t>其余未中标人的投标保证金将在确定中标人后无息退还</w:t>
      </w:r>
      <w:r>
        <w:rPr>
          <w:rFonts w:hint="eastAsia" w:ascii="宋体" w:hAnsi="宋体" w:eastAsia="宋体" w:cs="宋体"/>
          <w:b w:val="0"/>
          <w:bCs w:val="0"/>
          <w:sz w:val="24"/>
          <w:szCs w:val="24"/>
        </w:rPr>
        <w:t>。</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spacing w:line="360" w:lineRule="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auto"/>
          <w:sz w:val="24"/>
          <w:szCs w:val="24"/>
          <w:highlight w:val="none"/>
          <w:lang w:val="en-US" w:eastAsia="zh-CN"/>
        </w:rPr>
        <w:t>中标人若明示或以其他行为不按规定时间签订或拒不签订正式合同的；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2）中标人若明示或以其他行为不按规定时间提交招标文件已载明履约保证金的；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pPr>
        <w:pStyle w:val="2"/>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7.履约保证金</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乙方须在本合同签订后7日内向甲方缴纳合同金额的3%作为履约保证金。乙方在投标时已经缴纳的投标保证金在本合同签订并重新缴纳履约保证金后退回。</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pStyle w:val="2"/>
        <w:spacing w:line="360" w:lineRule="auto"/>
        <w:rPr>
          <w:rFonts w:hint="eastAsia"/>
          <w:lang w:val="en-US" w:eastAsia="zh-CN"/>
        </w:rPr>
      </w:pPr>
      <w:r>
        <w:rPr>
          <w:rFonts w:hint="eastAsia" w:ascii="宋体" w:hAnsi="宋体" w:eastAsia="宋体" w:cs="宋体"/>
          <w:sz w:val="24"/>
          <w:szCs w:val="24"/>
          <w:lang w:val="en-US" w:eastAsia="zh-CN"/>
        </w:rPr>
        <w:t>7.3 履约保证金的退还：乙方按合同履约完成服务业务经甲方确认之日起30日内，甲方将履约保证金全额无息退还给乙方；如有违约金或损失赔偿金等需要扣除的，则退还扣除后的剩余部分。</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
        <w:rPr>
          <w:rFonts w:hint="eastAsia" w:asciiTheme="majorEastAsia" w:hAnsiTheme="majorEastAsia" w:eastAsiaTheme="majorEastAsia" w:cstheme="majorEastAsia"/>
          <w:color w:val="auto"/>
          <w:sz w:val="24"/>
          <w:szCs w:val="24"/>
          <w:lang w:val="en-US" w:eastAsia="zh-CN"/>
        </w:rPr>
      </w:pPr>
    </w:p>
    <w:p>
      <w:pPr>
        <w:pStyle w:val="4"/>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9.联系方式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赵尚</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s="宋体"/>
          <w:b/>
          <w:bCs/>
          <w:color w:val="auto"/>
          <w:sz w:val="21"/>
          <w:szCs w:val="21"/>
          <w:lang w:eastAsia="zh-CN"/>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
        <w:rPr>
          <w:rFonts w:hint="eastAsia"/>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广西田阳、德保、田林、隆林百矿铝业有限公司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阳极</w:t>
      </w:r>
      <w:r>
        <w:rPr>
          <w:rFonts w:hint="eastAsia" w:ascii="宋体" w:hAnsi="宋体" w:eastAsia="宋体" w:cs="宋体"/>
          <w:b w:val="0"/>
          <w:bCs w:val="0"/>
          <w:sz w:val="21"/>
          <w:szCs w:val="21"/>
          <w:lang w:val="en-US" w:eastAsia="zh-CN"/>
        </w:rPr>
        <w:t>磷生铁等采购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电解铝业务部各铝厂2025年上半年阳极磷生铁等采购项目</w:t>
      </w:r>
      <w:bookmarkStart w:id="2" w:name="_GoBack"/>
      <w:bookmarkEnd w:id="2"/>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lang w:eastAsia="zh-CN"/>
        </w:rPr>
        <w:t>阳极</w:t>
      </w:r>
      <w:r>
        <w:rPr>
          <w:rFonts w:hint="eastAsia" w:ascii="宋体" w:hAnsi="宋体" w:eastAsia="宋体" w:cs="宋体"/>
          <w:b w:val="0"/>
          <w:bCs w:val="0"/>
          <w:sz w:val="21"/>
          <w:szCs w:val="21"/>
          <w:lang w:val="en-US" w:eastAsia="zh-CN"/>
        </w:rPr>
        <w:t>磷生铁等</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阳极</w:t>
      </w:r>
      <w:r>
        <w:rPr>
          <w:rFonts w:hint="eastAsia" w:ascii="宋体" w:hAnsi="宋体" w:eastAsia="宋体" w:cs="宋体"/>
          <w:b w:val="0"/>
          <w:bCs w:val="0"/>
          <w:sz w:val="21"/>
          <w:szCs w:val="21"/>
          <w:lang w:val="en-US" w:eastAsia="zh-CN"/>
        </w:rPr>
        <w:t>磷生铁等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10437703"/>
    <w:rsid w:val="113A610C"/>
    <w:rsid w:val="12290200"/>
    <w:rsid w:val="12AC23E2"/>
    <w:rsid w:val="136B5FB3"/>
    <w:rsid w:val="13934C8A"/>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782E39"/>
    <w:rsid w:val="256C065C"/>
    <w:rsid w:val="263920D0"/>
    <w:rsid w:val="271C3AA6"/>
    <w:rsid w:val="27FF17B9"/>
    <w:rsid w:val="28266776"/>
    <w:rsid w:val="28DF7FBC"/>
    <w:rsid w:val="2A7055D9"/>
    <w:rsid w:val="2BB655EB"/>
    <w:rsid w:val="2CA17371"/>
    <w:rsid w:val="2DE03868"/>
    <w:rsid w:val="2EFA0920"/>
    <w:rsid w:val="2F2E0DD3"/>
    <w:rsid w:val="2FDF0AC1"/>
    <w:rsid w:val="30433658"/>
    <w:rsid w:val="30530CB9"/>
    <w:rsid w:val="31241C20"/>
    <w:rsid w:val="31A606A8"/>
    <w:rsid w:val="3370188D"/>
    <w:rsid w:val="337C12F0"/>
    <w:rsid w:val="33A5028C"/>
    <w:rsid w:val="340A6022"/>
    <w:rsid w:val="34991DD6"/>
    <w:rsid w:val="34A26162"/>
    <w:rsid w:val="34E47465"/>
    <w:rsid w:val="360E21C1"/>
    <w:rsid w:val="36401C52"/>
    <w:rsid w:val="37861D96"/>
    <w:rsid w:val="37FD118C"/>
    <w:rsid w:val="38AC6F88"/>
    <w:rsid w:val="3A3E06A3"/>
    <w:rsid w:val="3B0722D4"/>
    <w:rsid w:val="3CCC43B5"/>
    <w:rsid w:val="3E4F3034"/>
    <w:rsid w:val="408373C1"/>
    <w:rsid w:val="409E30A8"/>
    <w:rsid w:val="40FC4CB0"/>
    <w:rsid w:val="41034C6C"/>
    <w:rsid w:val="41504F94"/>
    <w:rsid w:val="47AB2817"/>
    <w:rsid w:val="487415C3"/>
    <w:rsid w:val="487B65BE"/>
    <w:rsid w:val="4B166A95"/>
    <w:rsid w:val="4B493BD2"/>
    <w:rsid w:val="4C7157A4"/>
    <w:rsid w:val="4D2423DA"/>
    <w:rsid w:val="4F3E52A8"/>
    <w:rsid w:val="4F586394"/>
    <w:rsid w:val="4F8E66AE"/>
    <w:rsid w:val="50232F42"/>
    <w:rsid w:val="51DE68AB"/>
    <w:rsid w:val="52074CBA"/>
    <w:rsid w:val="533D0BDE"/>
    <w:rsid w:val="53411EE9"/>
    <w:rsid w:val="53513A3C"/>
    <w:rsid w:val="53672E8B"/>
    <w:rsid w:val="536F00DE"/>
    <w:rsid w:val="539313E4"/>
    <w:rsid w:val="55497E47"/>
    <w:rsid w:val="561B446B"/>
    <w:rsid w:val="56B26B95"/>
    <w:rsid w:val="57005247"/>
    <w:rsid w:val="5780446C"/>
    <w:rsid w:val="57C021E2"/>
    <w:rsid w:val="57C6574D"/>
    <w:rsid w:val="5A141886"/>
    <w:rsid w:val="5A58599B"/>
    <w:rsid w:val="5B1D587B"/>
    <w:rsid w:val="5B2172A6"/>
    <w:rsid w:val="5B3434F8"/>
    <w:rsid w:val="5D1619BA"/>
    <w:rsid w:val="5E6A71F7"/>
    <w:rsid w:val="5FD41082"/>
    <w:rsid w:val="600E2170"/>
    <w:rsid w:val="60733780"/>
    <w:rsid w:val="60934C78"/>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226F1D"/>
    <w:rsid w:val="6E1038D1"/>
    <w:rsid w:val="6EA76F13"/>
    <w:rsid w:val="6F5D25CA"/>
    <w:rsid w:val="71246855"/>
    <w:rsid w:val="716B46DE"/>
    <w:rsid w:val="724F2B10"/>
    <w:rsid w:val="72E55401"/>
    <w:rsid w:val="73645753"/>
    <w:rsid w:val="73B93F82"/>
    <w:rsid w:val="74E62BE1"/>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link w:val="15"/>
    <w:unhideWhenUsed/>
    <w:qFormat/>
    <w:uiPriority w:val="1"/>
    <w:rPr>
      <w:kern w:val="1"/>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6"/>
    <w:autoRedefine/>
    <w:unhideWhenUsed/>
    <w:qFormat/>
    <w:uiPriority w:val="99"/>
    <w:pPr>
      <w:jc w:val="left"/>
    </w:pPr>
  </w:style>
  <w:style w:type="paragraph" w:styleId="6">
    <w:name w:val="Body Text"/>
    <w:basedOn w:val="1"/>
    <w:autoRedefine/>
    <w:qFormat/>
    <w:uiPriority w:val="1"/>
    <w:pPr>
      <w:ind w:left="169"/>
    </w:pPr>
    <w:rPr>
      <w:rFonts w:ascii="宋体" w:hAnsi="宋体" w:eastAsia="宋体" w:cs="宋体"/>
      <w:sz w:val="24"/>
      <w:szCs w:val="24"/>
      <w:lang w:val="zh-CN" w:eastAsia="zh-CN" w:bidi="zh-CN"/>
    </w:rPr>
  </w:style>
  <w:style w:type="paragraph" w:styleId="7">
    <w:name w:val="Date"/>
    <w:basedOn w:val="1"/>
    <w:next w:val="1"/>
    <w:link w:val="24"/>
    <w:autoRedefine/>
    <w:unhideWhenUsed/>
    <w:qFormat/>
    <w:uiPriority w:val="99"/>
    <w:pPr>
      <w:ind w:left="100" w:leftChars="2500"/>
    </w:pPr>
  </w:style>
  <w:style w:type="paragraph" w:styleId="8">
    <w:name w:val="Balloon Text"/>
    <w:basedOn w:val="1"/>
    <w:link w:val="27"/>
    <w:autoRedefine/>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autoRedefine/>
    <w:qFormat/>
    <w:uiPriority w:val="0"/>
    <w:rPr>
      <w:kern w:val="1"/>
    </w:rPr>
  </w:style>
  <w:style w:type="character" w:styleId="16">
    <w:name w:val="Strong"/>
    <w:basedOn w:val="14"/>
    <w:qFormat/>
    <w:uiPriority w:val="22"/>
    <w:rPr>
      <w:b/>
      <w:bCs/>
    </w:rPr>
  </w:style>
  <w:style w:type="character" w:styleId="17">
    <w:name w:val="page number"/>
    <w:basedOn w:val="14"/>
    <w:qFormat/>
    <w:uiPriority w:val="0"/>
  </w:style>
  <w:style w:type="character" w:styleId="18">
    <w:name w:val="FollowedHyperlink"/>
    <w:basedOn w:val="14"/>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unhideWhenUsed/>
    <w:qFormat/>
    <w:uiPriority w:val="99"/>
    <w:rPr>
      <w:sz w:val="21"/>
      <w:szCs w:val="21"/>
    </w:rPr>
  </w:style>
  <w:style w:type="character" w:customStyle="1" w:styleId="22">
    <w:name w:val="页眉 Char"/>
    <w:basedOn w:val="14"/>
    <w:link w:val="10"/>
    <w:qFormat/>
    <w:uiPriority w:val="99"/>
    <w:rPr>
      <w:sz w:val="18"/>
      <w:szCs w:val="18"/>
    </w:rPr>
  </w:style>
  <w:style w:type="character" w:customStyle="1" w:styleId="23">
    <w:name w:val="页脚 Char"/>
    <w:basedOn w:val="14"/>
    <w:link w:val="9"/>
    <w:autoRedefine/>
    <w:qFormat/>
    <w:uiPriority w:val="99"/>
    <w:rPr>
      <w:sz w:val="18"/>
      <w:szCs w:val="18"/>
    </w:rPr>
  </w:style>
  <w:style w:type="character" w:customStyle="1" w:styleId="24">
    <w:name w:val="日期 Char"/>
    <w:basedOn w:val="14"/>
    <w:link w:val="7"/>
    <w:autoRedefine/>
    <w:semiHidden/>
    <w:qFormat/>
    <w:uiPriority w:val="99"/>
  </w:style>
  <w:style w:type="paragraph" w:customStyle="1" w:styleId="25">
    <w:name w:val="List Paragraph"/>
    <w:basedOn w:val="1"/>
    <w:autoRedefine/>
    <w:qFormat/>
    <w:uiPriority w:val="34"/>
    <w:pPr>
      <w:ind w:firstLine="420" w:firstLineChars="200"/>
    </w:pPr>
  </w:style>
  <w:style w:type="character" w:customStyle="1" w:styleId="26">
    <w:name w:val="批注文字 Char"/>
    <w:basedOn w:val="14"/>
    <w:link w:val="5"/>
    <w:semiHidden/>
    <w:qFormat/>
    <w:uiPriority w:val="99"/>
  </w:style>
  <w:style w:type="character" w:customStyle="1" w:styleId="27">
    <w:name w:val="批注框文本 Char"/>
    <w:basedOn w:val="14"/>
    <w:link w:val="8"/>
    <w:semiHidden/>
    <w:qFormat/>
    <w:uiPriority w:val="99"/>
    <w:rPr>
      <w:sz w:val="18"/>
      <w:szCs w:val="18"/>
    </w:rPr>
  </w:style>
  <w:style w:type="paragraph" w:customStyle="1" w:styleId="28">
    <w:name w:val="z0"/>
    <w:basedOn w:val="1"/>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4"/>
    <w:qFormat/>
    <w:uiPriority w:val="0"/>
    <w:rPr>
      <w:rFonts w:hint="eastAsia" w:ascii="宋体" w:hAnsi="宋体" w:eastAsia="宋体" w:cs="宋体"/>
      <w:color w:val="000000"/>
      <w:sz w:val="24"/>
      <w:szCs w:val="24"/>
      <w:u w:val="none"/>
    </w:rPr>
  </w:style>
  <w:style w:type="character" w:customStyle="1" w:styleId="32">
    <w:name w:val="font41"/>
    <w:basedOn w:val="14"/>
    <w:qFormat/>
    <w:uiPriority w:val="0"/>
    <w:rPr>
      <w:rFonts w:hint="default" w:ascii="Times New Roman" w:hAnsi="Times New Roman" w:cs="Times New Roman"/>
      <w:color w:val="000000"/>
      <w:sz w:val="22"/>
      <w:szCs w:val="22"/>
      <w:u w:val="none"/>
    </w:rPr>
  </w:style>
  <w:style w:type="character" w:customStyle="1" w:styleId="33">
    <w:name w:val="font1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9</TotalTime>
  <ScaleCrop>false</ScaleCrop>
  <LinksUpToDate>false</LinksUpToDate>
  <CharactersWithSpaces>5128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heart枫林火山</cp:lastModifiedBy>
  <dcterms:modified xsi:type="dcterms:W3CDTF">2024-12-20T04:06:16Z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BD3C30A683794D4FA96E423101E5F91B</vt:lpwstr>
  </property>
  <property fmtid="{D5CDD505-2E9C-101B-9397-08002B2CF9AE}" pid="4" name="EagleCloud">
    <vt:lpwstr>{"watermark_type":"track","current_time":"2024-11-29 11:13","employee_id":"emp_58298df7-4d0a-48c3-a21c-d73430291a62","agent_id":"84e8bc1098a31cc194ae48483c5dab789988a53c383a1d88fd67671a4d26c0fb","process":"","custom_content":"科技租户","total_content":"2024-11-29 11:13-emp_58298df7-4d0a-48c3-a21c-d73430291a62-84e8bc1098a31cc194ae48483c5dab789988a53c383a1d88fd67671a4d26c0fb-{{process}}-科技租户"}</vt:lpwstr>
  </property>
</Properties>
</file>