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石油焦质量协议</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jc w:val="both"/>
        <w:textAlignment w:val="auto"/>
        <w:outlineLvl w:val="0"/>
        <w:rPr>
          <w:rStyle w:val="10"/>
          <w:rFonts w:hint="eastAsia" w:ascii="黑体" w:hAnsi="黑体" w:eastAsia="黑体" w:cs="黑体"/>
          <w:b w:val="0"/>
          <w:bCs/>
          <w:sz w:val="24"/>
          <w:szCs w:val="24"/>
          <w:lang w:val="en-US" w:eastAsia="zh-CN"/>
        </w:rPr>
      </w:pPr>
      <w:bookmarkStart w:id="0" w:name="_Toc14880"/>
      <w:r>
        <w:rPr>
          <w:rStyle w:val="10"/>
          <w:rFonts w:hint="eastAsia" w:ascii="黑体" w:hAnsi="黑体" w:eastAsia="黑体" w:cs="黑体"/>
          <w:b w:val="0"/>
          <w:bCs/>
          <w:sz w:val="24"/>
          <w:szCs w:val="24"/>
          <w:lang w:val="en-US" w:eastAsia="zh-CN"/>
        </w:rPr>
        <w:t>1石油焦（生焦）</w:t>
      </w:r>
      <w:bookmarkEnd w:id="0"/>
    </w:p>
    <w:p>
      <w:pPr>
        <w:keepNext w:val="0"/>
        <w:keepLines w:val="0"/>
        <w:pageBreakBefore w:val="0"/>
        <w:widowControl w:val="0"/>
        <w:kinsoku/>
        <w:wordWrap/>
        <w:overflowPunct/>
        <w:topLinePunct w:val="0"/>
        <w:autoSpaceDE/>
        <w:autoSpaceDN/>
        <w:bidi w:val="0"/>
        <w:adjustRightInd/>
        <w:snapToGrid/>
        <w:spacing w:line="440" w:lineRule="exact"/>
        <w:ind w:left="0" w:leftChars="0"/>
        <w:textAlignment w:val="auto"/>
        <w:outlineLvl w:val="1"/>
        <w:rPr>
          <w:rFonts w:hint="eastAsia" w:ascii="宋体" w:hAnsi="宋体" w:eastAsia="宋体" w:cs="宋体"/>
          <w:b/>
          <w:bCs w:val="0"/>
          <w:kern w:val="10"/>
          <w:sz w:val="24"/>
          <w:lang w:val="en-US" w:eastAsia="zh-CN"/>
        </w:rPr>
      </w:pPr>
      <w:bookmarkStart w:id="1" w:name="_Toc20273"/>
      <w:r>
        <w:rPr>
          <w:rFonts w:hint="eastAsia" w:ascii="宋体" w:hAnsi="宋体" w:eastAsia="宋体" w:cs="宋体"/>
          <w:b/>
          <w:bCs w:val="0"/>
          <w:kern w:val="10"/>
          <w:sz w:val="24"/>
          <w:lang w:val="en-US" w:eastAsia="zh-CN"/>
        </w:rPr>
        <w:t>1.1范围</w:t>
      </w:r>
      <w:bookmarkEnd w:id="1"/>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本标准依据NB/SH/T 0527-2019石油焦（生焦）标准，结合田田碳素实际生产运行情况编制，规定了石油焦理化性能、检验频次及取样方法等要求。</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适用于田田碳素石油焦（生焦）的质量检验及质量验证。</w:t>
      </w:r>
    </w:p>
    <w:p>
      <w:pPr>
        <w:keepNext w:val="0"/>
        <w:keepLines w:val="0"/>
        <w:pageBreakBefore w:val="0"/>
        <w:widowControl w:val="0"/>
        <w:kinsoku/>
        <w:wordWrap/>
        <w:overflowPunct/>
        <w:topLinePunct w:val="0"/>
        <w:autoSpaceDE/>
        <w:autoSpaceDN/>
        <w:bidi w:val="0"/>
        <w:adjustRightInd/>
        <w:snapToGrid/>
        <w:spacing w:line="440" w:lineRule="exact"/>
        <w:ind w:left="0" w:leftChars="0"/>
        <w:textAlignment w:val="auto"/>
        <w:outlineLvl w:val="1"/>
        <w:rPr>
          <w:rFonts w:hint="eastAsia" w:ascii="宋体" w:hAnsi="宋体" w:eastAsia="宋体" w:cs="宋体"/>
          <w:b/>
          <w:bCs w:val="0"/>
          <w:kern w:val="10"/>
          <w:sz w:val="24"/>
          <w:lang w:val="en-US" w:eastAsia="zh-CN"/>
        </w:rPr>
      </w:pPr>
      <w:bookmarkStart w:id="2" w:name="_Toc12099"/>
      <w:r>
        <w:rPr>
          <w:rFonts w:hint="eastAsia" w:ascii="宋体" w:hAnsi="宋体" w:eastAsia="宋体" w:cs="宋体"/>
          <w:b/>
          <w:bCs w:val="0"/>
          <w:kern w:val="10"/>
          <w:sz w:val="24"/>
          <w:lang w:val="en-US" w:eastAsia="zh-CN"/>
        </w:rPr>
        <w:t>1.2规范性引用文件</w:t>
      </w:r>
      <w:bookmarkEnd w:id="2"/>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下列文件中，除正在执行的合同中有明确规定外，其最新版本（包括所有的修改单）适用于本标准。该部分标准的引用，包括（但不限于）取样方法、检测方法、重复性、再现性、数值修约等规定要求。</w:t>
      </w:r>
    </w:p>
    <w:p>
      <w:pPr>
        <w:pStyle w:val="2"/>
        <w:keepNext w:val="0"/>
        <w:keepLines w:val="0"/>
        <w:pageBreakBefore w:val="0"/>
        <w:widowControl w:val="0"/>
        <w:kinsoku/>
        <w:wordWrap/>
        <w:overflowPunct/>
        <w:topLinePunct w:val="0"/>
        <w:bidi w:val="0"/>
        <w:snapToGrid/>
        <w:spacing w:line="440" w:lineRule="exact"/>
        <w:ind w:left="0" w:leftChars="0" w:firstLine="480" w:firstLineChars="200"/>
        <w:textAlignment w:val="auto"/>
        <w:rPr>
          <w:rFonts w:hint="eastAsia" w:ascii="宋体" w:hAnsi="宋体" w:eastAsia="宋体" w:cs="Times New Roman"/>
          <w:color w:val="auto"/>
          <w:kern w:val="10"/>
          <w:sz w:val="24"/>
          <w:szCs w:val="24"/>
          <w:highlight w:val="none"/>
          <w:lang w:val="en-US" w:eastAsia="zh-CN"/>
        </w:rPr>
      </w:pPr>
      <w:r>
        <w:rPr>
          <w:rFonts w:hint="eastAsia" w:ascii="宋体" w:hAnsi="宋体" w:eastAsia="宋体" w:cs="Times New Roman"/>
          <w:color w:val="auto"/>
          <w:kern w:val="10"/>
          <w:sz w:val="24"/>
          <w:szCs w:val="24"/>
          <w:highlight w:val="none"/>
          <w:lang w:val="en-US" w:eastAsia="zh-CN"/>
        </w:rPr>
        <w:t>GB/T 8170</w:t>
      </w:r>
      <w:r>
        <w:rPr>
          <w:rFonts w:hint="eastAsia" w:ascii="宋体" w:hAnsi="宋体" w:cs="Times New Roman"/>
          <w:color w:val="auto"/>
          <w:kern w:val="10"/>
          <w:sz w:val="24"/>
          <w:szCs w:val="24"/>
          <w:highlight w:val="none"/>
          <w:lang w:val="en-US" w:eastAsia="zh-CN"/>
        </w:rPr>
        <w:t xml:space="preserve"> </w:t>
      </w:r>
      <w:r>
        <w:rPr>
          <w:rFonts w:hint="eastAsia" w:ascii="宋体" w:hAnsi="宋体" w:eastAsia="宋体" w:cs="Times New Roman"/>
          <w:color w:val="auto"/>
          <w:kern w:val="10"/>
          <w:sz w:val="24"/>
          <w:szCs w:val="24"/>
          <w:highlight w:val="none"/>
          <w:lang w:val="en-US" w:eastAsia="zh-CN"/>
        </w:rPr>
        <w:t>数值修约规则与极限数值的表示和判定</w:t>
      </w:r>
    </w:p>
    <w:p>
      <w:pPr>
        <w:pStyle w:val="2"/>
        <w:keepNext w:val="0"/>
        <w:keepLines w:val="0"/>
        <w:pageBreakBefore w:val="0"/>
        <w:widowControl w:val="0"/>
        <w:kinsoku/>
        <w:wordWrap/>
        <w:overflowPunct/>
        <w:topLinePunct w:val="0"/>
        <w:bidi w:val="0"/>
        <w:snapToGrid/>
        <w:spacing w:line="440" w:lineRule="exact"/>
        <w:ind w:left="0" w:leftChars="0" w:firstLine="480" w:firstLineChars="200"/>
        <w:rPr>
          <w:rFonts w:hint="eastAsia" w:ascii="宋体" w:hAnsi="宋体" w:eastAsia="宋体" w:cs="Times New Roman"/>
          <w:color w:val="auto"/>
          <w:kern w:val="10"/>
          <w:sz w:val="24"/>
          <w:szCs w:val="24"/>
          <w:highlight w:val="none"/>
          <w:lang w:val="en-US" w:eastAsia="zh-CN"/>
        </w:rPr>
      </w:pPr>
      <w:r>
        <w:rPr>
          <w:rFonts w:hint="eastAsia" w:ascii="宋体" w:hAnsi="宋体" w:eastAsia="宋体" w:cs="Times New Roman"/>
          <w:kern w:val="10"/>
          <w:sz w:val="24"/>
          <w:lang w:val="en-US" w:eastAsia="zh-CN"/>
        </w:rPr>
        <w:t>NB/SH/T 0527</w:t>
      </w:r>
      <w:r>
        <w:rPr>
          <w:rFonts w:hint="eastAsia" w:ascii="宋体" w:hAnsi="宋体" w:cs="Times New Roman"/>
          <w:kern w:val="10"/>
          <w:sz w:val="24"/>
          <w:lang w:val="en-US" w:eastAsia="zh-CN"/>
        </w:rPr>
        <w:t>-</w:t>
      </w:r>
      <w:r>
        <w:rPr>
          <w:rFonts w:hint="eastAsia" w:ascii="宋体" w:hAnsi="宋体" w:eastAsia="宋体" w:cs="Times New Roman"/>
          <w:kern w:val="10"/>
          <w:sz w:val="24"/>
          <w:lang w:val="en-US" w:eastAsia="zh-CN"/>
        </w:rPr>
        <w:t>2019石油焦（生焦）</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YS/T 63.16铝用炭素材料检测方法 第16部份 微量元素的测定X射线荧光光谱分析方法</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SH/T 0026石油焦挥发分测定法</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SH/T 0029石油焦灰分测定法</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SH/T 0032石油焦总水分测定法</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SH/T 0313石油焦检验法</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default" w:ascii="宋体" w:hAnsi="宋体" w:eastAsia="宋体" w:cs="Times New Roman"/>
          <w:kern w:val="10"/>
          <w:sz w:val="24"/>
          <w:highlight w:val="none"/>
          <w:lang w:val="en-US" w:eastAsia="zh-CN"/>
        </w:rPr>
      </w:pPr>
      <w:r>
        <w:rPr>
          <w:rFonts w:hint="default" w:ascii="宋体" w:hAnsi="宋体" w:eastAsia="宋体" w:cs="Times New Roman"/>
          <w:kern w:val="10"/>
          <w:sz w:val="24"/>
          <w:highlight w:val="none"/>
          <w:lang w:val="en-US" w:eastAsia="zh-CN"/>
        </w:rPr>
        <w:t>GB/T</w:t>
      </w:r>
      <w:r>
        <w:rPr>
          <w:rFonts w:hint="eastAsia" w:ascii="宋体" w:hAnsi="宋体" w:eastAsia="宋体" w:cs="Times New Roman"/>
          <w:kern w:val="10"/>
          <w:sz w:val="24"/>
          <w:highlight w:val="none"/>
          <w:lang w:val="en-US" w:eastAsia="zh-CN"/>
        </w:rPr>
        <w:t xml:space="preserve"> </w:t>
      </w:r>
      <w:r>
        <w:rPr>
          <w:rFonts w:hint="default" w:ascii="宋体" w:hAnsi="宋体" w:eastAsia="宋体" w:cs="Times New Roman"/>
          <w:kern w:val="10"/>
          <w:sz w:val="24"/>
          <w:highlight w:val="none"/>
          <w:lang w:val="en-US" w:eastAsia="zh-CN"/>
        </w:rPr>
        <w:t>211煤中全水分的测定方法</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default" w:ascii="宋体" w:hAnsi="宋体" w:eastAsia="宋体" w:cs="Times New Roman"/>
          <w:kern w:val="10"/>
          <w:sz w:val="24"/>
          <w:highlight w:val="none"/>
          <w:lang w:val="en-US" w:eastAsia="zh-CN"/>
        </w:rPr>
      </w:pPr>
      <w:r>
        <w:rPr>
          <w:rFonts w:hint="default" w:ascii="宋体" w:hAnsi="宋体" w:eastAsia="宋体" w:cs="Times New Roman"/>
          <w:kern w:val="10"/>
          <w:sz w:val="24"/>
          <w:highlight w:val="none"/>
          <w:lang w:val="en-US" w:eastAsia="zh-CN"/>
        </w:rPr>
        <w:t>GB/T 214-2007煤中全硫的测定方法</w:t>
      </w:r>
    </w:p>
    <w:p>
      <w:pPr>
        <w:keepNext w:val="0"/>
        <w:keepLines w:val="0"/>
        <w:pageBreakBefore w:val="0"/>
        <w:widowControl w:val="0"/>
        <w:kinsoku/>
        <w:wordWrap/>
        <w:overflowPunct/>
        <w:topLinePunct w:val="0"/>
        <w:autoSpaceDE/>
        <w:autoSpaceDN/>
        <w:bidi w:val="0"/>
        <w:adjustRightInd/>
        <w:snapToGrid/>
        <w:spacing w:line="440" w:lineRule="exact"/>
        <w:ind w:left="0" w:leftChars="0"/>
        <w:textAlignment w:val="auto"/>
        <w:outlineLvl w:val="1"/>
        <w:rPr>
          <w:rFonts w:hint="eastAsia" w:ascii="黑体" w:hAnsi="黑体" w:eastAsia="黑体" w:cs="黑体"/>
          <w:b w:val="0"/>
          <w:bCs/>
          <w:kern w:val="10"/>
          <w:sz w:val="24"/>
          <w:lang w:val="en-US" w:eastAsia="zh-CN"/>
        </w:rPr>
      </w:pPr>
      <w:bookmarkStart w:id="3" w:name="_Toc16748"/>
      <w:r>
        <w:rPr>
          <w:rFonts w:hint="eastAsia" w:ascii="宋体" w:hAnsi="宋体" w:eastAsia="宋体" w:cs="宋体"/>
          <w:b/>
          <w:bCs w:val="0"/>
          <w:kern w:val="10"/>
          <w:sz w:val="24"/>
          <w:lang w:val="en-US" w:eastAsia="zh-CN"/>
        </w:rPr>
        <w:t>1.3技术要求和试验方法</w:t>
      </w:r>
      <w:bookmarkEnd w:id="3"/>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黑体" w:hAnsi="黑体" w:eastAsia="黑体" w:cs="黑体"/>
          <w:b w:val="0"/>
          <w:bCs w:val="0"/>
          <w:color w:val="auto"/>
          <w:kern w:val="10"/>
          <w:sz w:val="24"/>
          <w:szCs w:val="22"/>
          <w:lang w:val="en-US" w:eastAsia="zh-CN" w:bidi="ar-SA"/>
        </w:rPr>
      </w:pPr>
      <w:r>
        <w:rPr>
          <w:rFonts w:hint="eastAsia" w:ascii="宋体" w:hAnsi="宋体" w:eastAsia="宋体" w:cs="Times New Roman"/>
          <w:kern w:val="10"/>
          <w:sz w:val="24"/>
          <w:lang w:val="en-US" w:eastAsia="zh-CN"/>
        </w:rPr>
        <w:t>石油焦（生焦）的技术要求和试验方法应符合表1规定。</w:t>
      </w:r>
    </w:p>
    <w:p>
      <w:pPr>
        <w:pStyle w:val="6"/>
        <w:keepNext w:val="0"/>
        <w:keepLines w:val="0"/>
        <w:pageBreakBefore w:val="0"/>
        <w:widowControl w:val="0"/>
        <w:tabs>
          <w:tab w:val="left" w:pos="3330"/>
        </w:tabs>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b w:val="0"/>
          <w:bCs w:val="0"/>
          <w:color w:val="auto"/>
          <w:kern w:val="10"/>
          <w:sz w:val="24"/>
          <w:szCs w:val="22"/>
          <w:lang w:val="en-US" w:eastAsia="zh-CN" w:bidi="ar-SA"/>
        </w:rPr>
      </w:pPr>
      <w:r>
        <w:rPr>
          <w:rFonts w:hint="eastAsia" w:ascii="宋体" w:hAnsi="宋体" w:eastAsia="宋体" w:cs="宋体"/>
          <w:b w:val="0"/>
          <w:bCs w:val="0"/>
          <w:color w:val="auto"/>
          <w:kern w:val="10"/>
          <w:sz w:val="24"/>
          <w:szCs w:val="22"/>
          <w:lang w:val="en-US" w:eastAsia="zh-CN" w:bidi="ar-SA"/>
        </w:rPr>
        <w:t>表1：石油焦（生焦）技术要求和试验方法</w:t>
      </w:r>
    </w:p>
    <w:tbl>
      <w:tblPr>
        <w:tblStyle w:val="7"/>
        <w:tblW w:w="935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2331"/>
        <w:gridCol w:w="1305"/>
        <w:gridCol w:w="1605"/>
        <w:gridCol w:w="1645"/>
        <w:gridCol w:w="2467"/>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4" w:hRule="atLeast"/>
          <w:tblHeader/>
          <w:jc w:val="center"/>
        </w:trPr>
        <w:tc>
          <w:tcPr>
            <w:tcW w:w="2331" w:type="dxa"/>
            <w:vMerge w:val="restart"/>
            <w:tcBorders>
              <w:right w:val="single" w:color="000000"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both"/>
              <w:textAlignment w:val="auto"/>
              <w:rPr>
                <w:rFonts w:hint="eastAsia" w:ascii="宋体" w:hAnsi="宋体" w:eastAsia="宋体" w:cs="宋体"/>
                <w:b/>
                <w:bCs/>
                <w:color w:val="auto"/>
                <w:kern w:val="1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80" w:lineRule="exact"/>
              <w:ind w:left="0" w:leftChars="0" w:firstLine="241" w:firstLineChars="100"/>
              <w:jc w:val="center"/>
              <w:textAlignment w:val="auto"/>
              <w:rPr>
                <w:rFonts w:hint="eastAsia" w:ascii="宋体" w:hAnsi="宋体" w:eastAsia="宋体" w:cs="宋体"/>
                <w:b/>
                <w:bCs/>
                <w:color w:val="auto"/>
                <w:kern w:val="10"/>
                <w:sz w:val="24"/>
                <w:szCs w:val="24"/>
                <w:lang w:val="en-US" w:eastAsia="zh-CN"/>
              </w:rPr>
            </w:pPr>
            <w:r>
              <w:rPr>
                <w:rFonts w:hint="eastAsia" w:ascii="宋体" w:hAnsi="宋体" w:eastAsia="宋体" w:cs="宋体"/>
                <w:b/>
                <w:bCs/>
                <w:color w:val="auto"/>
                <w:kern w:val="10"/>
                <w:sz w:val="24"/>
                <w:szCs w:val="24"/>
                <w:lang w:val="en-US" w:eastAsia="zh-CN"/>
              </w:rPr>
              <w:t>项</w:t>
            </w:r>
            <w:r>
              <w:rPr>
                <w:rFonts w:hint="eastAsia" w:ascii="宋体" w:hAnsi="宋体" w:eastAsia="宋体" w:cs="宋体"/>
                <w:b/>
                <w:bCs/>
                <w:color w:val="auto"/>
                <w:kern w:val="10"/>
                <w:sz w:val="24"/>
                <w:szCs w:val="24"/>
                <w:lang w:val="en-US" w:eastAsia="zh-CN"/>
              </w:rPr>
              <w:tab/>
            </w:r>
            <w:r>
              <w:rPr>
                <w:rFonts w:hint="eastAsia" w:ascii="宋体" w:hAnsi="宋体" w:eastAsia="宋体" w:cs="宋体"/>
                <w:b/>
                <w:bCs/>
                <w:color w:val="auto"/>
                <w:kern w:val="10"/>
                <w:sz w:val="24"/>
                <w:szCs w:val="24"/>
                <w:lang w:val="en-US" w:eastAsia="zh-CN"/>
              </w:rPr>
              <w:t>目</w:t>
            </w:r>
          </w:p>
        </w:tc>
        <w:tc>
          <w:tcPr>
            <w:tcW w:w="4555" w:type="dxa"/>
            <w:gridSpan w:val="3"/>
            <w:tcBorders>
              <w:left w:val="single" w:color="000000"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bCs/>
                <w:color w:val="auto"/>
                <w:kern w:val="10"/>
                <w:sz w:val="24"/>
                <w:szCs w:val="24"/>
                <w:lang w:val="en-US" w:eastAsia="zh-CN"/>
              </w:rPr>
            </w:pPr>
            <w:r>
              <w:rPr>
                <w:rFonts w:hint="eastAsia" w:ascii="宋体" w:hAnsi="宋体" w:eastAsia="宋体" w:cs="宋体"/>
                <w:b/>
                <w:bCs/>
                <w:color w:val="auto"/>
                <w:kern w:val="10"/>
                <w:sz w:val="24"/>
                <w:szCs w:val="24"/>
                <w:lang w:val="en-US" w:eastAsia="zh-CN"/>
              </w:rPr>
              <w:t>质量指标</w:t>
            </w:r>
          </w:p>
        </w:tc>
        <w:tc>
          <w:tcPr>
            <w:tcW w:w="2467" w:type="dxa"/>
            <w:vMerge w:val="restart"/>
            <w:tcBorders>
              <w:left w:val="single" w:color="000000"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firstLine="240" w:firstLineChars="100"/>
              <w:jc w:val="center"/>
              <w:textAlignment w:val="auto"/>
              <w:rPr>
                <w:rFonts w:hint="eastAsia" w:ascii="宋体" w:hAnsi="宋体" w:eastAsia="宋体" w:cs="宋体"/>
                <w:b w:val="0"/>
                <w:bCs w:val="0"/>
                <w:color w:val="auto"/>
                <w:kern w:val="1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80" w:lineRule="exact"/>
              <w:ind w:left="0" w:leftChars="0" w:firstLine="241" w:firstLineChars="10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bCs/>
                <w:color w:val="auto"/>
                <w:kern w:val="10"/>
                <w:sz w:val="24"/>
                <w:szCs w:val="24"/>
                <w:lang w:val="en-US" w:eastAsia="zh-CN"/>
              </w:rPr>
              <w:t>试验方法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7" w:hRule="atLeast"/>
          <w:tblHeader/>
          <w:jc w:val="center"/>
        </w:trPr>
        <w:tc>
          <w:tcPr>
            <w:tcW w:w="2331" w:type="dxa"/>
            <w:vMerge w:val="continue"/>
            <w:tcBorders>
              <w:right w:val="single" w:color="000000" w:sz="4" w:space="0"/>
            </w:tcBorders>
          </w:tcPr>
          <w:p>
            <w:pPr>
              <w:keepNext w:val="0"/>
              <w:keepLines w:val="0"/>
              <w:pageBreakBefore w:val="0"/>
              <w:widowControl w:val="0"/>
              <w:kinsoku/>
              <w:wordWrap/>
              <w:overflowPunct/>
              <w:topLinePunct w:val="0"/>
              <w:autoSpaceDE/>
              <w:autoSpaceDN/>
              <w:bidi w:val="0"/>
              <w:adjustRightInd/>
              <w:snapToGrid/>
              <w:spacing w:line="380" w:lineRule="exact"/>
              <w:ind w:left="0" w:leftChars="0" w:firstLine="241" w:firstLineChars="100"/>
              <w:jc w:val="center"/>
              <w:textAlignment w:val="auto"/>
              <w:rPr>
                <w:rFonts w:hint="eastAsia" w:ascii="宋体" w:hAnsi="宋体" w:eastAsia="宋体" w:cs="宋体"/>
                <w:b/>
                <w:bCs/>
                <w:color w:val="auto"/>
                <w:kern w:val="10"/>
                <w:sz w:val="24"/>
                <w:szCs w:val="24"/>
                <w:lang w:val="en-US" w:eastAsia="zh-CN"/>
              </w:rPr>
            </w:pPr>
          </w:p>
        </w:tc>
        <w:tc>
          <w:tcPr>
            <w:tcW w:w="1305" w:type="dxa"/>
            <w:tcBorders>
              <w:top w:val="single" w:color="000000" w:sz="4" w:space="0"/>
              <w:left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bCs/>
                <w:color w:val="auto"/>
                <w:kern w:val="10"/>
                <w:sz w:val="24"/>
                <w:szCs w:val="24"/>
                <w:lang w:val="en-US" w:eastAsia="zh-CN"/>
              </w:rPr>
            </w:pPr>
            <w:r>
              <w:rPr>
                <w:rFonts w:hint="eastAsia" w:ascii="宋体" w:hAnsi="宋体" w:eastAsia="宋体" w:cs="宋体"/>
                <w:b/>
                <w:bCs/>
                <w:color w:val="auto"/>
                <w:kern w:val="10"/>
                <w:sz w:val="24"/>
                <w:szCs w:val="24"/>
                <w:lang w:val="en-US" w:eastAsia="zh-CN"/>
              </w:rPr>
              <w:t>低硫石油焦</w:t>
            </w:r>
          </w:p>
        </w:tc>
        <w:tc>
          <w:tcPr>
            <w:tcW w:w="1605" w:type="dxa"/>
            <w:tcBorders>
              <w:top w:val="single" w:color="000000" w:sz="4" w:space="0"/>
              <w:left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bCs/>
                <w:color w:val="auto"/>
                <w:kern w:val="10"/>
                <w:sz w:val="24"/>
                <w:szCs w:val="24"/>
                <w:lang w:val="en-US" w:eastAsia="zh-CN"/>
              </w:rPr>
            </w:pPr>
            <w:r>
              <w:rPr>
                <w:rFonts w:hint="eastAsia" w:ascii="宋体" w:hAnsi="宋体" w:eastAsia="宋体" w:cs="宋体"/>
                <w:b/>
                <w:bCs/>
                <w:color w:val="auto"/>
                <w:kern w:val="10"/>
                <w:sz w:val="24"/>
                <w:szCs w:val="24"/>
                <w:lang w:val="en-US" w:eastAsia="zh-CN"/>
              </w:rPr>
              <w:t>中硫石油焦</w:t>
            </w:r>
          </w:p>
        </w:tc>
        <w:tc>
          <w:tcPr>
            <w:tcW w:w="1645" w:type="dxa"/>
            <w:tcBorders>
              <w:top w:val="single" w:color="000000" w:sz="4" w:space="0"/>
              <w:left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bCs/>
                <w:color w:val="auto"/>
                <w:kern w:val="10"/>
                <w:sz w:val="24"/>
                <w:szCs w:val="24"/>
                <w:lang w:val="en-US" w:eastAsia="zh-CN"/>
              </w:rPr>
            </w:pPr>
            <w:r>
              <w:rPr>
                <w:rFonts w:hint="eastAsia" w:ascii="宋体" w:hAnsi="宋体" w:eastAsia="宋体" w:cs="宋体"/>
                <w:b/>
                <w:bCs/>
                <w:color w:val="auto"/>
                <w:kern w:val="10"/>
                <w:sz w:val="24"/>
                <w:szCs w:val="24"/>
                <w:lang w:val="en-US" w:eastAsia="zh-CN"/>
              </w:rPr>
              <w:t>高硫石油焦</w:t>
            </w:r>
          </w:p>
        </w:tc>
        <w:tc>
          <w:tcPr>
            <w:tcW w:w="2467" w:type="dxa"/>
            <w:vMerge w:val="continue"/>
            <w:tcBorders>
              <w:left w:val="single" w:color="000000" w:sz="4" w:space="0"/>
            </w:tcBorders>
          </w:tcPr>
          <w:p>
            <w:pPr>
              <w:keepNext w:val="0"/>
              <w:keepLines w:val="0"/>
              <w:pageBreakBefore w:val="0"/>
              <w:widowControl w:val="0"/>
              <w:kinsoku/>
              <w:wordWrap/>
              <w:overflowPunct/>
              <w:topLinePunct w:val="0"/>
              <w:autoSpaceDE/>
              <w:autoSpaceDN/>
              <w:bidi w:val="0"/>
              <w:adjustRightInd/>
              <w:snapToGrid/>
              <w:spacing w:line="380" w:lineRule="exact"/>
              <w:ind w:left="0" w:leftChars="0" w:firstLine="240" w:firstLineChars="100"/>
              <w:jc w:val="center"/>
              <w:textAlignment w:val="auto"/>
              <w:rPr>
                <w:rFonts w:hint="eastAsia" w:ascii="宋体" w:hAnsi="宋体" w:eastAsia="宋体" w:cs="宋体"/>
                <w:b w:val="0"/>
                <w:bCs w:val="0"/>
                <w:color w:val="auto"/>
                <w:kern w:val="10"/>
                <w:sz w:val="24"/>
                <w:szCs w:val="24"/>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5" w:hRule="atLeast"/>
          <w:jc w:val="center"/>
        </w:trPr>
        <w:tc>
          <w:tcPr>
            <w:tcW w:w="2331" w:type="dxa"/>
            <w:tcBorders>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硫含量（质量分数）%</w:t>
            </w:r>
          </w:p>
        </w:tc>
        <w:tc>
          <w:tcPr>
            <w:tcW w:w="1305" w:type="dxa"/>
            <w:tcBorders>
              <w:left w:val="single" w:color="000000"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t>≤1.0</w:t>
            </w:r>
          </w:p>
        </w:tc>
        <w:tc>
          <w:tcPr>
            <w:tcW w:w="1605" w:type="dxa"/>
            <w:tcBorders>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t>1.0＜X≤4.0</w:t>
            </w:r>
          </w:p>
        </w:tc>
        <w:tc>
          <w:tcPr>
            <w:tcW w:w="1645" w:type="dxa"/>
            <w:tcBorders>
              <w:left w:val="single" w:color="auto"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t>4.0＜x≤6.0</w:t>
            </w:r>
          </w:p>
        </w:tc>
        <w:tc>
          <w:tcPr>
            <w:tcW w:w="2467" w:type="dxa"/>
            <w:tcBorders>
              <w:left w:val="single" w:color="000000" w:sz="4" w:space="0"/>
              <w:bottom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GB/T214-2007中第4章</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5" w:hRule="atLeast"/>
          <w:jc w:val="center"/>
        </w:trPr>
        <w:tc>
          <w:tcPr>
            <w:tcW w:w="2331" w:type="dxa"/>
            <w:tcBorders>
              <w:top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挥发分（质量分数）%</w:t>
            </w:r>
          </w:p>
        </w:tc>
        <w:tc>
          <w:tcPr>
            <w:tcW w:w="1305" w:type="dxa"/>
            <w:tcBorders>
              <w:top w:val="single" w:color="000000" w:sz="4" w:space="0"/>
              <w:left w:val="single" w:color="000000" w:sz="4" w:space="0"/>
              <w:bottom w:val="single" w:color="000000"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t>≤10</w:t>
            </w:r>
          </w:p>
        </w:tc>
        <w:tc>
          <w:tcPr>
            <w:tcW w:w="1605" w:type="dxa"/>
            <w:tcBorders>
              <w:top w:val="single" w:color="000000" w:sz="4" w:space="0"/>
              <w:left w:val="single" w:color="auto" w:sz="4" w:space="0"/>
              <w:bottom w:val="single" w:color="000000" w:sz="4" w:space="0"/>
              <w:right w:val="single" w:color="auto" w:sz="4" w:space="0"/>
            </w:tcBorders>
            <w:vAlign w:val="top"/>
          </w:tcPr>
          <w:p>
            <w:pPr>
              <w:keepNext w:val="0"/>
              <w:keepLines w:val="0"/>
              <w:pageBreakBefore w:val="0"/>
              <w:widowControl w:val="0"/>
              <w:tabs>
                <w:tab w:val="left" w:pos="495"/>
              </w:tabs>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≤10</w:t>
            </w:r>
          </w:p>
        </w:tc>
        <w:tc>
          <w:tcPr>
            <w:tcW w:w="1645" w:type="dxa"/>
            <w:tcBorders>
              <w:top w:val="single" w:color="000000" w:sz="4" w:space="0"/>
              <w:left w:val="single" w:color="auto" w:sz="4" w:space="0"/>
              <w:bottom w:val="single" w:color="000000" w:sz="4" w:space="0"/>
              <w:right w:val="single" w:color="000000" w:sz="4" w:space="0"/>
            </w:tcBorders>
            <w:vAlign w:val="top"/>
          </w:tcPr>
          <w:p>
            <w:pPr>
              <w:keepNext w:val="0"/>
              <w:keepLines w:val="0"/>
              <w:pageBreakBefore w:val="0"/>
              <w:widowControl w:val="0"/>
              <w:tabs>
                <w:tab w:val="left" w:pos="495"/>
              </w:tabs>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≤10</w:t>
            </w:r>
          </w:p>
        </w:tc>
        <w:tc>
          <w:tcPr>
            <w:tcW w:w="2467" w:type="dxa"/>
            <w:tcBorders>
              <w:top w:val="single" w:color="000000" w:sz="4" w:space="0"/>
              <w:left w:val="single" w:color="000000" w:sz="4" w:space="0"/>
              <w:bottom w:val="single" w:color="000000" w:sz="4" w:space="0"/>
            </w:tcBorders>
          </w:tcPr>
          <w:p>
            <w:pPr>
              <w:pStyle w:val="6"/>
              <w:keepNext w:val="0"/>
              <w:keepLines w:val="0"/>
              <w:pageBreakBefore w:val="0"/>
              <w:widowControl w:val="0"/>
              <w:tabs>
                <w:tab w:val="left" w:pos="3330"/>
              </w:tabs>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SH/T 0026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5" w:hRule="atLeast"/>
          <w:jc w:val="center"/>
        </w:trPr>
        <w:tc>
          <w:tcPr>
            <w:tcW w:w="2331" w:type="dxa"/>
            <w:tcBorders>
              <w:top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灰分（质量分数）%</w:t>
            </w:r>
          </w:p>
        </w:tc>
        <w:tc>
          <w:tcPr>
            <w:tcW w:w="1305"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t>≤0.5</w:t>
            </w:r>
          </w:p>
        </w:tc>
        <w:tc>
          <w:tcPr>
            <w:tcW w:w="1605" w:type="dxa"/>
            <w:tcBorders>
              <w:top w:val="single" w:color="000000"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t>≤0.5</w:t>
            </w:r>
          </w:p>
        </w:tc>
        <w:tc>
          <w:tcPr>
            <w:tcW w:w="1645" w:type="dxa"/>
            <w:tcBorders>
              <w:top w:val="single" w:color="000000"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t>≤0.5</w:t>
            </w:r>
          </w:p>
        </w:tc>
        <w:tc>
          <w:tcPr>
            <w:tcW w:w="2467" w:type="dxa"/>
            <w:tcBorders>
              <w:top w:val="single" w:color="000000" w:sz="4" w:space="0"/>
              <w:left w:val="single" w:color="000000" w:sz="4" w:space="0"/>
              <w:bottom w:val="single" w:color="000000" w:sz="4" w:space="0"/>
            </w:tcBorders>
            <w:vAlign w:val="center"/>
          </w:tcPr>
          <w:p>
            <w:pPr>
              <w:pStyle w:val="6"/>
              <w:keepNext w:val="0"/>
              <w:keepLines w:val="0"/>
              <w:pageBreakBefore w:val="0"/>
              <w:widowControl w:val="0"/>
              <w:tabs>
                <w:tab w:val="left" w:pos="3330"/>
              </w:tabs>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SH/T 0029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5" w:hRule="atLeast"/>
          <w:jc w:val="center"/>
        </w:trPr>
        <w:tc>
          <w:tcPr>
            <w:tcW w:w="2331" w:type="dxa"/>
            <w:tcBorders>
              <w:top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总水分（质量分数）%</w:t>
            </w:r>
          </w:p>
        </w:tc>
        <w:tc>
          <w:tcPr>
            <w:tcW w:w="1305"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t>≤8.0</w:t>
            </w:r>
          </w:p>
        </w:tc>
        <w:tc>
          <w:tcPr>
            <w:tcW w:w="1605" w:type="dxa"/>
            <w:tcBorders>
              <w:top w:val="single" w:color="000000"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t>≤8.0</w:t>
            </w:r>
          </w:p>
        </w:tc>
        <w:tc>
          <w:tcPr>
            <w:tcW w:w="1645" w:type="dxa"/>
            <w:tcBorders>
              <w:top w:val="single" w:color="000000"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t>≤8.0</w:t>
            </w:r>
          </w:p>
        </w:tc>
        <w:tc>
          <w:tcPr>
            <w:tcW w:w="2467" w:type="dxa"/>
            <w:tcBorders>
              <w:top w:val="single" w:color="000000" w:sz="4" w:space="0"/>
              <w:left w:val="single" w:color="000000" w:sz="4" w:space="0"/>
              <w:bottom w:val="single" w:color="000000" w:sz="4" w:space="0"/>
            </w:tcBorders>
            <w:vAlign w:val="center"/>
          </w:tcPr>
          <w:p>
            <w:pPr>
              <w:pStyle w:val="6"/>
              <w:keepNext w:val="0"/>
              <w:keepLines w:val="0"/>
              <w:pageBreakBefore w:val="0"/>
              <w:widowControl w:val="0"/>
              <w:tabs>
                <w:tab w:val="left" w:pos="3330"/>
              </w:tabs>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SH/T 0032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70" w:hRule="atLeast"/>
          <w:jc w:val="center"/>
        </w:trPr>
        <w:tc>
          <w:tcPr>
            <w:tcW w:w="2331" w:type="dxa"/>
            <w:tcBorders>
              <w:top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粉焦量（&lt;8mm）%</w:t>
            </w:r>
          </w:p>
        </w:tc>
        <w:tc>
          <w:tcPr>
            <w:tcW w:w="1305"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≤55</w:t>
            </w:r>
          </w:p>
        </w:tc>
        <w:tc>
          <w:tcPr>
            <w:tcW w:w="1605" w:type="dxa"/>
            <w:tcBorders>
              <w:top w:val="single" w:color="000000"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≤55</w:t>
            </w:r>
          </w:p>
        </w:tc>
        <w:tc>
          <w:tcPr>
            <w:tcW w:w="1645" w:type="dxa"/>
            <w:tcBorders>
              <w:top w:val="single" w:color="000000"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≤55</w:t>
            </w:r>
          </w:p>
        </w:tc>
        <w:tc>
          <w:tcPr>
            <w:tcW w:w="2467" w:type="dxa"/>
            <w:tcBorders>
              <w:top w:val="single" w:color="000000" w:sz="4" w:space="0"/>
              <w:left w:val="single" w:color="000000" w:sz="4" w:space="0"/>
              <w:bottom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NB/SH/T 0527-2019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04" w:hRule="atLeast"/>
          <w:jc w:val="center"/>
        </w:trPr>
        <w:tc>
          <w:tcPr>
            <w:tcW w:w="2331" w:type="dxa"/>
            <w:tcBorders>
              <w:top w:val="single" w:color="000000" w:sz="4" w:space="0"/>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钒含量ppm</w:t>
            </w:r>
          </w:p>
        </w:tc>
        <w:tc>
          <w:tcPr>
            <w:tcW w:w="1305" w:type="dxa"/>
            <w:tcBorders>
              <w:top w:val="single" w:color="000000" w:sz="4" w:space="0"/>
              <w:left w:val="single" w:color="000000"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t>≤200</w:t>
            </w:r>
            <w:r>
              <w:rPr>
                <w:rFonts w:hint="eastAsia" w:ascii="宋体" w:hAnsi="宋体" w:eastAsia="宋体" w:cs="宋体"/>
                <w:b/>
                <w:bCs/>
                <w:color w:val="000000" w:themeColor="text1"/>
                <w:kern w:val="10"/>
                <w:sz w:val="24"/>
                <w:szCs w:val="24"/>
                <w:highlight w:val="none"/>
                <w:vertAlign w:val="superscript"/>
                <w:lang w:val="en-US" w:eastAsia="zh-CN"/>
                <w14:textFill>
                  <w14:solidFill>
                    <w14:schemeClr w14:val="tx1"/>
                  </w14:solidFill>
                </w14:textFill>
              </w:rPr>
              <w:t>注1</w:t>
            </w:r>
          </w:p>
        </w:tc>
        <w:tc>
          <w:tcPr>
            <w:tcW w:w="3250" w:type="dxa"/>
            <w:gridSpan w:val="2"/>
            <w:tcBorders>
              <w:top w:val="single" w:color="000000" w:sz="4" w:space="0"/>
              <w:left w:val="single" w:color="auto" w:sz="4" w:space="0"/>
              <w:bottom w:val="single" w:color="auto" w:sz="4" w:space="0"/>
              <w:right w:val="single" w:color="000000"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t>≤600</w:t>
            </w:r>
            <w:r>
              <w:rPr>
                <w:rFonts w:hint="eastAsia" w:ascii="宋体" w:hAnsi="宋体" w:eastAsia="宋体" w:cs="宋体"/>
                <w:b/>
                <w:bCs/>
                <w:color w:val="000000" w:themeColor="text1"/>
                <w:kern w:val="10"/>
                <w:sz w:val="24"/>
                <w:szCs w:val="24"/>
                <w:highlight w:val="none"/>
                <w:vertAlign w:val="superscript"/>
                <w:lang w:val="en-US" w:eastAsia="zh-CN"/>
                <w14:textFill>
                  <w14:solidFill>
                    <w14:schemeClr w14:val="tx1"/>
                  </w14:solidFill>
                </w14:textFill>
              </w:rPr>
              <w:t>注1</w:t>
            </w:r>
          </w:p>
        </w:tc>
        <w:tc>
          <w:tcPr>
            <w:tcW w:w="2467" w:type="dxa"/>
            <w:tcBorders>
              <w:top w:val="single" w:color="000000" w:sz="4" w:space="0"/>
              <w:left w:val="single" w:color="000000" w:sz="4" w:space="0"/>
              <w:bottom w:val="single" w:color="auto" w:sz="4" w:space="0"/>
            </w:tcBorders>
          </w:tcPr>
          <w:p>
            <w:pPr>
              <w:pStyle w:val="6"/>
              <w:keepNext w:val="0"/>
              <w:keepLines w:val="0"/>
              <w:pageBreakBefore w:val="0"/>
              <w:widowControl w:val="0"/>
              <w:tabs>
                <w:tab w:val="left" w:pos="3330"/>
              </w:tabs>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YS/T 63.16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5" w:hRule="atLeast"/>
          <w:jc w:val="center"/>
        </w:trPr>
        <w:tc>
          <w:tcPr>
            <w:tcW w:w="2331" w:type="dxa"/>
            <w:tcBorders>
              <w:top w:val="single" w:color="000000" w:sz="4" w:space="0"/>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铁含量ppm</w:t>
            </w:r>
          </w:p>
        </w:tc>
        <w:tc>
          <w:tcPr>
            <w:tcW w:w="4555" w:type="dxa"/>
            <w:gridSpan w:val="3"/>
            <w:tcBorders>
              <w:top w:val="single" w:color="000000" w:sz="4" w:space="0"/>
              <w:left w:val="single" w:color="000000" w:sz="4" w:space="0"/>
              <w:bottom w:val="single" w:color="auto" w:sz="4" w:space="0"/>
              <w:right w:val="single" w:color="000000"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pPr>
            <w:r>
              <w:rPr>
                <w:rFonts w:hint="eastAsia" w:ascii="宋体" w:hAnsi="宋体" w:eastAsia="宋体" w:cs="宋体"/>
                <w:b w:val="0"/>
                <w:bCs w:val="0"/>
                <w:color w:val="auto"/>
                <w:kern w:val="10"/>
                <w:sz w:val="24"/>
                <w:szCs w:val="24"/>
                <w:highlight w:val="none"/>
                <w:lang w:val="en-US" w:eastAsia="zh-CN"/>
              </w:rPr>
              <w:t>≤400</w:t>
            </w:r>
          </w:p>
        </w:tc>
        <w:tc>
          <w:tcPr>
            <w:tcW w:w="2467" w:type="dxa"/>
            <w:tcBorders>
              <w:top w:val="single" w:color="000000" w:sz="4" w:space="0"/>
              <w:left w:val="single" w:color="000000" w:sz="4" w:space="0"/>
              <w:bottom w:val="single" w:color="auto" w:sz="4" w:space="0"/>
            </w:tcBorders>
          </w:tcPr>
          <w:p>
            <w:pPr>
              <w:pStyle w:val="6"/>
              <w:keepNext w:val="0"/>
              <w:keepLines w:val="0"/>
              <w:pageBreakBefore w:val="0"/>
              <w:widowControl w:val="0"/>
              <w:tabs>
                <w:tab w:val="left" w:pos="3330"/>
              </w:tabs>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YS/T 63.16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5" w:hRule="atLeast"/>
          <w:jc w:val="center"/>
        </w:trPr>
        <w:tc>
          <w:tcPr>
            <w:tcW w:w="2331" w:type="dxa"/>
            <w:tcBorders>
              <w:top w:val="single" w:color="000000" w:sz="4" w:space="0"/>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硅含量ppm</w:t>
            </w:r>
          </w:p>
        </w:tc>
        <w:tc>
          <w:tcPr>
            <w:tcW w:w="4555" w:type="dxa"/>
            <w:gridSpan w:val="3"/>
            <w:tcBorders>
              <w:top w:val="single" w:color="000000" w:sz="4" w:space="0"/>
              <w:left w:val="single" w:color="000000" w:sz="4" w:space="0"/>
              <w:bottom w:val="single" w:color="auto" w:sz="4" w:space="0"/>
              <w:right w:val="single" w:color="000000"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FF0000"/>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≤300</w:t>
            </w:r>
          </w:p>
        </w:tc>
        <w:tc>
          <w:tcPr>
            <w:tcW w:w="2467" w:type="dxa"/>
            <w:tcBorders>
              <w:top w:val="single" w:color="000000" w:sz="4" w:space="0"/>
              <w:left w:val="single" w:color="000000" w:sz="4" w:space="0"/>
              <w:bottom w:val="single" w:color="auto" w:sz="4" w:space="0"/>
            </w:tcBorders>
          </w:tcPr>
          <w:p>
            <w:pPr>
              <w:keepNext w:val="0"/>
              <w:keepLines w:val="0"/>
              <w:pageBreakBefore w:val="0"/>
              <w:widowControl w:val="0"/>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YS/T 63.16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5" w:hRule="atLeast"/>
          <w:jc w:val="center"/>
        </w:trPr>
        <w:tc>
          <w:tcPr>
            <w:tcW w:w="2331" w:type="dxa"/>
            <w:tcBorders>
              <w:top w:val="single" w:color="000000" w:sz="4" w:space="0"/>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钠含量ppm</w:t>
            </w:r>
          </w:p>
        </w:tc>
        <w:tc>
          <w:tcPr>
            <w:tcW w:w="4555" w:type="dxa"/>
            <w:gridSpan w:val="3"/>
            <w:tcBorders>
              <w:top w:val="single" w:color="000000" w:sz="4" w:space="0"/>
              <w:left w:val="single" w:color="000000" w:sz="4" w:space="0"/>
              <w:bottom w:val="single" w:color="auto" w:sz="4" w:space="0"/>
              <w:right w:val="single" w:color="000000"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FF0000"/>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≤300</w:t>
            </w:r>
          </w:p>
        </w:tc>
        <w:tc>
          <w:tcPr>
            <w:tcW w:w="2467" w:type="dxa"/>
            <w:tcBorders>
              <w:top w:val="single" w:color="000000" w:sz="4" w:space="0"/>
              <w:left w:val="single" w:color="000000" w:sz="4" w:space="0"/>
              <w:bottom w:val="single" w:color="auto" w:sz="4" w:space="0"/>
            </w:tcBorders>
          </w:tcPr>
          <w:p>
            <w:pPr>
              <w:keepNext w:val="0"/>
              <w:keepLines w:val="0"/>
              <w:pageBreakBefore w:val="0"/>
              <w:widowControl w:val="0"/>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YS/T 63.16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31" w:hRule="atLeast"/>
          <w:jc w:val="center"/>
        </w:trPr>
        <w:tc>
          <w:tcPr>
            <w:tcW w:w="2331" w:type="dxa"/>
            <w:tcBorders>
              <w:top w:val="single" w:color="auto"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其它微量元素含量</w:t>
            </w:r>
          </w:p>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（钙、镍等）</w:t>
            </w:r>
          </w:p>
        </w:tc>
        <w:tc>
          <w:tcPr>
            <w:tcW w:w="4555" w:type="dxa"/>
            <w:gridSpan w:val="3"/>
            <w:tcBorders>
              <w:top w:val="single" w:color="auto" w:sz="4" w:space="0"/>
              <w:left w:val="single" w:color="000000" w:sz="4" w:space="0"/>
              <w:bottom w:val="single" w:color="000000" w:sz="4" w:space="0"/>
              <w:right w:val="single" w:color="000000" w:sz="4" w:space="0"/>
            </w:tcBorders>
          </w:tcPr>
          <w:p>
            <w:pPr>
              <w:keepNext w:val="0"/>
              <w:keepLines w:val="0"/>
              <w:pageBreakBefore w:val="0"/>
              <w:widowControl w:val="0"/>
              <w:kinsoku/>
              <w:wordWrap/>
              <w:overflowPunct/>
              <w:topLinePunct w:val="0"/>
              <w:autoSpaceDE/>
              <w:autoSpaceDN/>
              <w:bidi w:val="0"/>
              <w:adjustRightInd/>
              <w:snapToGrid/>
              <w:spacing w:line="380" w:lineRule="exact"/>
              <w:ind w:left="0" w:leftChars="0"/>
              <w:jc w:val="left"/>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当生产过程中需要控制钙、镍等微量元素时，由生产技术部门下发指标要求，并在采购合同中注明。</w:t>
            </w:r>
          </w:p>
        </w:tc>
        <w:tc>
          <w:tcPr>
            <w:tcW w:w="2467" w:type="dxa"/>
            <w:tcBorders>
              <w:top w:val="single" w:color="auto" w:sz="4" w:space="0"/>
              <w:left w:val="single" w:color="000000" w:sz="4" w:space="0"/>
              <w:bottom w:val="single" w:color="000000" w:sz="4" w:space="0"/>
            </w:tcBorders>
            <w:vAlign w:val="center"/>
          </w:tcPr>
          <w:p>
            <w:pPr>
              <w:pStyle w:val="6"/>
              <w:keepNext w:val="0"/>
              <w:keepLines w:val="0"/>
              <w:pageBreakBefore w:val="0"/>
              <w:widowControl w:val="0"/>
              <w:tabs>
                <w:tab w:val="left" w:pos="3330"/>
              </w:tabs>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YS/T 63.16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55" w:hRule="atLeast"/>
          <w:jc w:val="center"/>
        </w:trPr>
        <w:tc>
          <w:tcPr>
            <w:tcW w:w="9353" w:type="dxa"/>
            <w:gridSpan w:val="5"/>
            <w:tcBorders>
              <w:top w:val="single" w:color="000000" w:sz="4" w:space="0"/>
              <w:bottom w:val="single" w:color="000000" w:sz="4" w:space="0"/>
            </w:tcBorders>
            <w:vAlign w:val="center"/>
          </w:tcPr>
          <w:p>
            <w:pPr>
              <w:keepNext w:val="0"/>
              <w:keepLines w:val="0"/>
              <w:pageBreakBefore w:val="0"/>
              <w:widowControl w:val="0"/>
              <w:shd w:val="clear" w:fill="FFFFFF" w:themeFill="background1"/>
              <w:kinsoku/>
              <w:wordWrap/>
              <w:overflowPunct/>
              <w:topLinePunct w:val="0"/>
              <w:autoSpaceDE/>
              <w:autoSpaceDN/>
              <w:bidi w:val="0"/>
              <w:adjustRightInd/>
              <w:snapToGrid/>
              <w:spacing w:line="380" w:lineRule="exact"/>
              <w:ind w:left="0" w:leftChars="0" w:firstLine="0" w:firstLineChars="0"/>
              <w:jc w:val="left"/>
              <w:textAlignment w:val="auto"/>
              <w:rPr>
                <w:rFonts w:hint="eastAsia" w:ascii="宋体" w:hAnsi="宋体" w:eastAsia="宋体" w:cs="宋体"/>
                <w:kern w:val="0"/>
                <w:sz w:val="24"/>
                <w:szCs w:val="24"/>
                <w:highlight w:val="none"/>
                <w:shd w:val="clear" w:fill="FFFF00"/>
                <w:lang w:val="en-US" w:eastAsia="zh-CN"/>
              </w:rPr>
            </w:pPr>
            <w:r>
              <w:rPr>
                <w:rFonts w:hint="eastAsia" w:ascii="宋体" w:hAnsi="宋体" w:eastAsia="宋体" w:cs="宋体"/>
                <w:b w:val="0"/>
                <w:bCs w:val="0"/>
                <w:color w:val="auto"/>
                <w:kern w:val="10"/>
                <w:sz w:val="24"/>
                <w:szCs w:val="24"/>
                <w:highlight w:val="none"/>
                <w:shd w:val="clear" w:fill="FFFFFF" w:themeFill="background1"/>
                <w:lang w:val="en-US" w:eastAsia="zh-CN"/>
              </w:rPr>
              <w:t>备注：</w:t>
            </w:r>
            <w:r>
              <w:rPr>
                <w:rFonts w:hint="eastAsia" w:ascii="宋体" w:hAnsi="宋体" w:eastAsia="宋体" w:cs="宋体"/>
                <w:color w:val="auto"/>
                <w:sz w:val="24"/>
                <w:szCs w:val="24"/>
                <w:highlight w:val="none"/>
              </w:rPr>
              <w:t>数值修约比较按GB/T</w:t>
            </w:r>
            <w:r>
              <w:rPr>
                <w:rFonts w:hint="eastAsia" w:ascii="宋体" w:hAnsi="宋体" w:eastAsia="宋体" w:cs="宋体"/>
                <w:color w:val="auto"/>
                <w:sz w:val="24"/>
                <w:szCs w:val="24"/>
                <w:highlight w:val="none"/>
                <w:lang w:val="en-US" w:eastAsia="zh-CN"/>
              </w:rPr>
              <w:t xml:space="preserve"> 8170有关</w:t>
            </w:r>
            <w:r>
              <w:rPr>
                <w:rFonts w:hint="eastAsia" w:ascii="宋体" w:hAnsi="宋体" w:eastAsia="宋体" w:cs="宋体"/>
                <w:color w:val="auto"/>
                <w:sz w:val="24"/>
                <w:szCs w:val="24"/>
                <w:highlight w:val="none"/>
              </w:rPr>
              <w:t>规定进行，修约数位与表中所列极限数位一致</w:t>
            </w:r>
            <w:r>
              <w:rPr>
                <w:rFonts w:hint="eastAsia" w:ascii="宋体" w:hAnsi="宋体" w:eastAsia="宋体" w:cs="宋体"/>
                <w:color w:val="auto"/>
                <w:sz w:val="24"/>
                <w:szCs w:val="24"/>
                <w:highlight w:val="none"/>
                <w:lang w:eastAsia="zh-CN"/>
              </w:rPr>
              <w:t>。</w:t>
            </w:r>
          </w:p>
        </w:tc>
      </w:tr>
    </w:tbl>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eastAsia" w:ascii="黑体" w:hAnsi="黑体" w:eastAsia="黑体" w:cs="黑体"/>
          <w:b w:val="0"/>
          <w:bCs/>
          <w:kern w:val="10"/>
          <w:sz w:val="24"/>
          <w:lang w:val="en-US" w:eastAsia="zh-CN"/>
        </w:rPr>
      </w:pPr>
      <w:bookmarkStart w:id="4" w:name="_Toc841"/>
      <w:r>
        <w:rPr>
          <w:rFonts w:hint="eastAsia" w:ascii="宋体" w:hAnsi="宋体" w:eastAsia="宋体" w:cs="宋体"/>
          <w:b/>
          <w:bCs w:val="0"/>
          <w:kern w:val="10"/>
          <w:sz w:val="24"/>
          <w:lang w:val="en-US" w:eastAsia="zh-CN"/>
        </w:rPr>
        <w:t>1.4检验规则</w:t>
      </w:r>
      <w:bookmarkEnd w:id="4"/>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2"/>
        <w:rPr>
          <w:rFonts w:hint="default" w:ascii="宋体" w:hAnsi="宋体" w:eastAsia="宋体" w:cs="Times New Roman"/>
          <w:b/>
          <w:bCs w:val="0"/>
          <w:kern w:val="10"/>
          <w:sz w:val="24"/>
          <w:lang w:val="en-US" w:eastAsia="zh-CN"/>
        </w:rPr>
      </w:pPr>
      <w:r>
        <w:rPr>
          <w:rFonts w:hint="eastAsia" w:ascii="宋体" w:hAnsi="宋体" w:eastAsia="宋体" w:cs="Times New Roman"/>
          <w:b/>
          <w:bCs w:val="0"/>
          <w:kern w:val="10"/>
          <w:sz w:val="24"/>
          <w:lang w:val="en-US" w:eastAsia="zh-CN"/>
        </w:rPr>
        <w:t>1.4.1检测和验收</w:t>
      </w:r>
    </w:p>
    <w:p>
      <w:pPr>
        <w:pStyle w:val="5"/>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lang w:val="en-US" w:eastAsia="zh-CN"/>
        </w:rPr>
      </w:pPr>
      <w:r>
        <w:rPr>
          <w:rFonts w:hint="eastAsia" w:ascii="宋体" w:hAnsi="宋体" w:eastAsia="宋体" w:cs="Times New Roman"/>
          <w:b w:val="0"/>
          <w:bCs w:val="0"/>
          <w:kern w:val="10"/>
          <w:sz w:val="24"/>
          <w:lang w:val="en-US" w:eastAsia="zh-CN"/>
        </w:rPr>
        <w:t>1.4.1.1石油焦由需方在需方仓库内进行抽样检验。如检验结果与本合同的规定不符时，应及时向供方提出，供方收到需方质量异常反馈后，应在3个工作日内处理，否则视为默认需方提出的异议和处理意见。</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val="0"/>
          <w:bCs w:val="0"/>
          <w:kern w:val="10"/>
          <w:sz w:val="24"/>
          <w:lang w:val="en-US" w:eastAsia="zh-CN"/>
        </w:rPr>
      </w:pPr>
      <w:r>
        <w:rPr>
          <w:rFonts w:hint="eastAsia" w:ascii="宋体" w:hAnsi="宋体" w:eastAsia="宋体" w:cs="Times New Roman"/>
          <w:b w:val="0"/>
          <w:bCs w:val="0"/>
          <w:kern w:val="10"/>
          <w:sz w:val="24"/>
          <w:lang w:val="en-US" w:eastAsia="zh-CN"/>
        </w:rPr>
        <w:t>1.4.1.2必要时，需方可依据订货单（或合同）约定，进入供方现场对拟交货的产品进行供货前的检查。</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2"/>
        <w:rPr>
          <w:rFonts w:hint="default" w:ascii="宋体" w:hAnsi="宋体" w:eastAsia="宋体" w:cs="Times New Roman"/>
          <w:b/>
          <w:bCs w:val="0"/>
          <w:kern w:val="10"/>
          <w:sz w:val="24"/>
          <w:lang w:val="en-US" w:eastAsia="zh-CN"/>
        </w:rPr>
      </w:pPr>
      <w:r>
        <w:rPr>
          <w:rFonts w:hint="eastAsia" w:ascii="宋体" w:hAnsi="宋体" w:eastAsia="宋体" w:cs="Times New Roman"/>
          <w:b/>
          <w:bCs w:val="0"/>
          <w:kern w:val="10"/>
          <w:sz w:val="24"/>
          <w:lang w:val="en-US" w:eastAsia="zh-CN"/>
        </w:rPr>
        <w:t>1.4.2组批</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val="0"/>
          <w:bCs w:val="0"/>
          <w:color w:val="000000" w:themeColor="text1"/>
          <w:kern w:val="10"/>
          <w:sz w:val="24"/>
          <w:highlight w:val="none"/>
          <w:lang w:val="en-US" w:eastAsia="zh-CN"/>
          <w14:textFill>
            <w14:solidFill>
              <w14:schemeClr w14:val="tx1"/>
            </w14:solidFill>
          </w14:textFill>
        </w:rPr>
      </w:pPr>
      <w:r>
        <w:rPr>
          <w:rFonts w:hint="eastAsia" w:ascii="宋体" w:hAnsi="宋体" w:eastAsia="宋体" w:cs="Times New Roman"/>
          <w:b w:val="0"/>
          <w:bCs w:val="0"/>
          <w:color w:val="000000" w:themeColor="text1"/>
          <w:kern w:val="10"/>
          <w:sz w:val="24"/>
          <w:lang w:val="en-US" w:eastAsia="zh-CN"/>
          <w14:textFill>
            <w14:solidFill>
              <w14:schemeClr w14:val="tx1"/>
            </w14:solidFill>
          </w14:textFill>
        </w:rPr>
        <w:t>1.4.2.1同一供应商，每车到货石油焦均需采样，每5车组批检测水分、挥发分、灰分、硫含量，粉焦量（连续两日内到货量不足5车的同样组批检测），每15车组批检测铁、硅、钠、钒含量</w:t>
      </w:r>
      <w:r>
        <w:rPr>
          <w:rFonts w:hint="eastAsia" w:ascii="宋体" w:hAnsi="宋体" w:eastAsia="宋体" w:cs="Times New Roman"/>
          <w:b w:val="0"/>
          <w:bCs w:val="0"/>
          <w:color w:val="000000" w:themeColor="text1"/>
          <w:kern w:val="10"/>
          <w:sz w:val="24"/>
          <w:highlight w:val="none"/>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val="0"/>
          <w:bCs w:val="0"/>
          <w:kern w:val="10"/>
          <w:sz w:val="24"/>
          <w:lang w:val="en-US" w:eastAsia="zh-CN"/>
        </w:rPr>
      </w:pPr>
      <w:r>
        <w:rPr>
          <w:rFonts w:hint="eastAsia" w:ascii="宋体" w:hAnsi="宋体" w:eastAsia="宋体" w:cs="Times New Roman"/>
          <w:b w:val="0"/>
          <w:bCs w:val="0"/>
          <w:kern w:val="10"/>
          <w:sz w:val="24"/>
          <w:lang w:val="en-US" w:eastAsia="zh-CN"/>
        </w:rPr>
        <w:t>1.4.2.2石油焦在使用过程中出现质量问题时，可不定时进行取样检验，若为石油焦质量存在问题的，由供方承担对需方造成的损失。</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2"/>
        <w:rPr>
          <w:rFonts w:hint="eastAsia" w:ascii="宋体" w:hAnsi="宋体" w:eastAsia="宋体" w:cs="Times New Roman"/>
          <w:b/>
          <w:bCs w:val="0"/>
          <w:kern w:val="10"/>
          <w:sz w:val="24"/>
          <w:lang w:val="en-US" w:eastAsia="zh-CN"/>
        </w:rPr>
      </w:pPr>
      <w:r>
        <w:rPr>
          <w:rFonts w:hint="eastAsia" w:ascii="宋体" w:hAnsi="宋体" w:eastAsia="宋体" w:cs="Times New Roman"/>
          <w:b/>
          <w:bCs w:val="0"/>
          <w:kern w:val="10"/>
          <w:sz w:val="24"/>
          <w:lang w:val="en-US" w:eastAsia="zh-CN"/>
        </w:rPr>
        <w:t>1.4.3 检验项目</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3"/>
        <w:rPr>
          <w:rFonts w:hint="default" w:ascii="宋体" w:hAnsi="宋体" w:eastAsia="宋体" w:cs="Times New Roman"/>
          <w:b w:val="0"/>
          <w:bCs w:val="0"/>
          <w:kern w:val="10"/>
          <w:sz w:val="24"/>
          <w:highlight w:val="none"/>
          <w:lang w:val="en-US" w:eastAsia="zh-CN"/>
        </w:rPr>
      </w:pPr>
      <w:r>
        <w:rPr>
          <w:rFonts w:hint="eastAsia" w:ascii="宋体" w:hAnsi="宋体" w:eastAsia="宋体" w:cs="Times New Roman"/>
          <w:kern w:val="10"/>
          <w:sz w:val="24"/>
          <w:highlight w:val="none"/>
          <w:lang w:val="en-US" w:eastAsia="zh-CN"/>
        </w:rPr>
        <w:t>石油焦需检测挥发分、灰分、水分、粉焦量、硫、铁、钒、硅、钠含量等。</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2"/>
        <w:rPr>
          <w:rFonts w:hint="eastAsia" w:ascii="宋体" w:hAnsi="宋体" w:eastAsia="宋体" w:cs="Times New Roman"/>
          <w:b/>
          <w:bCs w:val="0"/>
          <w:kern w:val="10"/>
          <w:sz w:val="24"/>
          <w:lang w:val="en-US" w:eastAsia="zh-CN"/>
        </w:rPr>
      </w:pPr>
      <w:r>
        <w:rPr>
          <w:rFonts w:hint="eastAsia" w:ascii="宋体" w:hAnsi="宋体" w:eastAsia="宋体" w:cs="Times New Roman"/>
          <w:b/>
          <w:bCs w:val="0"/>
          <w:kern w:val="10"/>
          <w:sz w:val="24"/>
          <w:lang w:val="en-US" w:eastAsia="zh-CN"/>
        </w:rPr>
        <w:t>1.4.4取样和制样</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val="0"/>
          <w:bCs w:val="0"/>
          <w:kern w:val="10"/>
          <w:sz w:val="24"/>
          <w:lang w:val="en-US" w:eastAsia="zh-CN"/>
        </w:rPr>
      </w:pPr>
      <w:r>
        <w:rPr>
          <w:rFonts w:hint="eastAsia" w:ascii="宋体" w:hAnsi="宋体" w:eastAsia="宋体" w:cs="Times New Roman"/>
          <w:b w:val="0"/>
          <w:bCs w:val="0"/>
          <w:kern w:val="10"/>
          <w:sz w:val="24"/>
          <w:lang w:val="en-US" w:eastAsia="zh-CN"/>
        </w:rPr>
        <w:t>1.4.4.1到货取样和制样，按照 SH/T 0313《石油焦检验法》的规定进行。</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default" w:ascii="宋体" w:hAnsi="宋体" w:eastAsia="宋体" w:cs="Times New Roman"/>
          <w:b w:val="0"/>
          <w:bCs w:val="0"/>
          <w:kern w:val="10"/>
          <w:sz w:val="24"/>
          <w:lang w:val="en-US" w:eastAsia="zh-CN"/>
        </w:rPr>
      </w:pPr>
      <w:r>
        <w:rPr>
          <w:rFonts w:hint="eastAsia" w:ascii="宋体" w:hAnsi="宋体" w:eastAsia="宋体" w:cs="Times New Roman"/>
          <w:b w:val="0"/>
          <w:bCs w:val="0"/>
          <w:kern w:val="10"/>
          <w:sz w:val="24"/>
          <w:lang w:val="en-US" w:eastAsia="zh-CN"/>
        </w:rPr>
        <w:t xml:space="preserve">1.4.4.2 石油焦封存试样保存期限不少于3个月。 </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bCs/>
          <w:kern w:val="10"/>
          <w:sz w:val="24"/>
          <w:lang w:val="en-US" w:eastAsia="zh-CN"/>
        </w:rPr>
      </w:pPr>
      <w:r>
        <w:rPr>
          <w:rFonts w:hint="eastAsia" w:ascii="宋体" w:hAnsi="宋体" w:eastAsia="宋体" w:cs="Times New Roman"/>
          <w:b/>
          <w:bCs/>
          <w:kern w:val="10"/>
          <w:sz w:val="24"/>
          <w:lang w:val="en-US" w:eastAsia="zh-CN"/>
        </w:rPr>
        <w:t>1.4.5复检</w:t>
      </w:r>
    </w:p>
    <w:p>
      <w:pPr>
        <w:pStyle w:val="11"/>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jc w:val="left"/>
        <w:textAlignment w:val="auto"/>
        <w:rPr>
          <w:rFonts w:hint="default" w:ascii="宋体" w:hAnsi="宋体" w:eastAsia="宋体" w:cs="Times New Roman"/>
          <w:b w:val="0"/>
          <w:bCs w:val="0"/>
          <w:kern w:val="10"/>
          <w:sz w:val="24"/>
          <w:highlight w:val="none"/>
          <w:lang w:val="en-US" w:eastAsia="zh-CN"/>
        </w:rPr>
      </w:pPr>
      <w:r>
        <w:rPr>
          <w:rFonts w:hint="eastAsia" w:cs="Times New Roman"/>
          <w:b w:val="0"/>
          <w:bCs w:val="0"/>
          <w:kern w:val="10"/>
          <w:sz w:val="24"/>
          <w:highlight w:val="none"/>
          <w:lang w:val="en-US" w:eastAsia="zh-CN"/>
        </w:rPr>
        <w:t>1</w:t>
      </w:r>
      <w:r>
        <w:rPr>
          <w:rFonts w:hint="eastAsia" w:ascii="宋体" w:hAnsi="宋体" w:eastAsia="宋体" w:cs="Times New Roman"/>
          <w:b w:val="0"/>
          <w:bCs w:val="0"/>
          <w:kern w:val="10"/>
          <w:sz w:val="24"/>
          <w:highlight w:val="none"/>
          <w:lang w:val="en-US" w:eastAsia="zh-CN"/>
        </w:rPr>
        <w:t>.4.5.1复检方式：供需双方在验收过程中就质量问题发生争议时，供方需在3个工作日内，以函件的方式向需方提出复检申请。复检优先选择在需方实验室进行，当争议较大或供方有充分理由时，也可选择在双方认可的具有资质的第三方实验室进行复检（由需方在供需双方认可的具有资质的第三方实验室中随机选择一家进行复检）。以上复检方式只可选择其中一种，不可两种同时进行。</w:t>
      </w:r>
      <w:r>
        <w:rPr>
          <w:rFonts w:hint="eastAsia" w:cs="Times New Roman"/>
          <w:b w:val="0"/>
          <w:bCs w:val="0"/>
          <w:kern w:val="10"/>
          <w:sz w:val="24"/>
          <w:highlight w:val="none"/>
          <w:lang w:val="en-US" w:eastAsia="zh-CN"/>
        </w:rPr>
        <w:t>因水分会随外界环境变化，水分不接受复检申请。</w:t>
      </w:r>
    </w:p>
    <w:p>
      <w:pPr>
        <w:pStyle w:val="11"/>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jc w:val="left"/>
        <w:textAlignment w:val="auto"/>
        <w:rPr>
          <w:rFonts w:hint="eastAsia" w:ascii="宋体" w:hAnsi="宋体" w:eastAsia="宋体" w:cs="Times New Roman"/>
          <w:b w:val="0"/>
          <w:bCs w:val="0"/>
          <w:kern w:val="10"/>
          <w:sz w:val="24"/>
          <w:highlight w:val="none"/>
          <w:lang w:val="en-US" w:eastAsia="zh-CN"/>
        </w:rPr>
      </w:pPr>
      <w:r>
        <w:rPr>
          <w:rFonts w:hint="eastAsia" w:cs="Times New Roman"/>
          <w:b w:val="0"/>
          <w:bCs w:val="0"/>
          <w:kern w:val="10"/>
          <w:sz w:val="24"/>
          <w:highlight w:val="none"/>
          <w:lang w:val="en-US" w:eastAsia="zh-CN"/>
        </w:rPr>
        <w:t>1</w:t>
      </w:r>
      <w:r>
        <w:rPr>
          <w:rFonts w:hint="eastAsia" w:ascii="宋体" w:hAnsi="宋体" w:eastAsia="宋体" w:cs="Times New Roman"/>
          <w:b w:val="0"/>
          <w:bCs w:val="0"/>
          <w:kern w:val="10"/>
          <w:sz w:val="24"/>
          <w:highlight w:val="none"/>
          <w:lang w:val="en-US" w:eastAsia="zh-CN"/>
        </w:rPr>
        <w:t>.4.5.2复检样品：采用需方到货验收时的封存样品进行复检。</w:t>
      </w:r>
    </w:p>
    <w:p>
      <w:pPr>
        <w:pStyle w:val="11"/>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jc w:val="left"/>
        <w:textAlignment w:val="auto"/>
        <w:rPr>
          <w:rFonts w:hint="eastAsia" w:ascii="宋体" w:hAnsi="宋体" w:eastAsia="宋体" w:cs="Times New Roman"/>
          <w:b w:val="0"/>
          <w:bCs w:val="0"/>
          <w:color w:val="auto"/>
          <w:kern w:val="10"/>
          <w:sz w:val="24"/>
          <w:highlight w:val="none"/>
          <w:lang w:val="en-US" w:eastAsia="zh-CN"/>
        </w:rPr>
      </w:pPr>
      <w:r>
        <w:rPr>
          <w:rFonts w:hint="eastAsia" w:cs="Times New Roman"/>
          <w:b w:val="0"/>
          <w:bCs w:val="0"/>
          <w:color w:val="auto"/>
          <w:kern w:val="10"/>
          <w:sz w:val="24"/>
          <w:highlight w:val="none"/>
          <w:lang w:val="en-US" w:eastAsia="zh-CN"/>
        </w:rPr>
        <w:t>1</w:t>
      </w:r>
      <w:r>
        <w:rPr>
          <w:rFonts w:hint="eastAsia" w:ascii="宋体" w:hAnsi="宋体" w:eastAsia="宋体" w:cs="Times New Roman"/>
          <w:b w:val="0"/>
          <w:bCs w:val="0"/>
          <w:color w:val="auto"/>
          <w:kern w:val="10"/>
          <w:sz w:val="24"/>
          <w:highlight w:val="none"/>
          <w:lang w:val="en-US" w:eastAsia="zh-CN"/>
        </w:rPr>
        <w:t>.4.5.3复检结果的应用：当复检结果在该项指标检测标准规定再现性范围内的，以需方到货验收时检测结果为结算依据，当复检结果超出该项指标检测标准规定再现性范围的，以复检结果为结算依据。</w:t>
      </w:r>
    </w:p>
    <w:p>
      <w:pPr>
        <w:pStyle w:val="11"/>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firstLine="2400" w:firstLineChars="1000"/>
        <w:jc w:val="both"/>
        <w:textAlignment w:val="auto"/>
        <w:rPr>
          <w:rFonts w:hint="default" w:ascii="宋体" w:hAnsi="宋体" w:eastAsia="宋体" w:cs="宋体"/>
          <w:b w:val="0"/>
          <w:bCs w:val="0"/>
          <w:color w:val="auto"/>
          <w:kern w:val="10"/>
          <w:sz w:val="24"/>
          <w:szCs w:val="22"/>
          <w:lang w:val="en-US" w:eastAsia="zh-CN" w:bidi="ar-SA"/>
        </w:rPr>
      </w:pPr>
      <w:r>
        <w:rPr>
          <w:rFonts w:hint="eastAsia" w:ascii="宋体" w:hAnsi="宋体" w:eastAsia="宋体" w:cs="宋体"/>
          <w:b w:val="0"/>
          <w:bCs w:val="0"/>
          <w:color w:val="auto"/>
          <w:kern w:val="10"/>
          <w:sz w:val="24"/>
          <w:szCs w:val="22"/>
          <w:lang w:val="en-US" w:eastAsia="zh-CN" w:bidi="ar-SA"/>
        </w:rPr>
        <w:t>表2：石油焦复检仲裁再现性范围值</w:t>
      </w:r>
    </w:p>
    <w:tbl>
      <w:tblPr>
        <w:tblStyle w:val="7"/>
        <w:tblW w:w="886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59"/>
        <w:gridCol w:w="791"/>
        <w:gridCol w:w="2697"/>
        <w:gridCol w:w="1620"/>
        <w:gridCol w:w="2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exact"/>
          <w:tblHeader/>
          <w:jc w:val="center"/>
        </w:trPr>
        <w:tc>
          <w:tcPr>
            <w:tcW w:w="8868" w:type="dxa"/>
            <w:gridSpan w:val="5"/>
            <w:tcBorders>
              <w:top w:val="single" w:color="000000" w:sz="4" w:space="0"/>
              <w:left w:val="single" w:color="000000" w:sz="4" w:space="0"/>
              <w:bottom w:val="single" w:color="000000" w:sz="4" w:space="0"/>
              <w:right w:val="single" w:color="000000" w:sz="4" w:space="0"/>
            </w:tcBorders>
            <w:noWrap/>
            <w:vAlign w:val="center"/>
          </w:tcPr>
          <w:p>
            <w:pPr>
              <w:spacing w:before="78" w:line="240" w:lineRule="auto"/>
              <w:ind w:right="53" w:firstLine="825" w:firstLineChars="300"/>
              <w:jc w:val="center"/>
              <w:rPr>
                <w:rFonts w:hint="default" w:ascii="仿宋" w:hAnsi="仿宋" w:eastAsia="仿宋" w:cs="仿宋"/>
                <w:b/>
                <w:bCs/>
                <w:spacing w:val="-3"/>
                <w:sz w:val="28"/>
                <w:szCs w:val="28"/>
                <w:lang w:val="en-US"/>
              </w:rPr>
            </w:pPr>
            <w:r>
              <w:rPr>
                <w:rFonts w:hint="eastAsia" w:ascii="仿宋" w:hAnsi="仿宋" w:eastAsia="仿宋" w:cs="仿宋"/>
                <w:b/>
                <w:bCs/>
                <w:spacing w:val="-3"/>
                <w:sz w:val="28"/>
                <w:szCs w:val="28"/>
                <w:lang w:val="en-US" w:eastAsia="zh-CN"/>
              </w:rPr>
              <w:t>石油焦复检仲裁再现性范围值</w:t>
            </w:r>
          </w:p>
          <w:p>
            <w:pPr>
              <w:spacing w:before="78" w:line="325" w:lineRule="auto"/>
              <w:ind w:right="53"/>
              <w:jc w:val="center"/>
              <w:rPr>
                <w:rFonts w:hint="eastAsia" w:asciiTheme="minorEastAsia" w:hAnsiTheme="minorEastAsia" w:eastAsiaTheme="minorEastAsia" w:cstheme="minorEastAsia"/>
                <w:spacing w:val="-3"/>
                <w:sz w:val="24"/>
                <w:szCs w:val="24"/>
              </w:rPr>
            </w:pPr>
          </w:p>
          <w:p>
            <w:pPr>
              <w:spacing w:before="78" w:line="325" w:lineRule="auto"/>
              <w:ind w:left="12" w:right="53" w:firstLine="13"/>
              <w:jc w:val="center"/>
              <w:rPr>
                <w:rFonts w:hint="eastAsia" w:asciiTheme="minorEastAsia" w:hAnsiTheme="minorEastAsia" w:eastAsiaTheme="minorEastAsia" w:cstheme="minorEastAsia"/>
                <w:spacing w:val="-3"/>
                <w:sz w:val="24"/>
                <w:szCs w:val="24"/>
              </w:rPr>
            </w:pPr>
            <w:r>
              <w:rPr>
                <w:rFonts w:hint="eastAsia" w:asciiTheme="minorEastAsia" w:hAnsiTheme="minorEastAsia" w:eastAsiaTheme="minorEastAsia" w:cstheme="minorEastAsia"/>
                <w:spacing w:val="-3"/>
                <w:sz w:val="24"/>
                <w:szCs w:val="24"/>
                <w:lang w:val="en-US" w:eastAsia="zh-CN"/>
              </w:rPr>
              <w:t>允许差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blHeader/>
          <w:jc w:val="center"/>
        </w:trPr>
        <w:tc>
          <w:tcPr>
            <w:tcW w:w="1059" w:type="dxa"/>
            <w:tcBorders>
              <w:top w:val="single" w:color="000000" w:sz="4" w:space="0"/>
              <w:left w:val="single" w:color="000000" w:sz="4" w:space="0"/>
              <w:bottom w:val="single" w:color="000000" w:sz="4" w:space="0"/>
              <w:right w:val="single" w:color="000000" w:sz="4" w:space="0"/>
            </w:tcBorders>
            <w:noWrap/>
            <w:vAlign w:val="center"/>
          </w:tcPr>
          <w:p>
            <w:pPr>
              <w:spacing w:before="78" w:line="325" w:lineRule="auto"/>
              <w:ind w:left="12" w:leftChars="0" w:right="53" w:rightChars="0" w:firstLine="13" w:firstLineChars="0"/>
              <w:jc w:val="center"/>
              <w:rPr>
                <w:rFonts w:hint="eastAsia" w:asciiTheme="minorEastAsia" w:hAnsiTheme="minorEastAsia" w:eastAsiaTheme="minorEastAsia" w:cstheme="minorEastAsia"/>
                <w:b/>
                <w:bCs/>
                <w:spacing w:val="-3"/>
                <w:kern w:val="2"/>
                <w:sz w:val="24"/>
                <w:szCs w:val="24"/>
                <w:lang w:val="en-US" w:eastAsia="zh-CN" w:bidi="ar-SA"/>
              </w:rPr>
            </w:pPr>
            <w:r>
              <w:rPr>
                <w:rFonts w:hint="eastAsia" w:asciiTheme="minorEastAsia" w:hAnsiTheme="minorEastAsia" w:eastAsiaTheme="minorEastAsia" w:cstheme="minorEastAsia"/>
                <w:b/>
                <w:bCs/>
                <w:spacing w:val="-3"/>
                <w:sz w:val="24"/>
                <w:szCs w:val="24"/>
                <w:lang w:val="en-US" w:eastAsia="zh-CN"/>
              </w:rPr>
              <w:t>检测项目</w:t>
            </w:r>
          </w:p>
        </w:tc>
        <w:tc>
          <w:tcPr>
            <w:tcW w:w="791" w:type="dxa"/>
            <w:tcBorders>
              <w:top w:val="single" w:color="000000" w:sz="4" w:space="0"/>
              <w:left w:val="single" w:color="000000" w:sz="4" w:space="0"/>
              <w:bottom w:val="single" w:color="000000" w:sz="4" w:space="0"/>
              <w:right w:val="single" w:color="000000" w:sz="4" w:space="0"/>
            </w:tcBorders>
            <w:noWrap/>
            <w:vAlign w:val="center"/>
          </w:tcPr>
          <w:p>
            <w:pPr>
              <w:spacing w:before="78" w:line="325" w:lineRule="auto"/>
              <w:ind w:left="12" w:leftChars="0" w:right="53" w:rightChars="0" w:firstLine="13" w:firstLineChars="0"/>
              <w:jc w:val="center"/>
              <w:rPr>
                <w:rFonts w:hint="eastAsia" w:asciiTheme="minorEastAsia" w:hAnsiTheme="minorEastAsia" w:eastAsiaTheme="minorEastAsia" w:cstheme="minorEastAsia"/>
                <w:b/>
                <w:bCs/>
                <w:spacing w:val="-3"/>
                <w:kern w:val="2"/>
                <w:sz w:val="24"/>
                <w:szCs w:val="24"/>
                <w:lang w:val="en-US" w:eastAsia="zh-CN" w:bidi="ar-SA"/>
              </w:rPr>
            </w:pPr>
            <w:r>
              <w:rPr>
                <w:rFonts w:hint="eastAsia" w:asciiTheme="minorEastAsia" w:hAnsiTheme="minorEastAsia" w:eastAsiaTheme="minorEastAsia" w:cstheme="minorEastAsia"/>
                <w:b/>
                <w:bCs/>
                <w:spacing w:val="-3"/>
                <w:sz w:val="24"/>
                <w:szCs w:val="24"/>
                <w:lang w:val="en-US" w:eastAsia="zh-CN"/>
              </w:rPr>
              <w:t>单位</w:t>
            </w:r>
          </w:p>
        </w:tc>
        <w:tc>
          <w:tcPr>
            <w:tcW w:w="2697" w:type="dxa"/>
            <w:tcBorders>
              <w:top w:val="single" w:color="000000" w:sz="4" w:space="0"/>
              <w:left w:val="single" w:color="000000" w:sz="4" w:space="0"/>
              <w:bottom w:val="single" w:color="000000" w:sz="4" w:space="0"/>
              <w:right w:val="single" w:color="000000" w:sz="4" w:space="0"/>
            </w:tcBorders>
            <w:noWrap/>
            <w:vAlign w:val="center"/>
          </w:tcPr>
          <w:p>
            <w:pPr>
              <w:spacing w:before="78" w:line="325" w:lineRule="auto"/>
              <w:ind w:left="12" w:leftChars="0" w:right="53" w:rightChars="0" w:firstLine="13" w:firstLineChars="0"/>
              <w:jc w:val="center"/>
              <w:rPr>
                <w:rFonts w:hint="eastAsia" w:asciiTheme="minorEastAsia" w:hAnsiTheme="minorEastAsia" w:eastAsiaTheme="minorEastAsia" w:cstheme="minorEastAsia"/>
                <w:b/>
                <w:bCs/>
                <w:spacing w:val="-3"/>
                <w:kern w:val="2"/>
                <w:sz w:val="24"/>
                <w:szCs w:val="24"/>
                <w:lang w:val="en-US" w:eastAsia="zh-CN" w:bidi="ar-SA"/>
              </w:rPr>
            </w:pPr>
            <w:r>
              <w:rPr>
                <w:rFonts w:hint="eastAsia" w:asciiTheme="minorEastAsia" w:hAnsiTheme="minorEastAsia" w:eastAsiaTheme="minorEastAsia" w:cstheme="minorEastAsia"/>
                <w:b/>
                <w:bCs/>
                <w:spacing w:val="-3"/>
                <w:sz w:val="24"/>
                <w:szCs w:val="24"/>
                <w:lang w:val="en-US" w:eastAsia="zh-CN"/>
              </w:rPr>
              <w:t>检测结果范围</w:t>
            </w:r>
          </w:p>
        </w:tc>
        <w:tc>
          <w:tcPr>
            <w:tcW w:w="1620" w:type="dxa"/>
            <w:tcBorders>
              <w:top w:val="single" w:color="000000" w:sz="4" w:space="0"/>
              <w:left w:val="single" w:color="000000" w:sz="4" w:space="0"/>
              <w:bottom w:val="single" w:color="000000" w:sz="4" w:space="0"/>
              <w:right w:val="single" w:color="auto" w:sz="4" w:space="0"/>
            </w:tcBorders>
            <w:noWrap/>
            <w:vAlign w:val="center"/>
          </w:tcPr>
          <w:p>
            <w:pPr>
              <w:spacing w:before="78" w:line="325" w:lineRule="auto"/>
              <w:ind w:left="12" w:leftChars="0" w:right="53" w:rightChars="0" w:firstLine="13" w:firstLineChars="0"/>
              <w:jc w:val="center"/>
              <w:rPr>
                <w:rFonts w:hint="eastAsia" w:asciiTheme="minorEastAsia" w:hAnsiTheme="minorEastAsia" w:eastAsiaTheme="minorEastAsia" w:cstheme="minorEastAsia"/>
                <w:b/>
                <w:bCs/>
                <w:spacing w:val="-3"/>
                <w:kern w:val="2"/>
                <w:sz w:val="24"/>
                <w:szCs w:val="24"/>
                <w:lang w:val="en-US" w:eastAsia="zh-CN" w:bidi="ar-SA"/>
              </w:rPr>
            </w:pPr>
            <w:r>
              <w:rPr>
                <w:rFonts w:hint="eastAsia" w:asciiTheme="minorEastAsia" w:hAnsiTheme="minorEastAsia" w:eastAsiaTheme="minorEastAsia" w:cstheme="minorEastAsia"/>
                <w:b/>
                <w:bCs/>
                <w:spacing w:val="-3"/>
                <w:kern w:val="2"/>
                <w:sz w:val="24"/>
                <w:szCs w:val="24"/>
                <w:lang w:val="en-US" w:eastAsia="zh-CN" w:bidi="ar-SA"/>
              </w:rPr>
              <w:t>再现性</w:t>
            </w:r>
          </w:p>
        </w:tc>
        <w:tc>
          <w:tcPr>
            <w:tcW w:w="2701" w:type="dxa"/>
            <w:tcBorders>
              <w:top w:val="single" w:color="000000" w:sz="4" w:space="0"/>
              <w:left w:val="single" w:color="auto" w:sz="4" w:space="0"/>
              <w:bottom w:val="single" w:color="000000" w:sz="4" w:space="0"/>
              <w:right w:val="single" w:color="000000" w:sz="4" w:space="0"/>
            </w:tcBorders>
            <w:noWrap/>
            <w:vAlign w:val="center"/>
          </w:tcPr>
          <w:p>
            <w:pPr>
              <w:spacing w:before="78" w:line="325" w:lineRule="auto"/>
              <w:ind w:left="12" w:leftChars="0" w:right="53" w:rightChars="0" w:firstLine="13" w:firstLineChars="0"/>
              <w:jc w:val="center"/>
              <w:rPr>
                <w:rFonts w:hint="eastAsia" w:asciiTheme="minorEastAsia" w:hAnsiTheme="minorEastAsia" w:eastAsiaTheme="minorEastAsia" w:cstheme="minorEastAsia"/>
                <w:b/>
                <w:bCs/>
                <w:spacing w:val="-3"/>
                <w:kern w:val="2"/>
                <w:sz w:val="24"/>
                <w:szCs w:val="24"/>
                <w:lang w:val="en-US" w:eastAsia="zh-CN" w:bidi="ar-SA"/>
              </w:rPr>
            </w:pPr>
            <w:r>
              <w:rPr>
                <w:rFonts w:hint="eastAsia" w:asciiTheme="minorEastAsia" w:hAnsiTheme="minorEastAsia" w:eastAsiaTheme="minorEastAsia" w:cstheme="minorEastAsia"/>
                <w:b/>
                <w:bCs/>
                <w:spacing w:val="-3"/>
                <w:kern w:val="2"/>
                <w:sz w:val="24"/>
                <w:szCs w:val="24"/>
                <w:lang w:val="en-US" w:eastAsia="zh-CN" w:bidi="ar-SA"/>
              </w:rPr>
              <w:t>执行标准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1059" w:type="dxa"/>
            <w:vMerge w:val="restart"/>
            <w:tcBorders>
              <w:top w:val="single" w:color="000000" w:sz="4" w:space="0"/>
              <w:left w:val="single" w:color="000000"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pacing w:val="-3"/>
                <w:sz w:val="24"/>
                <w:szCs w:val="24"/>
                <w:lang w:val="en-US"/>
              </w:rPr>
            </w:pPr>
            <w:r>
              <w:rPr>
                <w:rFonts w:hint="eastAsia" w:asciiTheme="minorEastAsia" w:hAnsiTheme="minorEastAsia" w:eastAsiaTheme="minorEastAsia" w:cstheme="minorEastAsia"/>
                <w:spacing w:val="-3"/>
                <w:sz w:val="24"/>
                <w:szCs w:val="24"/>
                <w:lang w:val="en-US" w:eastAsia="zh-CN"/>
              </w:rPr>
              <w:t>硫含量</w:t>
            </w:r>
          </w:p>
        </w:tc>
        <w:tc>
          <w:tcPr>
            <w:tcW w:w="791" w:type="dxa"/>
            <w:vMerge w:val="restart"/>
            <w:tcBorders>
              <w:top w:val="single" w:color="000000" w:sz="4" w:space="0"/>
              <w:left w:val="single" w:color="000000"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pacing w:val="-3"/>
                <w:sz w:val="24"/>
                <w:szCs w:val="24"/>
              </w:rPr>
            </w:pPr>
            <w:r>
              <w:rPr>
                <w:rFonts w:hint="eastAsia" w:asciiTheme="minorEastAsia" w:hAnsiTheme="minorEastAsia" w:eastAsiaTheme="minorEastAsia" w:cstheme="minorEastAsia"/>
                <w:spacing w:val="-3"/>
                <w:sz w:val="24"/>
                <w:szCs w:val="24"/>
                <w:lang w:val="en-US" w:eastAsia="zh-CN"/>
              </w:rPr>
              <w:t>%</w:t>
            </w:r>
          </w:p>
        </w:tc>
        <w:tc>
          <w:tcPr>
            <w:tcW w:w="269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pacing w:val="-3"/>
                <w:sz w:val="24"/>
                <w:szCs w:val="24"/>
              </w:rPr>
            </w:pPr>
            <w:r>
              <w:rPr>
                <w:rFonts w:hint="eastAsia" w:asciiTheme="minorEastAsia" w:hAnsiTheme="minorEastAsia" w:eastAsiaTheme="minorEastAsia" w:cstheme="minorEastAsia"/>
                <w:i w:val="0"/>
                <w:iCs w:val="0"/>
                <w:color w:val="000000"/>
                <w:kern w:val="0"/>
                <w:sz w:val="24"/>
                <w:szCs w:val="24"/>
                <w:u w:val="none"/>
                <w:lang w:val="en-US" w:eastAsia="zh-CN" w:bidi="ar"/>
              </w:rPr>
              <w:t>≤1.50</w:t>
            </w:r>
          </w:p>
        </w:tc>
        <w:tc>
          <w:tcPr>
            <w:tcW w:w="1620" w:type="dxa"/>
            <w:tcBorders>
              <w:top w:val="single" w:color="000000" w:sz="4" w:space="0"/>
              <w:left w:val="single" w:color="000000" w:sz="4" w:space="0"/>
              <w:bottom w:val="single" w:color="000000"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pacing w:val="-3"/>
                <w:sz w:val="24"/>
                <w:szCs w:val="24"/>
              </w:rPr>
            </w:pPr>
            <w:r>
              <w:rPr>
                <w:rFonts w:hint="eastAsia" w:asciiTheme="minorEastAsia" w:hAnsiTheme="minorEastAsia" w:eastAsiaTheme="minorEastAsia" w:cstheme="minorEastAsia"/>
                <w:i w:val="0"/>
                <w:iCs w:val="0"/>
                <w:color w:val="000000"/>
                <w:kern w:val="0"/>
                <w:sz w:val="24"/>
                <w:szCs w:val="24"/>
                <w:u w:val="none"/>
                <w:lang w:val="en-US" w:eastAsia="zh-CN" w:bidi="ar"/>
              </w:rPr>
              <w:t>±0.15</w:t>
            </w:r>
          </w:p>
        </w:tc>
        <w:tc>
          <w:tcPr>
            <w:tcW w:w="2701" w:type="dxa"/>
            <w:vMerge w:val="restart"/>
            <w:tcBorders>
              <w:top w:val="single" w:color="000000" w:sz="4" w:space="0"/>
              <w:left w:val="single" w:color="auto" w:sz="4" w:space="0"/>
              <w:right w:val="single" w:color="000000" w:sz="4" w:space="0"/>
            </w:tcBorders>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GB/T 214-2007 煤中全硫的测定方法 （第4章 库仑滴定法）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1059" w:type="dxa"/>
            <w:vMerge w:val="continue"/>
            <w:tcBorders>
              <w:left w:val="single" w:color="000000"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pacing w:val="-3"/>
                <w:sz w:val="24"/>
                <w:szCs w:val="24"/>
                <w:lang w:val="en-US" w:eastAsia="zh-CN"/>
              </w:rPr>
            </w:pPr>
          </w:p>
        </w:tc>
        <w:tc>
          <w:tcPr>
            <w:tcW w:w="791" w:type="dxa"/>
            <w:vMerge w:val="continue"/>
            <w:tcBorders>
              <w:left w:val="single" w:color="000000"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pacing w:val="-3"/>
                <w:sz w:val="24"/>
                <w:szCs w:val="24"/>
                <w:lang w:val="en-US" w:eastAsia="zh-CN"/>
              </w:rPr>
            </w:pPr>
          </w:p>
        </w:tc>
        <w:tc>
          <w:tcPr>
            <w:tcW w:w="269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pacing w:val="-3"/>
                <w:sz w:val="24"/>
                <w:szCs w:val="24"/>
                <w:lang w:val="en-US" w:eastAsia="zh-CN"/>
              </w:rPr>
            </w:pPr>
            <w:r>
              <w:rPr>
                <w:rFonts w:hint="eastAsia" w:asciiTheme="minorEastAsia" w:hAnsiTheme="minorEastAsia" w:eastAsiaTheme="minorEastAsia" w:cstheme="minorEastAsia"/>
                <w:i w:val="0"/>
                <w:iCs w:val="0"/>
                <w:color w:val="000000"/>
                <w:kern w:val="0"/>
                <w:sz w:val="24"/>
                <w:szCs w:val="24"/>
                <w:u w:val="none"/>
                <w:lang w:val="en-US" w:eastAsia="zh-CN" w:bidi="ar"/>
              </w:rPr>
              <w:t>1.50（不含）～4.00（含）</w:t>
            </w:r>
          </w:p>
        </w:tc>
        <w:tc>
          <w:tcPr>
            <w:tcW w:w="1620" w:type="dxa"/>
            <w:tcBorders>
              <w:top w:val="single" w:color="000000" w:sz="4" w:space="0"/>
              <w:left w:val="single" w:color="000000" w:sz="4" w:space="0"/>
              <w:bottom w:val="single" w:color="000000"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pacing w:val="-3"/>
                <w:sz w:val="24"/>
                <w:szCs w:val="24"/>
                <w:lang w:val="en-US" w:eastAsia="zh-CN"/>
              </w:rPr>
            </w:pPr>
            <w:r>
              <w:rPr>
                <w:rFonts w:hint="eastAsia" w:asciiTheme="minorEastAsia" w:hAnsiTheme="minorEastAsia" w:eastAsiaTheme="minorEastAsia" w:cstheme="minorEastAsia"/>
                <w:i w:val="0"/>
                <w:iCs w:val="0"/>
                <w:color w:val="000000"/>
                <w:kern w:val="0"/>
                <w:sz w:val="24"/>
                <w:szCs w:val="24"/>
                <w:u w:val="none"/>
                <w:lang w:val="en-US" w:eastAsia="zh-CN" w:bidi="ar"/>
              </w:rPr>
              <w:t>±0.25</w:t>
            </w:r>
          </w:p>
        </w:tc>
        <w:tc>
          <w:tcPr>
            <w:tcW w:w="2701" w:type="dxa"/>
            <w:vMerge w:val="continue"/>
            <w:tcBorders>
              <w:left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1059" w:type="dxa"/>
            <w:vMerge w:val="continue"/>
            <w:tcBorders>
              <w:left w:val="single" w:color="000000" w:sz="4" w:space="0"/>
              <w:bottom w:val="single" w:color="000000"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pacing w:val="-3"/>
                <w:sz w:val="24"/>
                <w:szCs w:val="24"/>
                <w:lang w:val="en-US" w:eastAsia="zh-CN"/>
              </w:rPr>
            </w:pPr>
          </w:p>
        </w:tc>
        <w:tc>
          <w:tcPr>
            <w:tcW w:w="791" w:type="dxa"/>
            <w:vMerge w:val="continue"/>
            <w:tcBorders>
              <w:left w:val="single" w:color="000000" w:sz="4" w:space="0"/>
              <w:bottom w:val="single" w:color="000000"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pacing w:val="-3"/>
                <w:sz w:val="24"/>
                <w:szCs w:val="24"/>
                <w:lang w:val="en-US" w:eastAsia="zh-CN"/>
              </w:rPr>
            </w:pPr>
          </w:p>
        </w:tc>
        <w:tc>
          <w:tcPr>
            <w:tcW w:w="269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pacing w:val="-3"/>
                <w:sz w:val="24"/>
                <w:szCs w:val="24"/>
                <w:lang w:val="en-US" w:eastAsia="zh-CN"/>
              </w:rPr>
            </w:pPr>
            <w:r>
              <w:rPr>
                <w:rFonts w:hint="eastAsia" w:asciiTheme="minorEastAsia" w:hAnsiTheme="minorEastAsia" w:eastAsiaTheme="minorEastAsia" w:cstheme="minorEastAsia"/>
                <w:i w:val="0"/>
                <w:iCs w:val="0"/>
                <w:color w:val="000000"/>
                <w:kern w:val="0"/>
                <w:sz w:val="24"/>
                <w:szCs w:val="24"/>
                <w:u w:val="none"/>
                <w:lang w:val="en-US" w:eastAsia="zh-CN" w:bidi="ar"/>
              </w:rPr>
              <w:t>＞4.00</w:t>
            </w:r>
          </w:p>
        </w:tc>
        <w:tc>
          <w:tcPr>
            <w:tcW w:w="1620" w:type="dxa"/>
            <w:tcBorders>
              <w:top w:val="single" w:color="000000" w:sz="4" w:space="0"/>
              <w:left w:val="single" w:color="000000" w:sz="4" w:space="0"/>
              <w:bottom w:val="single" w:color="000000"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pacing w:val="-3"/>
                <w:sz w:val="24"/>
                <w:szCs w:val="24"/>
                <w:lang w:val="en-US" w:eastAsia="zh-CN"/>
              </w:rPr>
            </w:pPr>
            <w:r>
              <w:rPr>
                <w:rFonts w:hint="eastAsia" w:asciiTheme="minorEastAsia" w:hAnsiTheme="minorEastAsia" w:eastAsiaTheme="minorEastAsia" w:cstheme="minorEastAsia"/>
                <w:i w:val="0"/>
                <w:iCs w:val="0"/>
                <w:color w:val="000000"/>
                <w:kern w:val="0"/>
                <w:sz w:val="24"/>
                <w:szCs w:val="24"/>
                <w:u w:val="none"/>
                <w:lang w:val="en-US" w:eastAsia="zh-CN" w:bidi="ar"/>
              </w:rPr>
              <w:t>±0.35</w:t>
            </w:r>
          </w:p>
        </w:tc>
        <w:tc>
          <w:tcPr>
            <w:tcW w:w="2701" w:type="dxa"/>
            <w:vMerge w:val="continue"/>
            <w:tcBorders>
              <w:left w:val="single" w:color="auto"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exact"/>
          <w:jc w:val="center"/>
        </w:trPr>
        <w:tc>
          <w:tcPr>
            <w:tcW w:w="1059" w:type="dxa"/>
            <w:tcBorders>
              <w:top w:val="single" w:color="000000" w:sz="4" w:space="0"/>
              <w:left w:val="single" w:color="000000" w:sz="4" w:space="0"/>
              <w:bottom w:val="single" w:color="000000"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pacing w:val="-3"/>
                <w:sz w:val="24"/>
                <w:szCs w:val="24"/>
              </w:rPr>
            </w:pPr>
            <w:r>
              <w:rPr>
                <w:rFonts w:hint="eastAsia" w:asciiTheme="minorEastAsia" w:hAnsiTheme="minorEastAsia" w:eastAsiaTheme="minorEastAsia" w:cstheme="minorEastAsia"/>
                <w:spacing w:val="-3"/>
                <w:sz w:val="24"/>
                <w:szCs w:val="24"/>
                <w:lang w:val="en-US" w:eastAsia="zh-CN"/>
              </w:rPr>
              <w:t>挥发分</w:t>
            </w:r>
          </w:p>
        </w:tc>
        <w:tc>
          <w:tcPr>
            <w:tcW w:w="791" w:type="dxa"/>
            <w:tcBorders>
              <w:top w:val="single" w:color="000000" w:sz="4" w:space="0"/>
              <w:left w:val="single" w:color="000000" w:sz="4" w:space="0"/>
              <w:bottom w:val="single" w:color="000000"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pacing w:val="-3"/>
                <w:sz w:val="24"/>
                <w:szCs w:val="24"/>
              </w:rPr>
            </w:pPr>
            <w:r>
              <w:rPr>
                <w:rFonts w:hint="eastAsia" w:asciiTheme="minorEastAsia" w:hAnsiTheme="minorEastAsia" w:eastAsiaTheme="minorEastAsia" w:cstheme="minorEastAsia"/>
                <w:spacing w:val="-3"/>
                <w:sz w:val="24"/>
                <w:szCs w:val="24"/>
                <w:lang w:val="en-US" w:eastAsia="zh-CN"/>
              </w:rPr>
              <w:t>%</w:t>
            </w:r>
          </w:p>
        </w:tc>
        <w:tc>
          <w:tcPr>
            <w:tcW w:w="2697" w:type="dxa"/>
            <w:tcBorders>
              <w:top w:val="single" w:color="000000" w:sz="4" w:space="0"/>
              <w:left w:val="single" w:color="000000" w:sz="4" w:space="0"/>
              <w:bottom w:val="single" w:color="000000"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pacing w:val="-3"/>
                <w:sz w:val="24"/>
                <w:szCs w:val="24"/>
                <w:lang w:val="en-US"/>
              </w:rPr>
            </w:pPr>
            <w:r>
              <w:rPr>
                <w:rFonts w:hint="eastAsia" w:asciiTheme="minorEastAsia" w:hAnsiTheme="minorEastAsia" w:eastAsiaTheme="minorEastAsia" w:cstheme="minorEastAsia"/>
                <w:spacing w:val="-3"/>
                <w:sz w:val="24"/>
                <w:szCs w:val="24"/>
                <w:lang w:val="en-US" w:eastAsia="zh-CN"/>
              </w:rPr>
              <w:t>全范围</w:t>
            </w:r>
          </w:p>
        </w:tc>
        <w:tc>
          <w:tcPr>
            <w:tcW w:w="1620" w:type="dxa"/>
            <w:tcBorders>
              <w:top w:val="single" w:color="000000" w:sz="4" w:space="0"/>
              <w:left w:val="single" w:color="000000" w:sz="4" w:space="0"/>
              <w:bottom w:val="single" w:color="000000" w:sz="4" w:space="0"/>
              <w:right w:val="single" w:color="auto"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pacing w:val="-3"/>
                <w:sz w:val="24"/>
                <w:szCs w:val="24"/>
                <w:lang w:val="en-US"/>
              </w:rPr>
            </w:pPr>
            <w:r>
              <w:rPr>
                <w:rFonts w:hint="eastAsia" w:asciiTheme="minorEastAsia" w:hAnsiTheme="minorEastAsia" w:eastAsiaTheme="minorEastAsia" w:cstheme="minorEastAsia"/>
                <w:spacing w:val="-3"/>
                <w:sz w:val="24"/>
                <w:szCs w:val="24"/>
                <w:lang w:val="en-US" w:eastAsia="zh-CN"/>
              </w:rPr>
              <w:t>±0.5</w:t>
            </w:r>
          </w:p>
        </w:tc>
        <w:tc>
          <w:tcPr>
            <w:tcW w:w="2701" w:type="dxa"/>
            <w:tcBorders>
              <w:top w:val="single" w:color="000000" w:sz="4" w:space="0"/>
              <w:left w:val="single" w:color="auto" w:sz="4" w:space="0"/>
              <w:bottom w:val="single" w:color="000000" w:sz="4" w:space="0"/>
              <w:right w:val="single" w:color="000000" w:sz="4" w:space="0"/>
            </w:tcBorders>
            <w:noWrap/>
            <w:vAlign w:val="center"/>
          </w:tcPr>
          <w:p>
            <w:pPr>
              <w:spacing w:before="78" w:line="240" w:lineRule="auto"/>
              <w:ind w:left="12" w:right="53" w:firstLine="13"/>
              <w:jc w:val="left"/>
              <w:rPr>
                <w:rFonts w:hint="eastAsia" w:asciiTheme="minorEastAsia" w:hAnsiTheme="minorEastAsia" w:eastAsiaTheme="minorEastAsia" w:cstheme="minorEastAsia"/>
                <w:spacing w:val="-3"/>
                <w:sz w:val="24"/>
                <w:szCs w:val="24"/>
                <w:lang w:val="en-US" w:eastAsia="zh-CN"/>
              </w:rPr>
            </w:pPr>
            <w:r>
              <w:rPr>
                <w:rFonts w:hint="eastAsia" w:asciiTheme="minorEastAsia" w:hAnsiTheme="minorEastAsia" w:eastAsiaTheme="minorEastAsia" w:cstheme="minorEastAsia"/>
                <w:spacing w:val="-3"/>
                <w:sz w:val="24"/>
                <w:szCs w:val="24"/>
                <w:lang w:val="en-US" w:eastAsia="zh-CN"/>
              </w:rPr>
              <w:t>SH/T 0026-1990 石油焦挥发分测定法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4" w:hRule="exact"/>
          <w:jc w:val="center"/>
        </w:trPr>
        <w:tc>
          <w:tcPr>
            <w:tcW w:w="1059" w:type="dxa"/>
            <w:vMerge w:val="restart"/>
            <w:tcBorders>
              <w:top w:val="single" w:color="000000" w:sz="4" w:space="0"/>
              <w:left w:val="single" w:color="000000"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r>
              <w:rPr>
                <w:rFonts w:hint="eastAsia" w:asciiTheme="minorEastAsia" w:hAnsiTheme="minorEastAsia" w:eastAsiaTheme="minorEastAsia" w:cstheme="minorEastAsia"/>
                <w:snapToGrid w:val="0"/>
                <w:color w:val="000000"/>
                <w:spacing w:val="-3"/>
                <w:kern w:val="0"/>
                <w:sz w:val="24"/>
                <w:szCs w:val="24"/>
                <w:lang w:val="en-US" w:eastAsia="zh-CN" w:bidi="ar-SA"/>
              </w:rPr>
              <w:t>钒</w:t>
            </w:r>
          </w:p>
        </w:tc>
        <w:tc>
          <w:tcPr>
            <w:tcW w:w="791" w:type="dxa"/>
            <w:vMerge w:val="restart"/>
            <w:tcBorders>
              <w:top w:val="single" w:color="000000" w:sz="4" w:space="0"/>
              <w:left w:val="single" w:color="000000"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r>
              <w:rPr>
                <w:rFonts w:hint="eastAsia" w:asciiTheme="minorEastAsia" w:hAnsiTheme="minorEastAsia" w:eastAsiaTheme="minorEastAsia" w:cstheme="minorEastAsia"/>
                <w:snapToGrid w:val="0"/>
                <w:color w:val="000000"/>
                <w:spacing w:val="-3"/>
                <w:kern w:val="0"/>
                <w:sz w:val="24"/>
                <w:szCs w:val="24"/>
                <w:lang w:val="en-US" w:eastAsia="zh-CN" w:bidi="ar-SA"/>
              </w:rPr>
              <w:t>ppm</w:t>
            </w:r>
          </w:p>
        </w:tc>
        <w:tc>
          <w:tcPr>
            <w:tcW w:w="269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en-US" w:bidi="ar"/>
              </w:rPr>
            </w:pPr>
            <w:r>
              <w:rPr>
                <w:rFonts w:hint="eastAsia" w:asciiTheme="minorEastAsia" w:hAnsiTheme="minorEastAsia" w:eastAsiaTheme="minorEastAsia" w:cstheme="minorEastAsia"/>
                <w:i w:val="0"/>
                <w:iCs w:val="0"/>
                <w:color w:val="000000"/>
                <w:kern w:val="0"/>
                <w:sz w:val="24"/>
                <w:szCs w:val="24"/>
                <w:u w:val="none"/>
                <w:lang w:val="en-US" w:eastAsia="zh-CN" w:bidi="ar"/>
              </w:rPr>
              <w:t>20～100</w:t>
            </w:r>
          </w:p>
        </w:tc>
        <w:tc>
          <w:tcPr>
            <w:tcW w:w="1620" w:type="dxa"/>
            <w:tcBorders>
              <w:top w:val="single" w:color="000000" w:sz="4" w:space="0"/>
              <w:left w:val="single" w:color="000000" w:sz="4" w:space="0"/>
              <w:bottom w:val="single" w:color="000000"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en-US" w:bidi="ar"/>
              </w:rPr>
            </w:pPr>
            <w:r>
              <w:rPr>
                <w:rFonts w:hint="eastAsia" w:asciiTheme="minorEastAsia" w:hAnsiTheme="minorEastAsia" w:eastAsiaTheme="minorEastAsia" w:cstheme="minorEastAsia"/>
                <w:i w:val="0"/>
                <w:iCs w:val="0"/>
                <w:color w:val="000000"/>
                <w:kern w:val="0"/>
                <w:sz w:val="24"/>
                <w:szCs w:val="24"/>
                <w:u w:val="none"/>
                <w:lang w:val="en-US" w:eastAsia="zh-CN" w:bidi="ar"/>
              </w:rPr>
              <w:t>±10</w:t>
            </w:r>
          </w:p>
        </w:tc>
        <w:tc>
          <w:tcPr>
            <w:tcW w:w="2701" w:type="dxa"/>
            <w:vMerge w:val="restart"/>
            <w:tcBorders>
              <w:top w:val="single" w:color="000000" w:sz="4" w:space="0"/>
              <w:left w:val="single" w:color="auto" w:sz="4" w:space="0"/>
              <w:right w:val="single" w:color="000000" w:sz="4" w:space="0"/>
            </w:tcBorders>
            <w:noWrap/>
            <w:vAlign w:val="center"/>
          </w:tcPr>
          <w:p>
            <w:pPr>
              <w:spacing w:before="78" w:line="240" w:lineRule="auto"/>
              <w:ind w:left="12" w:right="53" w:firstLine="13"/>
              <w:jc w:val="left"/>
              <w:rPr>
                <w:rFonts w:hint="eastAsia" w:asciiTheme="minorEastAsia" w:hAnsiTheme="minorEastAsia" w:eastAsiaTheme="minorEastAsia" w:cstheme="minorEastAsia"/>
                <w:snapToGrid w:val="0"/>
                <w:color w:val="000000"/>
                <w:spacing w:val="-3"/>
                <w:kern w:val="0"/>
                <w:sz w:val="24"/>
                <w:szCs w:val="24"/>
                <w:lang w:val="en-US" w:eastAsia="zh-CN" w:bidi="ar-SA"/>
              </w:rPr>
            </w:pPr>
            <w:r>
              <w:rPr>
                <w:rFonts w:hint="eastAsia" w:asciiTheme="minorEastAsia" w:hAnsiTheme="minorEastAsia" w:eastAsiaTheme="minorEastAsia" w:cstheme="minorEastAsia"/>
                <w:spacing w:val="-3"/>
                <w:sz w:val="24"/>
                <w:szCs w:val="24"/>
                <w:lang w:val="en-US" w:eastAsia="zh-CN"/>
              </w:rPr>
              <w:t>YS/T 63.16-2019 铝用炭素材料检测方法 第16部分：元素含量的测定 波长色散X-射线荧光光谱分析方法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exact"/>
          <w:jc w:val="center"/>
        </w:trPr>
        <w:tc>
          <w:tcPr>
            <w:tcW w:w="1059" w:type="dxa"/>
            <w:vMerge w:val="continue"/>
            <w:tcBorders>
              <w:left w:val="single" w:color="000000" w:sz="4" w:space="0"/>
              <w:right w:val="single" w:color="000000"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p>
        </w:tc>
        <w:tc>
          <w:tcPr>
            <w:tcW w:w="791" w:type="dxa"/>
            <w:vMerge w:val="continue"/>
            <w:tcBorders>
              <w:left w:val="single" w:color="000000" w:sz="4" w:space="0"/>
              <w:right w:val="single" w:color="000000"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p>
        </w:tc>
        <w:tc>
          <w:tcPr>
            <w:tcW w:w="269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en-US" w:bidi="ar"/>
              </w:rPr>
            </w:pPr>
            <w:r>
              <w:rPr>
                <w:rFonts w:hint="eastAsia" w:asciiTheme="minorEastAsia" w:hAnsiTheme="minorEastAsia" w:eastAsiaTheme="minorEastAsia" w:cstheme="minorEastAsia"/>
                <w:i w:val="0"/>
                <w:iCs w:val="0"/>
                <w:color w:val="000000"/>
                <w:kern w:val="0"/>
                <w:sz w:val="24"/>
                <w:szCs w:val="24"/>
                <w:u w:val="none"/>
                <w:lang w:val="en-US" w:eastAsia="zh-CN" w:bidi="ar"/>
              </w:rPr>
              <w:t>≥100～300</w:t>
            </w:r>
          </w:p>
        </w:tc>
        <w:tc>
          <w:tcPr>
            <w:tcW w:w="1620" w:type="dxa"/>
            <w:tcBorders>
              <w:top w:val="single" w:color="000000" w:sz="4" w:space="0"/>
              <w:left w:val="single" w:color="000000" w:sz="4" w:space="0"/>
              <w:bottom w:val="single" w:color="000000"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en-US" w:bidi="ar"/>
              </w:rPr>
            </w:pPr>
            <w:r>
              <w:rPr>
                <w:rFonts w:hint="eastAsia" w:asciiTheme="minorEastAsia" w:hAnsiTheme="minorEastAsia" w:eastAsiaTheme="minorEastAsia" w:cstheme="minorEastAsia"/>
                <w:i w:val="0"/>
                <w:iCs w:val="0"/>
                <w:color w:val="000000"/>
                <w:kern w:val="0"/>
                <w:sz w:val="24"/>
                <w:szCs w:val="24"/>
                <w:u w:val="none"/>
                <w:lang w:val="en-US" w:eastAsia="zh-CN" w:bidi="ar"/>
              </w:rPr>
              <w:t>±15</w:t>
            </w:r>
          </w:p>
        </w:tc>
        <w:tc>
          <w:tcPr>
            <w:tcW w:w="2701" w:type="dxa"/>
            <w:vMerge w:val="continue"/>
            <w:tcBorders>
              <w:left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1059" w:type="dxa"/>
            <w:vMerge w:val="continue"/>
            <w:tcBorders>
              <w:left w:val="single" w:color="000000" w:sz="4" w:space="0"/>
              <w:right w:val="single" w:color="000000"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p>
        </w:tc>
        <w:tc>
          <w:tcPr>
            <w:tcW w:w="791" w:type="dxa"/>
            <w:vMerge w:val="continue"/>
            <w:tcBorders>
              <w:left w:val="single" w:color="000000" w:sz="4" w:space="0"/>
              <w:right w:val="single" w:color="000000"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p>
        </w:tc>
        <w:tc>
          <w:tcPr>
            <w:tcW w:w="269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≥300～500</w:t>
            </w:r>
          </w:p>
        </w:tc>
        <w:tc>
          <w:tcPr>
            <w:tcW w:w="1620" w:type="dxa"/>
            <w:tcBorders>
              <w:top w:val="single" w:color="000000" w:sz="4" w:space="0"/>
              <w:left w:val="single" w:color="000000" w:sz="4" w:space="0"/>
              <w:bottom w:val="single" w:color="000000"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±25</w:t>
            </w:r>
          </w:p>
        </w:tc>
        <w:tc>
          <w:tcPr>
            <w:tcW w:w="2701" w:type="dxa"/>
            <w:vMerge w:val="continue"/>
            <w:tcBorders>
              <w:left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4" w:hRule="exact"/>
          <w:jc w:val="center"/>
        </w:trPr>
        <w:tc>
          <w:tcPr>
            <w:tcW w:w="1059" w:type="dxa"/>
            <w:vMerge w:val="continue"/>
            <w:tcBorders>
              <w:left w:val="single" w:color="000000" w:sz="4" w:space="0"/>
              <w:right w:val="single" w:color="000000"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p>
        </w:tc>
        <w:tc>
          <w:tcPr>
            <w:tcW w:w="791" w:type="dxa"/>
            <w:vMerge w:val="continue"/>
            <w:tcBorders>
              <w:left w:val="single" w:color="000000" w:sz="4" w:space="0"/>
              <w:right w:val="single" w:color="000000"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p>
        </w:tc>
        <w:tc>
          <w:tcPr>
            <w:tcW w:w="269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≥500</w:t>
            </w:r>
          </w:p>
        </w:tc>
        <w:tc>
          <w:tcPr>
            <w:tcW w:w="1620" w:type="dxa"/>
            <w:tcBorders>
              <w:top w:val="single" w:color="000000" w:sz="4" w:space="0"/>
              <w:left w:val="single" w:color="000000" w:sz="4" w:space="0"/>
              <w:bottom w:val="single" w:color="000000"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±35</w:t>
            </w:r>
          </w:p>
        </w:tc>
        <w:tc>
          <w:tcPr>
            <w:tcW w:w="2701" w:type="dxa"/>
            <w:vMerge w:val="continue"/>
            <w:tcBorders>
              <w:left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9" w:hRule="exact"/>
          <w:jc w:val="center"/>
        </w:trPr>
        <w:tc>
          <w:tcPr>
            <w:tcW w:w="1059" w:type="dxa"/>
            <w:vMerge w:val="restart"/>
            <w:tcBorders>
              <w:top w:val="single" w:color="000000" w:sz="4" w:space="0"/>
              <w:left w:val="single" w:color="000000" w:sz="4" w:space="0"/>
              <w:bottom w:val="single" w:color="000000"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r>
              <w:rPr>
                <w:rFonts w:hint="eastAsia" w:asciiTheme="minorEastAsia" w:hAnsiTheme="minorEastAsia" w:eastAsiaTheme="minorEastAsia" w:cstheme="minorEastAsia"/>
                <w:snapToGrid w:val="0"/>
                <w:color w:val="000000"/>
                <w:spacing w:val="-3"/>
                <w:kern w:val="0"/>
                <w:sz w:val="24"/>
                <w:szCs w:val="24"/>
                <w:lang w:val="en-US" w:eastAsia="zh-CN" w:bidi="ar-SA"/>
              </w:rPr>
              <w:t>铁</w:t>
            </w:r>
          </w:p>
        </w:tc>
        <w:tc>
          <w:tcPr>
            <w:tcW w:w="791" w:type="dxa"/>
            <w:vMerge w:val="restart"/>
            <w:tcBorders>
              <w:top w:val="single" w:color="000000" w:sz="4" w:space="0"/>
              <w:left w:val="single" w:color="000000" w:sz="4" w:space="0"/>
              <w:bottom w:val="single" w:color="000000"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r>
              <w:rPr>
                <w:rFonts w:hint="eastAsia" w:asciiTheme="minorEastAsia" w:hAnsiTheme="minorEastAsia" w:eastAsiaTheme="minorEastAsia" w:cstheme="minorEastAsia"/>
                <w:snapToGrid w:val="0"/>
                <w:color w:val="000000"/>
                <w:spacing w:val="-3"/>
                <w:kern w:val="0"/>
                <w:sz w:val="24"/>
                <w:szCs w:val="24"/>
                <w:lang w:val="en-US" w:eastAsia="zh-CN" w:bidi="ar-SA"/>
              </w:rPr>
              <w:t>ppm</w:t>
            </w:r>
          </w:p>
        </w:tc>
        <w:tc>
          <w:tcPr>
            <w:tcW w:w="26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en-US" w:bidi="ar"/>
              </w:rPr>
            </w:pPr>
            <w:r>
              <w:rPr>
                <w:rFonts w:hint="eastAsia" w:asciiTheme="minorEastAsia" w:hAnsiTheme="minorEastAsia" w:eastAsiaTheme="minorEastAsia" w:cstheme="minorEastAsia"/>
                <w:i w:val="0"/>
                <w:iCs w:val="0"/>
                <w:color w:val="000000"/>
                <w:kern w:val="0"/>
                <w:sz w:val="24"/>
                <w:szCs w:val="24"/>
                <w:u w:val="none"/>
                <w:lang w:val="en-US" w:eastAsia="zh-CN" w:bidi="ar"/>
              </w:rPr>
              <w:t>20～100</w:t>
            </w:r>
          </w:p>
        </w:tc>
        <w:tc>
          <w:tcPr>
            <w:tcW w:w="1620" w:type="dxa"/>
            <w:tcBorders>
              <w:top w:val="single" w:color="000000" w:sz="4" w:space="0"/>
              <w:left w:val="single" w:color="000000" w:sz="4" w:space="0"/>
              <w:bottom w:val="single" w:color="000000"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en-US" w:bidi="ar"/>
              </w:rPr>
            </w:pPr>
            <w:r>
              <w:rPr>
                <w:rFonts w:hint="eastAsia" w:asciiTheme="minorEastAsia" w:hAnsiTheme="minorEastAsia" w:eastAsiaTheme="minorEastAsia" w:cstheme="minorEastAsia"/>
                <w:i w:val="0"/>
                <w:iCs w:val="0"/>
                <w:color w:val="000000"/>
                <w:kern w:val="0"/>
                <w:sz w:val="24"/>
                <w:szCs w:val="24"/>
                <w:u w:val="none"/>
                <w:lang w:val="en-US" w:eastAsia="zh-CN" w:bidi="ar"/>
              </w:rPr>
              <w:t>±10</w:t>
            </w:r>
          </w:p>
        </w:tc>
        <w:tc>
          <w:tcPr>
            <w:tcW w:w="2701" w:type="dxa"/>
            <w:vMerge w:val="continue"/>
            <w:tcBorders>
              <w:left w:val="single" w:color="auto"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1059" w:type="dxa"/>
            <w:vMerge w:val="continue"/>
            <w:tcBorders>
              <w:left w:val="single" w:color="000000"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c>
          <w:tcPr>
            <w:tcW w:w="791" w:type="dxa"/>
            <w:vMerge w:val="continue"/>
            <w:tcBorders>
              <w:left w:val="single" w:color="000000"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c>
          <w:tcPr>
            <w:tcW w:w="26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≥100～200</w:t>
            </w:r>
          </w:p>
        </w:tc>
        <w:tc>
          <w:tcPr>
            <w:tcW w:w="1620" w:type="dxa"/>
            <w:tcBorders>
              <w:top w:val="single" w:color="000000" w:sz="4" w:space="0"/>
              <w:left w:val="single" w:color="000000" w:sz="4" w:space="0"/>
              <w:bottom w:val="single" w:color="000000"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±15</w:t>
            </w:r>
          </w:p>
        </w:tc>
        <w:tc>
          <w:tcPr>
            <w:tcW w:w="2701" w:type="dxa"/>
            <w:vMerge w:val="continue"/>
            <w:tcBorders>
              <w:left w:val="single" w:color="auto"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1059" w:type="dxa"/>
            <w:vMerge w:val="continue"/>
            <w:tcBorders>
              <w:left w:val="single" w:color="000000"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c>
          <w:tcPr>
            <w:tcW w:w="791" w:type="dxa"/>
            <w:vMerge w:val="continue"/>
            <w:tcBorders>
              <w:left w:val="single" w:color="000000"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c>
          <w:tcPr>
            <w:tcW w:w="26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≥200～500</w:t>
            </w:r>
          </w:p>
        </w:tc>
        <w:tc>
          <w:tcPr>
            <w:tcW w:w="1620" w:type="dxa"/>
            <w:tcBorders>
              <w:top w:val="single" w:color="000000" w:sz="4" w:space="0"/>
              <w:left w:val="single" w:color="000000" w:sz="4" w:space="0"/>
              <w:bottom w:val="single" w:color="000000"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±25</w:t>
            </w:r>
          </w:p>
        </w:tc>
        <w:tc>
          <w:tcPr>
            <w:tcW w:w="2701" w:type="dxa"/>
            <w:vMerge w:val="continue"/>
            <w:tcBorders>
              <w:left w:val="single" w:color="auto"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1059"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p>
        </w:tc>
        <w:tc>
          <w:tcPr>
            <w:tcW w:w="791"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p>
        </w:tc>
        <w:tc>
          <w:tcPr>
            <w:tcW w:w="269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en-US" w:bidi="ar"/>
              </w:rPr>
            </w:pPr>
            <w:r>
              <w:rPr>
                <w:rFonts w:hint="eastAsia" w:asciiTheme="minorEastAsia" w:hAnsiTheme="minorEastAsia" w:eastAsiaTheme="minorEastAsia" w:cstheme="minorEastAsia"/>
                <w:i w:val="0"/>
                <w:iCs w:val="0"/>
                <w:color w:val="000000"/>
                <w:kern w:val="0"/>
                <w:sz w:val="24"/>
                <w:szCs w:val="24"/>
                <w:u w:val="none"/>
                <w:lang w:val="en-US" w:eastAsia="zh-CN" w:bidi="ar"/>
              </w:rPr>
              <w:t>≥500</w:t>
            </w:r>
          </w:p>
        </w:tc>
        <w:tc>
          <w:tcPr>
            <w:tcW w:w="1620" w:type="dxa"/>
            <w:tcBorders>
              <w:top w:val="single" w:color="000000" w:sz="4" w:space="0"/>
              <w:left w:val="single" w:color="000000"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en-US" w:bidi="ar"/>
              </w:rPr>
            </w:pPr>
            <w:r>
              <w:rPr>
                <w:rFonts w:hint="eastAsia" w:asciiTheme="minorEastAsia" w:hAnsiTheme="minorEastAsia" w:eastAsiaTheme="minorEastAsia" w:cstheme="minorEastAsia"/>
                <w:i w:val="0"/>
                <w:iCs w:val="0"/>
                <w:color w:val="000000"/>
                <w:kern w:val="0"/>
                <w:sz w:val="24"/>
                <w:szCs w:val="24"/>
                <w:u w:val="none"/>
                <w:lang w:val="en-US" w:eastAsia="zh-CN" w:bidi="ar"/>
              </w:rPr>
              <w:t>±45</w:t>
            </w:r>
          </w:p>
        </w:tc>
        <w:tc>
          <w:tcPr>
            <w:tcW w:w="2701" w:type="dxa"/>
            <w:vMerge w:val="continue"/>
            <w:tcBorders>
              <w:left w:val="single" w:color="auto"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1059" w:type="dxa"/>
            <w:vMerge w:val="restart"/>
            <w:tcBorders>
              <w:top w:val="single" w:color="000000" w:sz="4" w:space="0"/>
              <w:left w:val="single" w:color="000000" w:sz="4" w:space="0"/>
              <w:bottom w:val="single" w:color="000000"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r>
              <w:rPr>
                <w:rFonts w:hint="eastAsia" w:asciiTheme="minorEastAsia" w:hAnsiTheme="minorEastAsia" w:eastAsiaTheme="minorEastAsia" w:cstheme="minorEastAsia"/>
                <w:snapToGrid w:val="0"/>
                <w:color w:val="000000"/>
                <w:spacing w:val="-3"/>
                <w:kern w:val="0"/>
                <w:sz w:val="24"/>
                <w:szCs w:val="24"/>
                <w:lang w:val="en-US" w:eastAsia="zh-CN" w:bidi="ar-SA"/>
              </w:rPr>
              <w:t>硅</w:t>
            </w:r>
          </w:p>
        </w:tc>
        <w:tc>
          <w:tcPr>
            <w:tcW w:w="791" w:type="dxa"/>
            <w:vMerge w:val="restart"/>
            <w:tcBorders>
              <w:top w:val="single" w:color="000000" w:sz="4" w:space="0"/>
              <w:left w:val="single" w:color="000000" w:sz="4" w:space="0"/>
              <w:bottom w:val="single" w:color="000000"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r>
              <w:rPr>
                <w:rFonts w:hint="eastAsia" w:asciiTheme="minorEastAsia" w:hAnsiTheme="minorEastAsia" w:eastAsiaTheme="minorEastAsia" w:cstheme="minorEastAsia"/>
                <w:snapToGrid w:val="0"/>
                <w:color w:val="000000"/>
                <w:spacing w:val="-3"/>
                <w:kern w:val="0"/>
                <w:sz w:val="24"/>
                <w:szCs w:val="24"/>
                <w:lang w:val="en-US" w:eastAsia="zh-CN" w:bidi="ar-SA"/>
              </w:rPr>
              <w:t>ppm</w:t>
            </w:r>
          </w:p>
        </w:tc>
        <w:tc>
          <w:tcPr>
            <w:tcW w:w="26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en-US"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20～100</w:t>
            </w:r>
          </w:p>
        </w:tc>
        <w:tc>
          <w:tcPr>
            <w:tcW w:w="1620" w:type="dxa"/>
            <w:tcBorders>
              <w:top w:val="single" w:color="auto"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en-US"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±15</w:t>
            </w:r>
          </w:p>
        </w:tc>
        <w:tc>
          <w:tcPr>
            <w:tcW w:w="2701" w:type="dxa"/>
            <w:vMerge w:val="continue"/>
            <w:tcBorders>
              <w:top w:val="single" w:color="auto" w:sz="4" w:space="0"/>
              <w:left w:val="single" w:color="auto" w:sz="4" w:space="0"/>
              <w:right w:val="single" w:color="000000" w:sz="4" w:space="0"/>
            </w:tcBorders>
            <w:noWrap w:val="0"/>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1059" w:type="dxa"/>
            <w:vMerge w:val="continue"/>
            <w:tcBorders>
              <w:left w:val="single" w:color="000000"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c>
          <w:tcPr>
            <w:tcW w:w="791" w:type="dxa"/>
            <w:vMerge w:val="continue"/>
            <w:tcBorders>
              <w:left w:val="single" w:color="000000"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c>
          <w:tcPr>
            <w:tcW w:w="26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zh-CN"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≥100～200</w:t>
            </w:r>
          </w:p>
        </w:tc>
        <w:tc>
          <w:tcPr>
            <w:tcW w:w="162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zh-CN"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±25</w:t>
            </w:r>
          </w:p>
        </w:tc>
        <w:tc>
          <w:tcPr>
            <w:tcW w:w="2701" w:type="dxa"/>
            <w:vMerge w:val="continue"/>
            <w:tcBorders>
              <w:left w:val="single" w:color="auto" w:sz="4" w:space="0"/>
              <w:right w:val="single" w:color="000000" w:sz="4" w:space="0"/>
            </w:tcBorders>
            <w:noWrap w:val="0"/>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1059" w:type="dxa"/>
            <w:vMerge w:val="continue"/>
            <w:tcBorders>
              <w:left w:val="single" w:color="000000" w:sz="4" w:space="0"/>
              <w:bottom w:val="single" w:color="auto"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c>
          <w:tcPr>
            <w:tcW w:w="791" w:type="dxa"/>
            <w:vMerge w:val="continue"/>
            <w:tcBorders>
              <w:left w:val="single" w:color="000000" w:sz="4" w:space="0"/>
              <w:bottom w:val="single" w:color="auto"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c>
          <w:tcPr>
            <w:tcW w:w="26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zh-CN"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≥200～400</w:t>
            </w:r>
          </w:p>
        </w:tc>
        <w:tc>
          <w:tcPr>
            <w:tcW w:w="162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zh-CN"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±45</w:t>
            </w:r>
          </w:p>
        </w:tc>
        <w:tc>
          <w:tcPr>
            <w:tcW w:w="2701" w:type="dxa"/>
            <w:vMerge w:val="continue"/>
            <w:tcBorders>
              <w:left w:val="single" w:color="auto" w:sz="4" w:space="0"/>
              <w:right w:val="single" w:color="000000" w:sz="4" w:space="0"/>
            </w:tcBorders>
            <w:noWrap w:val="0"/>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1059" w:type="dxa"/>
            <w:vMerge w:val="continue"/>
            <w:tcBorders>
              <w:top w:val="single" w:color="auto" w:sz="4" w:space="0"/>
              <w:left w:val="single" w:color="000000" w:sz="4" w:space="0"/>
              <w:bottom w:val="single" w:color="auto" w:sz="4" w:space="0"/>
              <w:right w:val="single" w:color="000000"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p>
        </w:tc>
        <w:tc>
          <w:tcPr>
            <w:tcW w:w="791" w:type="dxa"/>
            <w:vMerge w:val="continue"/>
            <w:tcBorders>
              <w:top w:val="single" w:color="auto" w:sz="4" w:space="0"/>
              <w:left w:val="single" w:color="000000" w:sz="4" w:space="0"/>
              <w:bottom w:val="single" w:color="auto" w:sz="4" w:space="0"/>
              <w:right w:val="single" w:color="000000"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p>
        </w:tc>
        <w:tc>
          <w:tcPr>
            <w:tcW w:w="269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en-US"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≥400</w:t>
            </w:r>
          </w:p>
        </w:tc>
        <w:tc>
          <w:tcPr>
            <w:tcW w:w="1620" w:type="dxa"/>
            <w:tcBorders>
              <w:top w:val="single" w:color="000000" w:sz="4" w:space="0"/>
              <w:left w:val="single" w:color="000000" w:sz="4" w:space="0"/>
              <w:bottom w:val="single" w:color="000000"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en-US"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±60</w:t>
            </w:r>
          </w:p>
        </w:tc>
        <w:tc>
          <w:tcPr>
            <w:tcW w:w="2701" w:type="dxa"/>
            <w:vMerge w:val="continue"/>
            <w:tcBorders>
              <w:left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exact"/>
          <w:jc w:val="center"/>
        </w:trPr>
        <w:tc>
          <w:tcPr>
            <w:tcW w:w="1059" w:type="dxa"/>
            <w:vMerge w:val="restart"/>
            <w:tcBorders>
              <w:top w:val="single" w:color="auto" w:sz="4" w:space="0"/>
              <w:left w:val="single" w:color="000000" w:sz="4" w:space="0"/>
              <w:bottom w:val="single" w:color="auto"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r>
              <w:rPr>
                <w:rFonts w:hint="eastAsia" w:asciiTheme="minorEastAsia" w:hAnsiTheme="minorEastAsia" w:eastAsiaTheme="minorEastAsia" w:cstheme="minorEastAsia"/>
                <w:snapToGrid w:val="0"/>
                <w:color w:val="000000"/>
                <w:spacing w:val="-3"/>
                <w:kern w:val="0"/>
                <w:sz w:val="24"/>
                <w:szCs w:val="24"/>
                <w:lang w:val="en-US" w:eastAsia="zh-CN" w:bidi="ar-SA"/>
              </w:rPr>
              <w:t>钠</w:t>
            </w:r>
          </w:p>
        </w:tc>
        <w:tc>
          <w:tcPr>
            <w:tcW w:w="791" w:type="dxa"/>
            <w:vMerge w:val="restart"/>
            <w:tcBorders>
              <w:top w:val="single" w:color="auto" w:sz="4" w:space="0"/>
              <w:left w:val="single" w:color="000000" w:sz="4" w:space="0"/>
              <w:bottom w:val="single" w:color="auto"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r>
              <w:rPr>
                <w:rFonts w:hint="eastAsia" w:asciiTheme="minorEastAsia" w:hAnsiTheme="minorEastAsia" w:eastAsiaTheme="minorEastAsia" w:cstheme="minorEastAsia"/>
                <w:snapToGrid w:val="0"/>
                <w:color w:val="000000"/>
                <w:spacing w:val="-3"/>
                <w:kern w:val="0"/>
                <w:sz w:val="24"/>
                <w:szCs w:val="24"/>
                <w:lang w:val="en-US" w:eastAsia="zh-CN" w:bidi="ar-SA"/>
              </w:rPr>
              <w:t>ppm</w:t>
            </w:r>
          </w:p>
        </w:tc>
        <w:tc>
          <w:tcPr>
            <w:tcW w:w="26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en-US"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20～100</w:t>
            </w:r>
          </w:p>
        </w:tc>
        <w:tc>
          <w:tcPr>
            <w:tcW w:w="1620" w:type="dxa"/>
            <w:tcBorders>
              <w:top w:val="single" w:color="000000" w:sz="4" w:space="0"/>
              <w:left w:val="single" w:color="000000" w:sz="4" w:space="0"/>
              <w:bottom w:val="single" w:color="000000"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en-US"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±25</w:t>
            </w:r>
          </w:p>
        </w:tc>
        <w:tc>
          <w:tcPr>
            <w:tcW w:w="2701" w:type="dxa"/>
            <w:vMerge w:val="continue"/>
            <w:tcBorders>
              <w:left w:val="single" w:color="auto" w:sz="4" w:space="0"/>
              <w:bottom w:val="single" w:color="auto"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9" w:hRule="exact"/>
          <w:jc w:val="center"/>
        </w:trPr>
        <w:tc>
          <w:tcPr>
            <w:tcW w:w="1059" w:type="dxa"/>
            <w:vMerge w:val="continue"/>
            <w:tcBorders>
              <w:top w:val="single" w:color="auto" w:sz="4" w:space="0"/>
              <w:left w:val="single" w:color="000000" w:sz="4" w:space="0"/>
              <w:bottom w:val="single" w:color="auto"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c>
          <w:tcPr>
            <w:tcW w:w="791" w:type="dxa"/>
            <w:vMerge w:val="continue"/>
            <w:tcBorders>
              <w:top w:val="single" w:color="auto" w:sz="4" w:space="0"/>
              <w:left w:val="single" w:color="000000" w:sz="4" w:space="0"/>
              <w:bottom w:val="single" w:color="auto"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c>
          <w:tcPr>
            <w:tcW w:w="26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zh-CN"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≥100～200</w:t>
            </w:r>
          </w:p>
        </w:tc>
        <w:tc>
          <w:tcPr>
            <w:tcW w:w="1620" w:type="dxa"/>
            <w:tcBorders>
              <w:top w:val="single" w:color="000000" w:sz="4" w:space="0"/>
              <w:left w:val="single" w:color="000000" w:sz="4" w:space="0"/>
              <w:bottom w:val="single" w:color="000000"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zh-CN"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±35</w:t>
            </w:r>
          </w:p>
        </w:tc>
        <w:tc>
          <w:tcPr>
            <w:tcW w:w="2701" w:type="dxa"/>
            <w:vMerge w:val="continue"/>
            <w:tcBorders>
              <w:top w:val="single" w:color="auto" w:sz="4" w:space="0"/>
              <w:left w:val="single" w:color="auto" w:sz="4" w:space="0"/>
              <w:bottom w:val="single" w:color="auto"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6" w:hRule="exact"/>
          <w:jc w:val="center"/>
        </w:trPr>
        <w:tc>
          <w:tcPr>
            <w:tcW w:w="1059" w:type="dxa"/>
            <w:vMerge w:val="continue"/>
            <w:tcBorders>
              <w:top w:val="single" w:color="auto" w:sz="4" w:space="0"/>
              <w:left w:val="single" w:color="000000" w:sz="4" w:space="0"/>
              <w:bottom w:val="single" w:color="auto"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c>
          <w:tcPr>
            <w:tcW w:w="791" w:type="dxa"/>
            <w:vMerge w:val="continue"/>
            <w:tcBorders>
              <w:top w:val="single" w:color="auto" w:sz="4" w:space="0"/>
              <w:left w:val="single" w:color="000000" w:sz="4" w:space="0"/>
              <w:bottom w:val="single" w:color="auto"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c>
          <w:tcPr>
            <w:tcW w:w="26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zh-CN"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≥200～400</w:t>
            </w:r>
          </w:p>
        </w:tc>
        <w:tc>
          <w:tcPr>
            <w:tcW w:w="1620" w:type="dxa"/>
            <w:tcBorders>
              <w:top w:val="single" w:color="000000" w:sz="4" w:space="0"/>
              <w:left w:val="single" w:color="000000" w:sz="4" w:space="0"/>
              <w:bottom w:val="single" w:color="000000"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zh-CN"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±45</w:t>
            </w:r>
          </w:p>
        </w:tc>
        <w:tc>
          <w:tcPr>
            <w:tcW w:w="2701" w:type="dxa"/>
            <w:vMerge w:val="continue"/>
            <w:tcBorders>
              <w:top w:val="single" w:color="auto" w:sz="4" w:space="0"/>
              <w:left w:val="single" w:color="auto" w:sz="4" w:space="0"/>
              <w:bottom w:val="single" w:color="auto" w:sz="4" w:space="0"/>
              <w:right w:val="single" w:color="000000" w:sz="4" w:space="0"/>
            </w:tcBorders>
            <w:noWrap/>
            <w:vAlign w:val="center"/>
          </w:tcPr>
          <w:p>
            <w:pPr>
              <w:spacing w:before="78" w:line="325" w:lineRule="auto"/>
              <w:ind w:left="12" w:right="53" w:firstLine="13"/>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4" w:hRule="exact"/>
          <w:jc w:val="center"/>
        </w:trPr>
        <w:tc>
          <w:tcPr>
            <w:tcW w:w="1059" w:type="dxa"/>
            <w:vMerge w:val="continue"/>
            <w:tcBorders>
              <w:top w:val="single" w:color="auto" w:sz="4" w:space="0"/>
              <w:left w:val="single" w:color="000000" w:sz="4" w:space="0"/>
              <w:bottom w:val="single" w:color="auto" w:sz="4" w:space="0"/>
              <w:right w:val="single" w:color="000000"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p>
        </w:tc>
        <w:tc>
          <w:tcPr>
            <w:tcW w:w="791" w:type="dxa"/>
            <w:vMerge w:val="continue"/>
            <w:tcBorders>
              <w:top w:val="single" w:color="auto" w:sz="4" w:space="0"/>
              <w:left w:val="single" w:color="000000" w:sz="4" w:space="0"/>
              <w:bottom w:val="single" w:color="auto" w:sz="4" w:space="0"/>
              <w:right w:val="single" w:color="000000"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p>
        </w:tc>
        <w:tc>
          <w:tcPr>
            <w:tcW w:w="269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en-US"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≥400</w:t>
            </w:r>
          </w:p>
        </w:tc>
        <w:tc>
          <w:tcPr>
            <w:tcW w:w="1620" w:type="dxa"/>
            <w:tcBorders>
              <w:top w:val="single" w:color="000000" w:sz="4" w:space="0"/>
              <w:left w:val="single" w:color="000000"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en-US"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±60</w:t>
            </w:r>
          </w:p>
        </w:tc>
        <w:tc>
          <w:tcPr>
            <w:tcW w:w="2701" w:type="dxa"/>
            <w:vMerge w:val="continue"/>
            <w:tcBorders>
              <w:top w:val="single" w:color="auto" w:sz="4" w:space="0"/>
              <w:left w:val="single" w:color="auto"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8" w:hRule="exact"/>
          <w:jc w:val="center"/>
        </w:trPr>
        <w:tc>
          <w:tcPr>
            <w:tcW w:w="1059" w:type="dxa"/>
            <w:vMerge w:val="restart"/>
            <w:tcBorders>
              <w:top w:val="single" w:color="auto" w:sz="4" w:space="0"/>
              <w:left w:val="single" w:color="000000" w:sz="4" w:space="0"/>
              <w:bottom w:val="single" w:color="auto" w:sz="4" w:space="0"/>
              <w:right w:val="single" w:color="000000"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r>
              <w:rPr>
                <w:rFonts w:hint="eastAsia" w:asciiTheme="minorEastAsia" w:hAnsiTheme="minorEastAsia" w:eastAsiaTheme="minorEastAsia" w:cstheme="minorEastAsia"/>
                <w:snapToGrid w:val="0"/>
                <w:color w:val="000000"/>
                <w:spacing w:val="-3"/>
                <w:kern w:val="0"/>
                <w:sz w:val="24"/>
                <w:szCs w:val="24"/>
                <w:lang w:val="en-US" w:eastAsia="zh-CN" w:bidi="ar-SA"/>
              </w:rPr>
              <w:t>灰分</w:t>
            </w:r>
          </w:p>
        </w:tc>
        <w:tc>
          <w:tcPr>
            <w:tcW w:w="791" w:type="dxa"/>
            <w:vMerge w:val="restart"/>
            <w:tcBorders>
              <w:top w:val="single" w:color="auto" w:sz="4" w:space="0"/>
              <w:left w:val="single" w:color="000000" w:sz="4" w:space="0"/>
              <w:bottom w:val="single" w:color="auto" w:sz="4" w:space="0"/>
              <w:right w:val="single" w:color="000000"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r>
              <w:rPr>
                <w:rFonts w:hint="eastAsia" w:asciiTheme="minorEastAsia" w:hAnsiTheme="minorEastAsia" w:eastAsiaTheme="minorEastAsia" w:cstheme="minorEastAsia"/>
                <w:snapToGrid w:val="0"/>
                <w:color w:val="000000"/>
                <w:spacing w:val="-3"/>
                <w:kern w:val="0"/>
                <w:sz w:val="24"/>
                <w:szCs w:val="24"/>
                <w:lang w:val="en-US" w:eastAsia="zh-CN" w:bidi="ar-SA"/>
              </w:rPr>
              <w:t>%</w:t>
            </w:r>
          </w:p>
        </w:tc>
        <w:tc>
          <w:tcPr>
            <w:tcW w:w="269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≤0.2</w:t>
            </w:r>
          </w:p>
        </w:tc>
        <w:tc>
          <w:tcPr>
            <w:tcW w:w="1620" w:type="dxa"/>
            <w:tcBorders>
              <w:top w:val="single" w:color="auto" w:sz="4" w:space="0"/>
              <w:left w:val="single" w:color="000000" w:sz="4" w:space="0"/>
              <w:bottom w:val="single" w:color="000000"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±0.02</w:t>
            </w:r>
          </w:p>
        </w:tc>
        <w:tc>
          <w:tcPr>
            <w:tcW w:w="2701" w:type="dxa"/>
            <w:vMerge w:val="restart"/>
            <w:tcBorders>
              <w:top w:val="single" w:color="auto" w:sz="4" w:space="0"/>
              <w:left w:val="single" w:color="auto" w:sz="4" w:space="0"/>
              <w:bottom w:val="single" w:color="auto" w:sz="4" w:space="0"/>
              <w:right w:val="single" w:color="000000" w:sz="4" w:space="0"/>
            </w:tcBorders>
            <w:noWrap/>
            <w:vAlign w:val="center"/>
          </w:tcPr>
          <w:p>
            <w:pPr>
              <w:keepNext w:val="0"/>
              <w:keepLines w:val="0"/>
              <w:widowControl/>
              <w:suppressLineNumbers w:val="0"/>
              <w:spacing w:line="240" w:lineRule="auto"/>
              <w:jc w:val="left"/>
              <w:textAlignment w:val="center"/>
              <w:rPr>
                <w:rFonts w:hint="eastAsia" w:asciiTheme="minorEastAsia" w:hAnsiTheme="minorEastAsia" w:eastAsiaTheme="minorEastAsia" w:cstheme="minorEastAsia"/>
                <w:snapToGrid w:val="0"/>
                <w:color w:val="000000"/>
                <w:spacing w:val="-3"/>
                <w:kern w:val="0"/>
                <w:sz w:val="24"/>
                <w:szCs w:val="24"/>
                <w:lang w:val="en-US" w:eastAsia="zh-CN" w:bidi="ar-SA"/>
              </w:rPr>
            </w:pPr>
            <w:r>
              <w:rPr>
                <w:rFonts w:hint="eastAsia" w:asciiTheme="minorEastAsia" w:hAnsiTheme="minorEastAsia" w:eastAsiaTheme="minorEastAsia" w:cstheme="minorEastAsia"/>
                <w:snapToGrid w:val="0"/>
                <w:color w:val="000000"/>
                <w:spacing w:val="-3"/>
                <w:kern w:val="0"/>
                <w:sz w:val="24"/>
                <w:szCs w:val="24"/>
                <w:lang w:val="en-US" w:eastAsia="zh-CN" w:bidi="ar-SA"/>
              </w:rPr>
              <w:t>SH/T 0029-1990 石油焦灰分测定法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8" w:hRule="exact"/>
          <w:jc w:val="center"/>
        </w:trPr>
        <w:tc>
          <w:tcPr>
            <w:tcW w:w="1059" w:type="dxa"/>
            <w:vMerge w:val="continue"/>
            <w:tcBorders>
              <w:top w:val="single" w:color="auto" w:sz="4" w:space="0"/>
              <w:left w:val="single" w:color="000000" w:sz="4" w:space="0"/>
              <w:bottom w:val="single" w:color="auto" w:sz="4" w:space="0"/>
              <w:right w:val="single" w:color="000000"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p>
        </w:tc>
        <w:tc>
          <w:tcPr>
            <w:tcW w:w="791" w:type="dxa"/>
            <w:vMerge w:val="continue"/>
            <w:tcBorders>
              <w:top w:val="single" w:color="auto" w:sz="4" w:space="0"/>
              <w:left w:val="single" w:color="000000" w:sz="4" w:space="0"/>
              <w:bottom w:val="single" w:color="auto" w:sz="4" w:space="0"/>
              <w:right w:val="single" w:color="000000"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en-US" w:bidi="ar-SA"/>
              </w:rPr>
            </w:pPr>
          </w:p>
        </w:tc>
        <w:tc>
          <w:tcPr>
            <w:tcW w:w="269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＞0.2</w:t>
            </w:r>
          </w:p>
        </w:tc>
        <w:tc>
          <w:tcPr>
            <w:tcW w:w="1620" w:type="dxa"/>
            <w:tcBorders>
              <w:top w:val="single" w:color="000000" w:sz="4" w:space="0"/>
              <w:left w:val="single" w:color="000000" w:sz="4" w:space="0"/>
              <w:bottom w:val="single" w:color="000000"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±0.05</w:t>
            </w:r>
          </w:p>
        </w:tc>
        <w:tc>
          <w:tcPr>
            <w:tcW w:w="2701" w:type="dxa"/>
            <w:vMerge w:val="continue"/>
            <w:tcBorders>
              <w:top w:val="single" w:color="auto" w:sz="4" w:space="0"/>
              <w:left w:val="single" w:color="auto"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0" w:hRule="exact"/>
          <w:jc w:val="center"/>
        </w:trPr>
        <w:tc>
          <w:tcPr>
            <w:tcW w:w="1059" w:type="dxa"/>
            <w:tcBorders>
              <w:top w:val="single" w:color="auto" w:sz="4" w:space="0"/>
              <w:left w:val="single" w:color="000000" w:sz="4" w:space="0"/>
              <w:bottom w:val="single" w:color="auto" w:sz="4" w:space="0"/>
              <w:right w:val="single" w:color="000000"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r>
              <w:rPr>
                <w:rFonts w:hint="eastAsia" w:asciiTheme="minorEastAsia" w:hAnsiTheme="minorEastAsia" w:eastAsiaTheme="minorEastAsia" w:cstheme="minorEastAsia"/>
                <w:snapToGrid w:val="0"/>
                <w:color w:val="000000"/>
                <w:spacing w:val="-3"/>
                <w:kern w:val="0"/>
                <w:sz w:val="24"/>
                <w:szCs w:val="24"/>
                <w:lang w:val="en-US" w:eastAsia="zh-CN" w:bidi="ar-SA"/>
              </w:rPr>
              <w:t>粉焦量</w:t>
            </w:r>
          </w:p>
        </w:tc>
        <w:tc>
          <w:tcPr>
            <w:tcW w:w="791" w:type="dxa"/>
            <w:tcBorders>
              <w:top w:val="single" w:color="auto" w:sz="4" w:space="0"/>
              <w:left w:val="single" w:color="000000" w:sz="4" w:space="0"/>
              <w:bottom w:val="single" w:color="auto" w:sz="4" w:space="0"/>
              <w:right w:val="single" w:color="000000" w:sz="4" w:space="0"/>
            </w:tcBorders>
            <w:noWrap/>
            <w:vAlign w:val="center"/>
          </w:tcPr>
          <w:p>
            <w:pPr>
              <w:jc w:val="center"/>
              <w:rPr>
                <w:rFonts w:hint="eastAsia" w:asciiTheme="minorEastAsia" w:hAnsiTheme="minorEastAsia" w:eastAsiaTheme="minorEastAsia" w:cstheme="minorEastAsia"/>
                <w:snapToGrid w:val="0"/>
                <w:color w:val="000000"/>
                <w:spacing w:val="-3"/>
                <w:kern w:val="0"/>
                <w:sz w:val="24"/>
                <w:szCs w:val="24"/>
                <w:lang w:val="en-US" w:eastAsia="zh-CN" w:bidi="ar-SA"/>
              </w:rPr>
            </w:pPr>
            <w:r>
              <w:rPr>
                <w:rFonts w:hint="eastAsia" w:asciiTheme="minorEastAsia" w:hAnsiTheme="minorEastAsia" w:eastAsiaTheme="minorEastAsia" w:cstheme="minorEastAsia"/>
                <w:snapToGrid w:val="0"/>
                <w:color w:val="000000"/>
                <w:spacing w:val="-3"/>
                <w:kern w:val="0"/>
                <w:sz w:val="24"/>
                <w:szCs w:val="24"/>
                <w:lang w:val="en-US" w:eastAsia="zh-CN" w:bidi="ar-SA"/>
              </w:rPr>
              <w:t>%</w:t>
            </w:r>
          </w:p>
        </w:tc>
        <w:tc>
          <w:tcPr>
            <w:tcW w:w="269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全范围</w:t>
            </w:r>
          </w:p>
        </w:tc>
        <w:tc>
          <w:tcPr>
            <w:tcW w:w="1620" w:type="dxa"/>
            <w:tcBorders>
              <w:top w:val="single" w:color="000000" w:sz="4" w:space="0"/>
              <w:left w:val="single" w:color="000000" w:sz="4" w:space="0"/>
              <w:bottom w:val="single" w:color="000000" w:sz="4" w:space="0"/>
              <w:right w:val="single" w:color="auto"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spacing w:val="-3"/>
                <w:sz w:val="24"/>
                <w:szCs w:val="24"/>
                <w:lang w:val="en-US" w:eastAsia="zh-CN"/>
              </w:rPr>
              <w:t>±2</w:t>
            </w:r>
          </w:p>
        </w:tc>
        <w:tc>
          <w:tcPr>
            <w:tcW w:w="2701" w:type="dxa"/>
            <w:tcBorders>
              <w:top w:val="single" w:color="auto" w:sz="4" w:space="0"/>
              <w:left w:val="single" w:color="auto"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napToGrid w:val="0"/>
                <w:color w:val="000000"/>
                <w:spacing w:val="-3"/>
                <w:kern w:val="0"/>
                <w:sz w:val="24"/>
                <w:szCs w:val="24"/>
                <w:lang w:val="en-US" w:eastAsia="zh-CN" w:bidi="ar-SA"/>
              </w:rPr>
            </w:pPr>
            <w:r>
              <w:rPr>
                <w:rFonts w:hint="eastAsia" w:asciiTheme="minorEastAsia" w:hAnsiTheme="minorEastAsia" w:eastAsiaTheme="minorEastAsia" w:cstheme="minorEastAsia"/>
                <w:snapToGrid w:val="0"/>
                <w:color w:val="000000"/>
                <w:spacing w:val="-3"/>
                <w:kern w:val="0"/>
                <w:sz w:val="24"/>
                <w:szCs w:val="24"/>
                <w:lang w:val="en-US" w:eastAsia="zh-CN" w:bidi="ar-SA"/>
              </w:rPr>
              <w:t>NB/SH/T 0527-2019 石油焦（生焦） （附录A）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93" w:hRule="exact"/>
          <w:jc w:val="center"/>
        </w:trPr>
        <w:tc>
          <w:tcPr>
            <w:tcW w:w="8868" w:type="dxa"/>
            <w:gridSpan w:val="5"/>
            <w:tcBorders>
              <w:top w:val="single" w:color="auto" w:sz="4" w:space="0"/>
              <w:left w:val="single" w:color="000000" w:sz="4" w:space="0"/>
              <w:bottom w:val="single" w:color="000000" w:sz="4" w:space="0"/>
              <w:right w:val="single" w:color="000000" w:sz="4" w:space="0"/>
            </w:tcBorders>
            <w:noWrap/>
            <w:vAlign w:val="center"/>
          </w:tcPr>
          <w:p>
            <w:pPr>
              <w:pStyle w:val="11"/>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240" w:lineRule="auto"/>
              <w:ind w:right="0" w:rightChars="0"/>
              <w:jc w:val="left"/>
              <w:textAlignment w:val="auto"/>
              <w:rPr>
                <w:rFonts w:hint="eastAsia" w:asciiTheme="minorEastAsia" w:hAnsiTheme="minorEastAsia" w:eastAsiaTheme="minorEastAsia" w:cstheme="minorEastAsia"/>
                <w:b w:val="0"/>
                <w:bCs w:val="0"/>
                <w:color w:val="auto"/>
                <w:kern w:val="10"/>
                <w:sz w:val="24"/>
                <w:szCs w:val="24"/>
                <w:highlight w:val="none"/>
                <w:lang w:val="en-US" w:eastAsia="zh-CN"/>
              </w:rPr>
            </w:pPr>
            <w:r>
              <w:rPr>
                <w:rFonts w:hint="eastAsia" w:asciiTheme="minorEastAsia" w:hAnsiTheme="minorEastAsia" w:eastAsiaTheme="minorEastAsia" w:cstheme="minorEastAsia"/>
                <w:snapToGrid w:val="0"/>
                <w:color w:val="000000"/>
                <w:spacing w:val="-3"/>
                <w:kern w:val="0"/>
                <w:sz w:val="24"/>
                <w:szCs w:val="24"/>
                <w:lang w:val="en-US" w:eastAsia="zh-CN" w:bidi="ar-SA"/>
              </w:rPr>
              <w:t>注：1.</w:t>
            </w:r>
            <w:r>
              <w:rPr>
                <w:rFonts w:hint="eastAsia" w:asciiTheme="minorEastAsia" w:hAnsiTheme="minorEastAsia" w:eastAsiaTheme="minorEastAsia" w:cstheme="minorEastAsia"/>
                <w:b w:val="0"/>
                <w:bCs w:val="0"/>
                <w:color w:val="auto"/>
                <w:kern w:val="10"/>
                <w:sz w:val="24"/>
                <w:szCs w:val="24"/>
                <w:highlight w:val="none"/>
                <w:lang w:val="en-US" w:eastAsia="zh-CN"/>
              </w:rPr>
              <w:t>石油焦水分会因环境变化而有所变化，石油焦水分不受理复检仲裁；</w:t>
            </w:r>
          </w:p>
          <w:p>
            <w:pPr>
              <w:pStyle w:val="11"/>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240" w:lineRule="auto"/>
              <w:ind w:left="719" w:leftChars="228" w:right="0" w:rightChars="0" w:hanging="240" w:hangingChars="100"/>
              <w:jc w:val="left"/>
              <w:textAlignment w:val="auto"/>
              <w:rPr>
                <w:rFonts w:hint="eastAsia" w:asciiTheme="minorEastAsia" w:hAnsiTheme="minorEastAsia" w:eastAsiaTheme="minorEastAsia" w:cstheme="minorEastAsia"/>
                <w:snapToGrid w:val="0"/>
                <w:color w:val="000000"/>
                <w:spacing w:val="-3"/>
                <w:kern w:val="0"/>
                <w:sz w:val="24"/>
                <w:szCs w:val="24"/>
                <w:lang w:val="en-US" w:eastAsia="zh-CN" w:bidi="ar-SA"/>
              </w:rPr>
            </w:pPr>
            <w:r>
              <w:rPr>
                <w:rFonts w:hint="eastAsia" w:asciiTheme="minorEastAsia" w:hAnsiTheme="minorEastAsia" w:eastAsiaTheme="minorEastAsia" w:cstheme="minorEastAsia"/>
                <w:b w:val="0"/>
                <w:bCs w:val="0"/>
                <w:color w:val="auto"/>
                <w:kern w:val="10"/>
                <w:sz w:val="24"/>
                <w:szCs w:val="24"/>
                <w:highlight w:val="none"/>
                <w:lang w:val="en-US" w:eastAsia="zh-CN"/>
              </w:rPr>
              <w:t>2.当复检仲裁结果在该项指标规定再现性范围内的，以到货验收时检测结果（原检测结果）为结算依据，当复检仲裁结果超出该项指标规定再现性范围的，以复检仲裁结果为结算依据。</w:t>
            </w:r>
          </w:p>
        </w:tc>
      </w:tr>
    </w:tbl>
    <w:p>
      <w:pPr>
        <w:pStyle w:val="11"/>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jc w:val="left"/>
        <w:textAlignment w:val="auto"/>
        <w:rPr>
          <w:rFonts w:hint="eastAsia" w:cs="Times New Roman"/>
          <w:b w:val="0"/>
          <w:bCs w:val="0"/>
          <w:color w:val="auto"/>
          <w:kern w:val="10"/>
          <w:sz w:val="24"/>
          <w:highlight w:val="none"/>
          <w:lang w:val="en-US" w:eastAsia="zh-CN"/>
        </w:rPr>
      </w:pPr>
    </w:p>
    <w:p>
      <w:pPr>
        <w:pStyle w:val="11"/>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jc w:val="left"/>
        <w:textAlignment w:val="auto"/>
        <w:rPr>
          <w:rFonts w:hint="eastAsia" w:ascii="宋体" w:hAnsi="宋体" w:eastAsia="宋体" w:cs="Times New Roman"/>
          <w:b w:val="0"/>
          <w:bCs w:val="0"/>
          <w:color w:val="auto"/>
          <w:kern w:val="10"/>
          <w:sz w:val="24"/>
          <w:highlight w:val="none"/>
          <w:lang w:val="en-US" w:eastAsia="zh-CN"/>
        </w:rPr>
      </w:pPr>
      <w:r>
        <w:rPr>
          <w:rFonts w:hint="eastAsia" w:cs="Times New Roman"/>
          <w:b w:val="0"/>
          <w:bCs w:val="0"/>
          <w:color w:val="auto"/>
          <w:kern w:val="10"/>
          <w:sz w:val="24"/>
          <w:highlight w:val="none"/>
          <w:lang w:val="en-US" w:eastAsia="zh-CN"/>
        </w:rPr>
        <w:t>1</w:t>
      </w:r>
      <w:r>
        <w:rPr>
          <w:rFonts w:hint="eastAsia" w:ascii="宋体" w:hAnsi="宋体" w:eastAsia="宋体" w:cs="Times New Roman"/>
          <w:b w:val="0"/>
          <w:bCs w:val="0"/>
          <w:color w:val="auto"/>
          <w:kern w:val="10"/>
          <w:sz w:val="24"/>
          <w:highlight w:val="none"/>
          <w:lang w:val="en-US" w:eastAsia="zh-CN"/>
        </w:rPr>
        <w:t>.4.5.4复检费用：在需方实验室进行复检的，复检费用由需方承担；由具有资质的第三方实验室复检的，复检费用由提出异议方承担。</w:t>
      </w:r>
    </w:p>
    <w:p>
      <w:pPr>
        <w:pStyle w:val="11"/>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jc w:val="left"/>
        <w:textAlignment w:val="auto"/>
        <w:rPr>
          <w:rFonts w:hint="eastAsia" w:ascii="宋体" w:hAnsi="宋体" w:eastAsia="宋体" w:cs="Times New Roman"/>
          <w:b/>
          <w:kern w:val="10"/>
          <w:sz w:val="24"/>
          <w:szCs w:val="24"/>
          <w:lang w:val="en-US" w:eastAsia="zh-CN" w:bidi="ar-SA"/>
        </w:rPr>
      </w:pPr>
      <w:r>
        <w:rPr>
          <w:rFonts w:hint="eastAsia" w:cs="Times New Roman"/>
          <w:b/>
          <w:kern w:val="10"/>
          <w:sz w:val="24"/>
          <w:szCs w:val="24"/>
          <w:lang w:val="en-US" w:eastAsia="zh-CN" w:bidi="ar-SA"/>
        </w:rPr>
        <w:t>1.4</w:t>
      </w:r>
      <w:r>
        <w:rPr>
          <w:rFonts w:hint="eastAsia" w:ascii="宋体" w:hAnsi="宋体" w:eastAsia="宋体" w:cs="Times New Roman"/>
          <w:b/>
          <w:kern w:val="10"/>
          <w:sz w:val="24"/>
          <w:szCs w:val="24"/>
          <w:lang w:val="en-US" w:eastAsia="zh-CN" w:bidi="ar-SA"/>
        </w:rPr>
        <w:t>.</w:t>
      </w:r>
      <w:r>
        <w:rPr>
          <w:rFonts w:hint="eastAsia" w:cs="Times New Roman"/>
          <w:b/>
          <w:kern w:val="10"/>
          <w:sz w:val="24"/>
          <w:szCs w:val="24"/>
          <w:lang w:val="en-US" w:eastAsia="zh-CN" w:bidi="ar-SA"/>
        </w:rPr>
        <w:t>6</w:t>
      </w:r>
      <w:r>
        <w:rPr>
          <w:rFonts w:hint="eastAsia" w:ascii="宋体" w:hAnsi="宋体" w:eastAsia="宋体" w:cs="Times New Roman"/>
          <w:b/>
          <w:kern w:val="10"/>
          <w:sz w:val="24"/>
          <w:szCs w:val="24"/>
          <w:lang w:val="en-US" w:eastAsia="zh-CN" w:bidi="ar-SA"/>
        </w:rPr>
        <w:t>检验结果的判定</w:t>
      </w:r>
    </w:p>
    <w:p>
      <w:pPr>
        <w:pStyle w:val="11"/>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firstLine="480" w:firstLineChars="200"/>
        <w:jc w:val="left"/>
        <w:textAlignment w:val="auto"/>
        <w:rPr>
          <w:rFonts w:hint="default" w:ascii="宋体" w:hAnsi="宋体" w:eastAsia="宋体" w:cs="Times New Roman"/>
          <w:b w:val="0"/>
          <w:bCs w:val="0"/>
          <w:kern w:val="10"/>
          <w:sz w:val="24"/>
          <w:szCs w:val="24"/>
          <w:lang w:val="en-US" w:eastAsia="zh-CN" w:bidi="ar-SA"/>
        </w:rPr>
      </w:pPr>
      <w:r>
        <w:rPr>
          <w:rFonts w:hint="eastAsia" w:ascii="宋体" w:hAnsi="宋体" w:eastAsia="宋体" w:cs="Times New Roman"/>
          <w:b w:val="0"/>
          <w:bCs w:val="0"/>
          <w:kern w:val="10"/>
          <w:sz w:val="24"/>
          <w:szCs w:val="24"/>
          <w:lang w:val="en-US" w:eastAsia="zh-CN" w:bidi="ar-SA"/>
        </w:rPr>
        <w:t>验收过程中，出现</w:t>
      </w:r>
      <w:r>
        <w:rPr>
          <w:rFonts w:hint="default" w:ascii="宋体" w:hAnsi="宋体" w:eastAsia="宋体" w:cs="Times New Roman"/>
          <w:b w:val="0"/>
          <w:bCs w:val="0"/>
          <w:kern w:val="10"/>
          <w:sz w:val="24"/>
          <w:szCs w:val="24"/>
          <w:lang w:val="en-US" w:eastAsia="zh-CN" w:bidi="ar-SA"/>
        </w:rPr>
        <w:t>任何</w:t>
      </w:r>
      <w:r>
        <w:rPr>
          <w:rFonts w:hint="eastAsia" w:ascii="宋体" w:hAnsi="宋体" w:eastAsia="宋体" w:cs="Times New Roman"/>
          <w:b w:val="0"/>
          <w:bCs w:val="0"/>
          <w:kern w:val="10"/>
          <w:sz w:val="24"/>
          <w:szCs w:val="24"/>
          <w:lang w:val="en-US" w:eastAsia="zh-CN" w:bidi="ar-SA"/>
        </w:rPr>
        <w:t>一</w:t>
      </w:r>
      <w:r>
        <w:rPr>
          <w:rFonts w:hint="default" w:ascii="宋体" w:hAnsi="宋体" w:eastAsia="宋体" w:cs="Times New Roman"/>
          <w:b w:val="0"/>
          <w:bCs w:val="0"/>
          <w:kern w:val="10"/>
          <w:sz w:val="24"/>
          <w:szCs w:val="24"/>
          <w:lang w:val="en-US" w:eastAsia="zh-CN" w:bidi="ar-SA"/>
        </w:rPr>
        <w:t>项</w:t>
      </w:r>
      <w:r>
        <w:rPr>
          <w:rFonts w:hint="eastAsia" w:ascii="宋体" w:hAnsi="宋体" w:eastAsia="宋体" w:cs="Times New Roman"/>
          <w:b w:val="0"/>
          <w:bCs w:val="0"/>
          <w:kern w:val="10"/>
          <w:sz w:val="24"/>
          <w:szCs w:val="24"/>
          <w:lang w:val="en-US" w:eastAsia="zh-CN" w:bidi="ar-SA"/>
        </w:rPr>
        <w:t>质量指标</w:t>
      </w:r>
      <w:r>
        <w:rPr>
          <w:rFonts w:hint="default" w:ascii="宋体" w:hAnsi="宋体" w:eastAsia="宋体" w:cs="Times New Roman"/>
          <w:b w:val="0"/>
          <w:bCs w:val="0"/>
          <w:kern w:val="10"/>
          <w:sz w:val="24"/>
          <w:szCs w:val="24"/>
          <w:lang w:val="en-US" w:eastAsia="zh-CN" w:bidi="ar-SA"/>
        </w:rPr>
        <w:t>不合格，</w:t>
      </w:r>
      <w:r>
        <w:rPr>
          <w:rFonts w:hint="eastAsia" w:ascii="宋体" w:hAnsi="宋体" w:eastAsia="宋体" w:cs="Times New Roman"/>
          <w:b w:val="0"/>
          <w:bCs w:val="0"/>
          <w:kern w:val="10"/>
          <w:sz w:val="24"/>
          <w:szCs w:val="24"/>
          <w:lang w:val="en-US" w:eastAsia="zh-CN" w:bidi="ar-SA"/>
        </w:rPr>
        <w:t>判定该批次石油焦不合格。</w:t>
      </w:r>
    </w:p>
    <w:p>
      <w:pPr>
        <w:pStyle w:val="11"/>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jc w:val="left"/>
        <w:textAlignment w:val="auto"/>
        <w:rPr>
          <w:rFonts w:hint="eastAsia" w:ascii="宋体" w:hAnsi="宋体" w:eastAsia="宋体" w:cs="Times New Roman"/>
          <w:b/>
          <w:kern w:val="10"/>
          <w:sz w:val="24"/>
          <w:szCs w:val="24"/>
          <w:lang w:val="en-US" w:eastAsia="zh-CN" w:bidi="ar-SA"/>
        </w:rPr>
      </w:pPr>
      <w:r>
        <w:rPr>
          <w:rFonts w:hint="eastAsia" w:cs="Times New Roman"/>
          <w:b/>
          <w:kern w:val="10"/>
          <w:sz w:val="24"/>
          <w:szCs w:val="24"/>
          <w:lang w:val="en-US" w:eastAsia="zh-CN" w:bidi="ar-SA"/>
        </w:rPr>
        <w:t>1.4</w:t>
      </w:r>
      <w:r>
        <w:rPr>
          <w:rFonts w:hint="eastAsia" w:ascii="宋体" w:hAnsi="宋体" w:eastAsia="宋体" w:cs="Times New Roman"/>
          <w:b/>
          <w:kern w:val="10"/>
          <w:sz w:val="24"/>
          <w:szCs w:val="24"/>
          <w:lang w:val="en-US" w:eastAsia="zh-CN" w:bidi="ar-SA"/>
        </w:rPr>
        <w:t>.</w:t>
      </w:r>
      <w:r>
        <w:rPr>
          <w:rFonts w:hint="eastAsia" w:cs="Times New Roman"/>
          <w:b/>
          <w:kern w:val="10"/>
          <w:sz w:val="24"/>
          <w:szCs w:val="24"/>
          <w:lang w:val="en-US" w:eastAsia="zh-CN" w:bidi="ar-SA"/>
        </w:rPr>
        <w:t>7</w:t>
      </w:r>
      <w:r>
        <w:rPr>
          <w:rFonts w:hint="eastAsia" w:ascii="宋体" w:hAnsi="宋体" w:eastAsia="宋体" w:cs="Times New Roman"/>
          <w:b/>
          <w:kern w:val="10"/>
          <w:sz w:val="24"/>
          <w:szCs w:val="24"/>
          <w:lang w:val="en-US" w:eastAsia="zh-CN" w:bidi="ar-SA"/>
        </w:rPr>
        <w:t>外观质量</w:t>
      </w:r>
    </w:p>
    <w:p>
      <w:pPr>
        <w:pStyle w:val="11"/>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firstLine="480" w:firstLineChars="200"/>
        <w:jc w:val="left"/>
        <w:textAlignment w:val="auto"/>
        <w:rPr>
          <w:rFonts w:hint="default" w:ascii="宋体" w:hAnsi="宋体" w:eastAsia="宋体" w:cs="Times New Roman"/>
          <w:b w:val="0"/>
          <w:bCs w:val="0"/>
          <w:kern w:val="10"/>
          <w:sz w:val="24"/>
          <w:szCs w:val="24"/>
          <w:lang w:val="en-US" w:eastAsia="zh-CN" w:bidi="ar-SA"/>
        </w:rPr>
      </w:pPr>
      <w:r>
        <w:rPr>
          <w:rFonts w:hint="default" w:ascii="宋体" w:hAnsi="宋体" w:eastAsia="宋体" w:cs="Times New Roman"/>
          <w:b w:val="0"/>
          <w:bCs w:val="0"/>
          <w:color w:val="000000" w:themeColor="text1"/>
          <w:kern w:val="10"/>
          <w:sz w:val="24"/>
          <w:szCs w:val="24"/>
          <w:lang w:val="en-US" w:eastAsia="zh-CN" w:bidi="ar-SA"/>
          <w14:textFill>
            <w14:solidFill>
              <w14:schemeClr w14:val="tx1"/>
            </w14:solidFill>
          </w14:textFill>
        </w:rPr>
        <w:t>石油焦中出现焦泥、沥青、弹丸焦</w:t>
      </w:r>
      <w:r>
        <w:rPr>
          <w:rFonts w:hint="eastAsia" w:cs="Times New Roman"/>
          <w:b w:val="0"/>
          <w:bCs w:val="0"/>
          <w:color w:val="000000" w:themeColor="text1"/>
          <w:kern w:val="10"/>
          <w:sz w:val="24"/>
          <w:szCs w:val="24"/>
          <w:lang w:val="en-US" w:eastAsia="zh-CN" w:bidi="ar-SA"/>
          <w14:textFill>
            <w14:solidFill>
              <w14:schemeClr w14:val="tx1"/>
            </w14:solidFill>
          </w14:textFill>
        </w:rPr>
        <w:t>（形状呈圆球形、表面光亮、结构致密）</w:t>
      </w:r>
      <w:r>
        <w:rPr>
          <w:rFonts w:hint="default" w:ascii="宋体" w:hAnsi="宋体" w:eastAsia="宋体" w:cs="Times New Roman"/>
          <w:b w:val="0"/>
          <w:bCs w:val="0"/>
          <w:color w:val="000000" w:themeColor="text1"/>
          <w:kern w:val="10"/>
          <w:sz w:val="24"/>
          <w:szCs w:val="24"/>
          <w:lang w:val="en-US" w:eastAsia="zh-CN" w:bidi="ar-SA"/>
          <w14:textFill>
            <w14:solidFill>
              <w14:schemeClr w14:val="tx1"/>
            </w14:solidFill>
          </w14:textFill>
        </w:rPr>
        <w:t>及非石油焦物质，</w:t>
      </w:r>
      <w:r>
        <w:rPr>
          <w:rFonts w:hint="eastAsia" w:cs="Times New Roman"/>
          <w:b w:val="0"/>
          <w:bCs w:val="0"/>
          <w:color w:val="000000" w:themeColor="text1"/>
          <w:kern w:val="10"/>
          <w:sz w:val="24"/>
          <w:szCs w:val="24"/>
          <w:lang w:val="en-US" w:eastAsia="zh-CN" w:bidi="ar-SA"/>
          <w14:textFill>
            <w14:solidFill>
              <w14:schemeClr w14:val="tx1"/>
            </w14:solidFill>
          </w14:textFill>
        </w:rPr>
        <w:t>作退货处理，因退货对需方造成影响的，由供方承担相关责任及赔偿相应损失。</w:t>
      </w:r>
      <w:r>
        <w:rPr>
          <w:rFonts w:hint="default" w:ascii="宋体" w:hAnsi="宋体" w:eastAsia="宋体" w:cs="Times New Roman"/>
          <w:b w:val="0"/>
          <w:bCs w:val="0"/>
          <w:color w:val="000000" w:themeColor="text1"/>
          <w:kern w:val="10"/>
          <w:sz w:val="24"/>
          <w:szCs w:val="24"/>
          <w:lang w:val="en-US" w:eastAsia="zh-CN" w:bidi="ar-SA"/>
          <w14:textFill>
            <w14:solidFill>
              <w14:schemeClr w14:val="tx1"/>
            </w14:solidFill>
          </w14:textFill>
        </w:rPr>
        <w:tab/>
      </w:r>
      <w:r>
        <w:rPr>
          <w:rFonts w:hint="default" w:ascii="宋体" w:hAnsi="宋体" w:eastAsia="宋体" w:cs="Times New Roman"/>
          <w:b w:val="0"/>
          <w:bCs w:val="0"/>
          <w:kern w:val="10"/>
          <w:sz w:val="24"/>
          <w:szCs w:val="24"/>
          <w:lang w:val="en-US" w:eastAsia="zh-CN" w:bidi="ar-SA"/>
        </w:rPr>
        <w:tab/>
      </w:r>
      <w:r>
        <w:rPr>
          <w:rFonts w:hint="default" w:ascii="宋体" w:hAnsi="宋体" w:eastAsia="宋体" w:cs="Times New Roman"/>
          <w:b w:val="0"/>
          <w:bCs w:val="0"/>
          <w:kern w:val="10"/>
          <w:sz w:val="24"/>
          <w:szCs w:val="24"/>
          <w:lang w:val="en-US" w:eastAsia="zh-CN" w:bidi="ar-SA"/>
        </w:rPr>
        <w:tab/>
      </w:r>
      <w:r>
        <w:rPr>
          <w:rFonts w:hint="default" w:ascii="宋体" w:hAnsi="宋体" w:eastAsia="宋体" w:cs="Times New Roman"/>
          <w:b w:val="0"/>
          <w:bCs w:val="0"/>
          <w:kern w:val="10"/>
          <w:sz w:val="24"/>
          <w:szCs w:val="24"/>
          <w:lang w:val="en-US" w:eastAsia="zh-CN" w:bidi="ar-SA"/>
        </w:rPr>
        <w:tab/>
      </w:r>
      <w:r>
        <w:rPr>
          <w:rFonts w:hint="default" w:ascii="宋体" w:hAnsi="宋体" w:eastAsia="宋体" w:cs="Times New Roman"/>
          <w:b w:val="0"/>
          <w:bCs w:val="0"/>
          <w:kern w:val="10"/>
          <w:sz w:val="24"/>
          <w:szCs w:val="24"/>
          <w:lang w:val="en-US" w:eastAsia="zh-CN" w:bidi="ar-SA"/>
        </w:rPr>
        <w:tab/>
      </w:r>
      <w:r>
        <w:rPr>
          <w:rFonts w:hint="default" w:ascii="宋体" w:hAnsi="宋体" w:eastAsia="宋体" w:cs="Times New Roman"/>
          <w:b w:val="0"/>
          <w:bCs w:val="0"/>
          <w:kern w:val="10"/>
          <w:sz w:val="24"/>
          <w:szCs w:val="24"/>
          <w:lang w:val="en-US" w:eastAsia="zh-CN" w:bidi="ar-SA"/>
        </w:rPr>
        <w:tab/>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eastAsia" w:ascii="宋体" w:hAnsi="宋体" w:eastAsia="宋体" w:cs="宋体"/>
          <w:b/>
          <w:bCs w:val="0"/>
          <w:kern w:val="10"/>
          <w:sz w:val="24"/>
          <w:lang w:val="en-US" w:eastAsia="zh-CN"/>
        </w:rPr>
      </w:pPr>
      <w:bookmarkStart w:id="5" w:name="_Toc26198"/>
      <w:r>
        <w:rPr>
          <w:rFonts w:hint="eastAsia" w:ascii="宋体" w:hAnsi="宋体" w:eastAsia="宋体" w:cs="宋体"/>
          <w:b/>
          <w:bCs w:val="0"/>
          <w:kern w:val="10"/>
          <w:sz w:val="24"/>
          <w:lang w:val="en-US" w:eastAsia="zh-CN"/>
        </w:rPr>
        <w:t>1.5随行文件</w:t>
      </w:r>
      <w:bookmarkEnd w:id="5"/>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3"/>
        <w:rPr>
          <w:rFonts w:hint="default" w:ascii="宋体" w:hAnsi="宋体" w:eastAsia="宋体" w:cs="Times New Roman"/>
          <w:b w:val="0"/>
          <w:bCs w:val="0"/>
          <w:kern w:val="10"/>
          <w:sz w:val="24"/>
          <w:lang w:val="en-US" w:eastAsia="zh-CN"/>
        </w:rPr>
      </w:pPr>
      <w:r>
        <w:rPr>
          <w:rFonts w:hint="eastAsia" w:ascii="宋体" w:hAnsi="宋体" w:eastAsia="宋体" w:cs="Times New Roman"/>
          <w:b w:val="0"/>
          <w:bCs w:val="0"/>
          <w:kern w:val="10"/>
          <w:sz w:val="24"/>
          <w:lang w:val="en-US" w:eastAsia="zh-CN"/>
        </w:rPr>
        <w:t>每批到货石油焦应附有质量证明书等，应注明：</w:t>
      </w:r>
      <w:r>
        <w:rPr>
          <w:rFonts w:hint="eastAsia" w:asciiTheme="majorEastAsia" w:hAnsiTheme="majorEastAsia" w:eastAsiaTheme="majorEastAsia" w:cstheme="majorEastAsia"/>
          <w:b w:val="0"/>
          <w:bCs w:val="0"/>
          <w:kern w:val="10"/>
          <w:sz w:val="24"/>
          <w:lang w:val="en-US" w:eastAsia="zh-CN"/>
        </w:rPr>
        <w:t>①</w:t>
      </w:r>
      <w:r>
        <w:rPr>
          <w:rFonts w:hint="eastAsia" w:ascii="宋体" w:hAnsi="宋体" w:eastAsia="宋体" w:cs="Times New Roman"/>
          <w:b w:val="0"/>
          <w:bCs w:val="0"/>
          <w:kern w:val="10"/>
          <w:sz w:val="24"/>
          <w:lang w:val="en-US" w:eastAsia="zh-CN"/>
        </w:rPr>
        <w:t>供方信息；</w:t>
      </w:r>
      <w:r>
        <w:rPr>
          <w:rFonts w:hint="eastAsia" w:asciiTheme="majorEastAsia" w:hAnsiTheme="majorEastAsia" w:eastAsiaTheme="majorEastAsia" w:cstheme="majorEastAsia"/>
          <w:b w:val="0"/>
          <w:bCs w:val="0"/>
          <w:kern w:val="10"/>
          <w:sz w:val="24"/>
          <w:lang w:val="en-US" w:eastAsia="zh-CN"/>
        </w:rPr>
        <w:t>②</w:t>
      </w:r>
      <w:r>
        <w:rPr>
          <w:rFonts w:hint="eastAsia" w:ascii="宋体" w:hAnsi="宋体" w:eastAsia="宋体" w:cs="Times New Roman"/>
          <w:b w:val="0"/>
          <w:bCs w:val="0"/>
          <w:kern w:val="10"/>
          <w:sz w:val="24"/>
          <w:lang w:val="en-US" w:eastAsia="zh-CN"/>
        </w:rPr>
        <w:t>产品名称和牌号；</w:t>
      </w:r>
      <w:r>
        <w:rPr>
          <w:rFonts w:hint="eastAsia" w:asciiTheme="majorEastAsia" w:hAnsiTheme="majorEastAsia" w:eastAsiaTheme="majorEastAsia" w:cstheme="majorEastAsia"/>
          <w:b w:val="0"/>
          <w:bCs w:val="0"/>
          <w:kern w:val="10"/>
          <w:sz w:val="24"/>
          <w:lang w:val="en-US" w:eastAsia="zh-CN"/>
        </w:rPr>
        <w:t>③</w:t>
      </w:r>
      <w:r>
        <w:rPr>
          <w:rFonts w:hint="eastAsia" w:ascii="宋体" w:hAnsi="宋体" w:eastAsia="宋体" w:cs="Times New Roman"/>
          <w:b w:val="0"/>
          <w:bCs w:val="0"/>
          <w:kern w:val="10"/>
          <w:sz w:val="24"/>
          <w:lang w:val="en-US" w:eastAsia="zh-CN"/>
        </w:rPr>
        <w:t>批号、净含量；</w:t>
      </w:r>
      <w:r>
        <w:rPr>
          <w:rFonts w:hint="eastAsia" w:ascii="宋体" w:hAnsi="宋体" w:eastAsia="宋体" w:cs="宋体"/>
          <w:b w:val="0"/>
          <w:bCs w:val="0"/>
          <w:kern w:val="10"/>
          <w:sz w:val="24"/>
          <w:lang w:val="en-US" w:eastAsia="zh-CN"/>
        </w:rPr>
        <w:t>④</w:t>
      </w:r>
      <w:r>
        <w:rPr>
          <w:rFonts w:hint="eastAsia" w:ascii="宋体" w:hAnsi="宋体" w:eastAsia="宋体" w:cs="Times New Roman"/>
          <w:b w:val="0"/>
          <w:bCs w:val="0"/>
          <w:kern w:val="10"/>
          <w:sz w:val="24"/>
          <w:lang w:val="en-US" w:eastAsia="zh-CN"/>
        </w:rPr>
        <w:t>分析检验结果及供方技术（质量）监督部门印记；</w:t>
      </w:r>
      <w:r>
        <w:rPr>
          <w:rFonts w:hint="eastAsia" w:ascii="宋体" w:hAnsi="宋体" w:eastAsia="宋体" w:cs="宋体"/>
          <w:b w:val="0"/>
          <w:bCs w:val="0"/>
          <w:kern w:val="10"/>
          <w:sz w:val="24"/>
          <w:lang w:val="en-US" w:eastAsia="zh-CN"/>
        </w:rPr>
        <w:t>⑤</w:t>
      </w:r>
      <w:r>
        <w:rPr>
          <w:rFonts w:hint="eastAsia" w:ascii="宋体" w:hAnsi="宋体" w:eastAsia="宋体" w:cs="Times New Roman"/>
          <w:b w:val="0"/>
          <w:bCs w:val="0"/>
          <w:kern w:val="10"/>
          <w:sz w:val="24"/>
          <w:lang w:val="en-US" w:eastAsia="zh-CN"/>
        </w:rPr>
        <w:t>执行标准号；</w:t>
      </w:r>
      <w:r>
        <w:rPr>
          <w:rFonts w:hint="eastAsia" w:ascii="宋体" w:hAnsi="宋体" w:eastAsia="宋体" w:cs="宋体"/>
          <w:b w:val="0"/>
          <w:bCs w:val="0"/>
          <w:kern w:val="10"/>
          <w:sz w:val="24"/>
          <w:lang w:val="en-US" w:eastAsia="zh-CN"/>
        </w:rPr>
        <w:t>⑥</w:t>
      </w:r>
      <w:r>
        <w:rPr>
          <w:rFonts w:hint="eastAsia" w:ascii="宋体" w:hAnsi="宋体" w:eastAsia="宋体" w:cs="Times New Roman"/>
          <w:b w:val="0"/>
          <w:bCs w:val="0"/>
          <w:kern w:val="10"/>
          <w:sz w:val="24"/>
          <w:lang w:val="en-US" w:eastAsia="zh-CN"/>
        </w:rPr>
        <w:t>生产日期。</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eastAsia" w:ascii="宋体" w:hAnsi="宋体" w:eastAsia="宋体" w:cs="宋体"/>
          <w:b/>
          <w:bCs w:val="0"/>
          <w:kern w:val="10"/>
          <w:sz w:val="24"/>
          <w:lang w:val="en-US" w:eastAsia="zh-CN"/>
        </w:rPr>
      </w:pPr>
      <w:bookmarkStart w:id="6" w:name="_Toc20013"/>
      <w:r>
        <w:rPr>
          <w:rFonts w:hint="eastAsia" w:ascii="宋体" w:hAnsi="宋体" w:eastAsia="宋体" w:cs="宋体"/>
          <w:b/>
          <w:bCs w:val="0"/>
          <w:kern w:val="10"/>
          <w:sz w:val="24"/>
          <w:lang w:val="en-US" w:eastAsia="zh-CN"/>
        </w:rPr>
        <w:t>1.6包装、运输和贮存</w:t>
      </w:r>
      <w:bookmarkEnd w:id="6"/>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val="0"/>
          <w:bCs w:val="0"/>
          <w:kern w:val="10"/>
          <w:sz w:val="24"/>
          <w:lang w:val="en-US" w:eastAsia="zh-CN"/>
        </w:rPr>
      </w:pPr>
      <w:r>
        <w:rPr>
          <w:rFonts w:hint="eastAsia" w:ascii="宋体" w:hAnsi="宋体" w:eastAsia="宋体" w:cs="Times New Roman"/>
          <w:b w:val="0"/>
          <w:bCs w:val="0"/>
          <w:kern w:val="10"/>
          <w:sz w:val="24"/>
          <w:lang w:val="en-US" w:eastAsia="zh-CN"/>
        </w:rPr>
        <w:t>1.6.1石油焦发运时，车厢内应清扫干净。不同焦种的石油焦不应混装。</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val="0"/>
          <w:bCs w:val="0"/>
          <w:kern w:val="10"/>
          <w:sz w:val="24"/>
          <w:lang w:val="en-US" w:eastAsia="zh-CN"/>
        </w:rPr>
      </w:pPr>
      <w:r>
        <w:rPr>
          <w:rFonts w:hint="eastAsia" w:ascii="宋体" w:hAnsi="宋体" w:eastAsia="宋体" w:cs="Times New Roman"/>
          <w:b w:val="0"/>
          <w:bCs w:val="0"/>
          <w:kern w:val="10"/>
          <w:sz w:val="24"/>
          <w:lang w:val="en-US" w:eastAsia="zh-CN"/>
        </w:rPr>
        <w:t>1.6.2石油焦应分批堆放在清洁、干燥的仓库内，不应污染。</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宋体"/>
          <w:b/>
          <w:bCs w:val="0"/>
          <w:color w:val="auto"/>
          <w:kern w:val="10"/>
          <w:sz w:val="24"/>
          <w:lang w:val="en-US" w:eastAsia="zh-CN"/>
        </w:rPr>
      </w:pPr>
      <w:r>
        <w:rPr>
          <w:rFonts w:hint="eastAsia" w:ascii="宋体" w:hAnsi="宋体" w:eastAsia="宋体" w:cs="Times New Roman"/>
          <w:b w:val="0"/>
          <w:bCs w:val="0"/>
          <w:kern w:val="10"/>
          <w:sz w:val="24"/>
          <w:lang w:val="en-US" w:eastAsia="zh-CN"/>
        </w:rPr>
        <w:t>1.6.3石油焦运输过程应做好防雨、防尘防护。</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eastAsia" w:ascii="宋体" w:hAnsi="宋体" w:eastAsia="宋体" w:cs="宋体"/>
          <w:b/>
          <w:bCs w:val="0"/>
          <w:color w:val="auto"/>
          <w:kern w:val="10"/>
          <w:sz w:val="24"/>
          <w:lang w:val="en-US" w:eastAsia="zh-CN"/>
        </w:rPr>
      </w:pPr>
      <w:bookmarkStart w:id="7" w:name="_Toc735"/>
      <w:r>
        <w:rPr>
          <w:rFonts w:hint="eastAsia" w:ascii="宋体" w:hAnsi="宋体" w:eastAsia="宋体" w:cs="宋体"/>
          <w:b/>
          <w:bCs w:val="0"/>
          <w:color w:val="auto"/>
          <w:kern w:val="10"/>
          <w:sz w:val="24"/>
          <w:lang w:val="en-US" w:eastAsia="zh-CN"/>
        </w:rPr>
        <w:t>1.7扣款细则</w:t>
      </w:r>
      <w:bookmarkEnd w:id="7"/>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3"/>
        <w:rPr>
          <w:rFonts w:hint="eastAsia" w:ascii="宋体" w:hAnsi="宋体" w:eastAsia="宋体" w:cs="Times New Roman"/>
          <w:b w:val="0"/>
          <w:bCs w:val="0"/>
          <w:kern w:val="10"/>
          <w:sz w:val="24"/>
          <w:lang w:val="en-US" w:eastAsia="zh-CN"/>
        </w:rPr>
      </w:pPr>
      <w:r>
        <w:rPr>
          <w:rFonts w:hint="eastAsia" w:ascii="宋体" w:hAnsi="宋体" w:eastAsia="宋体" w:cs="Times New Roman"/>
          <w:b w:val="0"/>
          <w:bCs w:val="0"/>
          <w:kern w:val="10"/>
          <w:sz w:val="24"/>
          <w:lang w:val="en-US" w:eastAsia="zh-CN"/>
        </w:rPr>
        <w:t>当供方供应的石油焦不合格时，如需方同意接收使用的，按以下扣款细则进行扣款，否则进行退货处理。</w:t>
      </w:r>
    </w:p>
    <w:p>
      <w:pPr>
        <w:keepNext w:val="0"/>
        <w:keepLines w:val="0"/>
        <w:pageBreakBefore w:val="0"/>
        <w:widowControl w:val="0"/>
        <w:kinsoku/>
        <w:wordWrap/>
        <w:overflowPunct/>
        <w:topLinePunct w:val="0"/>
        <w:autoSpaceDE/>
        <w:autoSpaceDN/>
        <w:bidi w:val="0"/>
        <w:adjustRightInd/>
        <w:snapToGrid/>
        <w:spacing w:line="500" w:lineRule="exact"/>
        <w:ind w:firstLine="3360" w:firstLineChars="1400"/>
        <w:textAlignment w:val="auto"/>
        <w:outlineLvl w:val="3"/>
        <w:rPr>
          <w:rFonts w:hint="eastAsia" w:ascii="宋体" w:hAnsi="宋体" w:eastAsia="宋体" w:cs="宋体"/>
          <w:b w:val="0"/>
          <w:bCs w:val="0"/>
          <w:color w:val="auto"/>
          <w:kern w:val="10"/>
          <w:sz w:val="24"/>
          <w:szCs w:val="22"/>
          <w:lang w:val="en-US" w:eastAsia="zh-CN" w:bidi="ar-SA"/>
        </w:rPr>
      </w:pPr>
      <w:r>
        <w:rPr>
          <w:rFonts w:hint="eastAsia" w:ascii="宋体" w:hAnsi="宋体" w:eastAsia="宋体" w:cs="宋体"/>
          <w:b w:val="0"/>
          <w:bCs w:val="0"/>
          <w:color w:val="auto"/>
          <w:kern w:val="10"/>
          <w:sz w:val="24"/>
          <w:szCs w:val="22"/>
          <w:lang w:val="en-US" w:eastAsia="zh-CN" w:bidi="ar-SA"/>
        </w:rPr>
        <w:t>表3</w:t>
      </w:r>
      <w:bookmarkStart w:id="8" w:name="_GoBack"/>
      <w:bookmarkEnd w:id="8"/>
      <w:r>
        <w:rPr>
          <w:rFonts w:hint="eastAsia" w:ascii="宋体" w:hAnsi="宋体" w:eastAsia="宋体" w:cs="宋体"/>
          <w:b w:val="0"/>
          <w:bCs w:val="0"/>
          <w:color w:val="auto"/>
          <w:kern w:val="10"/>
          <w:sz w:val="24"/>
          <w:szCs w:val="22"/>
          <w:lang w:val="en-US" w:eastAsia="zh-CN" w:bidi="ar-SA"/>
        </w:rPr>
        <w:t>：石油焦质量扣款细则</w:t>
      </w:r>
    </w:p>
    <w:p>
      <w:pPr>
        <w:pStyle w:val="2"/>
        <w:rPr>
          <w:rFonts w:hint="eastAsia"/>
          <w:lang w:val="en-US" w:eastAsia="zh-CN"/>
        </w:rPr>
      </w:pPr>
    </w:p>
    <w:tbl>
      <w:tblPr>
        <w:tblStyle w:val="7"/>
        <w:tblW w:w="979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50"/>
        <w:gridCol w:w="1245"/>
        <w:gridCol w:w="1080"/>
        <w:gridCol w:w="1545"/>
        <w:gridCol w:w="1969"/>
        <w:gridCol w:w="1080"/>
        <w:gridCol w:w="21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blHeader/>
          <w:jc w:val="center"/>
        </w:trPr>
        <w:tc>
          <w:tcPr>
            <w:tcW w:w="979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石油焦质量</w:t>
            </w:r>
            <w:r>
              <w:rPr>
                <w:rFonts w:hint="eastAsia" w:ascii="宋体" w:hAnsi="宋体" w:cs="宋体"/>
                <w:b/>
                <w:bCs/>
                <w:i w:val="0"/>
                <w:iCs w:val="0"/>
                <w:color w:val="000000"/>
                <w:kern w:val="0"/>
                <w:sz w:val="21"/>
                <w:szCs w:val="21"/>
                <w:highlight w:val="none"/>
                <w:u w:val="none"/>
                <w:lang w:val="en-US" w:eastAsia="zh-CN" w:bidi="ar"/>
              </w:rPr>
              <w:t>扣款</w:t>
            </w:r>
            <w:r>
              <w:rPr>
                <w:rFonts w:hint="eastAsia" w:ascii="宋体" w:hAnsi="宋体" w:eastAsia="宋体" w:cs="宋体"/>
                <w:b/>
                <w:bCs/>
                <w:i w:val="0"/>
                <w:iCs w:val="0"/>
                <w:color w:val="000000"/>
                <w:kern w:val="0"/>
                <w:sz w:val="21"/>
                <w:szCs w:val="21"/>
                <w:highlight w:val="none"/>
                <w:u w:val="none"/>
                <w:lang w:val="en-US" w:eastAsia="zh-CN" w:bidi="ar"/>
              </w:rPr>
              <w:t>细则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0" w:hRule="atLeast"/>
          <w:tblHeader/>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bCs/>
                <w:i w:val="0"/>
                <w:iCs w:val="0"/>
                <w:color w:val="000000"/>
                <w:kern w:val="2"/>
                <w:sz w:val="21"/>
                <w:szCs w:val="21"/>
                <w:highlight w:val="none"/>
                <w:u w:val="none"/>
                <w:lang w:val="en-US" w:eastAsia="zh-CN" w:bidi="ar-SA"/>
              </w:rPr>
            </w:pPr>
            <w:r>
              <w:rPr>
                <w:rFonts w:hint="eastAsia" w:ascii="宋体" w:hAnsi="宋体" w:eastAsia="宋体" w:cs="宋体"/>
                <w:b/>
                <w:bCs/>
                <w:i w:val="0"/>
                <w:iCs w:val="0"/>
                <w:color w:val="000000"/>
                <w:kern w:val="0"/>
                <w:sz w:val="21"/>
                <w:szCs w:val="21"/>
                <w:highlight w:val="none"/>
                <w:u w:val="none"/>
                <w:lang w:val="en-US" w:eastAsia="zh-CN" w:bidi="ar"/>
              </w:rPr>
              <w:t>序号</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firstLine="211" w:firstLineChars="100"/>
              <w:jc w:val="center"/>
              <w:textAlignment w:val="center"/>
              <w:rPr>
                <w:rFonts w:hint="eastAsia" w:ascii="宋体" w:hAnsi="宋体" w:eastAsia="宋体" w:cs="宋体"/>
                <w:b/>
                <w:bCs/>
                <w:i w:val="0"/>
                <w:iCs w:val="0"/>
                <w:color w:val="000000"/>
                <w:kern w:val="2"/>
                <w:sz w:val="21"/>
                <w:szCs w:val="21"/>
                <w:highlight w:val="none"/>
                <w:u w:val="none"/>
                <w:lang w:val="en-US" w:eastAsia="zh-CN" w:bidi="ar-SA"/>
              </w:rPr>
            </w:pPr>
            <w:r>
              <w:rPr>
                <w:rFonts w:hint="eastAsia" w:ascii="宋体" w:hAnsi="宋体" w:eastAsia="宋体" w:cs="宋体"/>
                <w:b/>
                <w:bCs/>
                <w:i w:val="0"/>
                <w:iCs w:val="0"/>
                <w:color w:val="000000"/>
                <w:kern w:val="0"/>
                <w:sz w:val="21"/>
                <w:szCs w:val="21"/>
                <w:highlight w:val="none"/>
                <w:u w:val="none"/>
                <w:lang w:val="en-US" w:eastAsia="zh-CN" w:bidi="ar"/>
              </w:rPr>
              <w:t>子项</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bCs/>
                <w:i w:val="0"/>
                <w:iCs w:val="0"/>
                <w:color w:val="000000"/>
                <w:kern w:val="2"/>
                <w:sz w:val="21"/>
                <w:szCs w:val="21"/>
                <w:highlight w:val="none"/>
                <w:u w:val="none"/>
                <w:lang w:val="en-US" w:eastAsia="zh-CN" w:bidi="ar-SA"/>
              </w:rPr>
            </w:pPr>
            <w:r>
              <w:rPr>
                <w:rFonts w:hint="eastAsia" w:ascii="宋体" w:hAnsi="宋体" w:eastAsia="宋体" w:cs="宋体"/>
                <w:b/>
                <w:bCs/>
                <w:i w:val="0"/>
                <w:iCs w:val="0"/>
                <w:color w:val="000000"/>
                <w:kern w:val="0"/>
                <w:sz w:val="21"/>
                <w:szCs w:val="21"/>
                <w:highlight w:val="none"/>
                <w:u w:val="none"/>
                <w:lang w:val="en-US" w:eastAsia="zh-CN" w:bidi="ar"/>
              </w:rPr>
              <w:t>合格标准</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bCs/>
                <w:i w:val="0"/>
                <w:iCs w:val="0"/>
                <w:color w:val="000000"/>
                <w:kern w:val="2"/>
                <w:sz w:val="21"/>
                <w:szCs w:val="21"/>
                <w:highlight w:val="none"/>
                <w:u w:val="none"/>
                <w:lang w:val="en-US" w:eastAsia="zh-CN" w:bidi="ar-SA"/>
              </w:rPr>
            </w:pPr>
            <w:r>
              <w:rPr>
                <w:rFonts w:hint="eastAsia" w:ascii="宋体" w:hAnsi="宋体" w:eastAsia="宋体" w:cs="宋体"/>
                <w:b/>
                <w:bCs/>
                <w:i w:val="0"/>
                <w:iCs w:val="0"/>
                <w:color w:val="000000"/>
                <w:kern w:val="0"/>
                <w:sz w:val="21"/>
                <w:szCs w:val="21"/>
                <w:highlight w:val="none"/>
                <w:u w:val="none"/>
                <w:lang w:val="en-US" w:eastAsia="zh-CN" w:bidi="ar"/>
              </w:rPr>
              <w:t>让步接收标准</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bCs/>
                <w:i w:val="0"/>
                <w:iCs w:val="0"/>
                <w:color w:val="000000"/>
                <w:kern w:val="2"/>
                <w:sz w:val="21"/>
                <w:szCs w:val="21"/>
                <w:highlight w:val="none"/>
                <w:u w:val="none"/>
                <w:lang w:val="en-US" w:eastAsia="zh-CN" w:bidi="ar-SA"/>
              </w:rPr>
            </w:pPr>
            <w:r>
              <w:rPr>
                <w:rFonts w:hint="eastAsia" w:ascii="宋体" w:hAnsi="宋体" w:cs="宋体"/>
                <w:b/>
                <w:bCs/>
                <w:i w:val="0"/>
                <w:iCs w:val="0"/>
                <w:color w:val="000000"/>
                <w:kern w:val="0"/>
                <w:sz w:val="21"/>
                <w:szCs w:val="21"/>
                <w:highlight w:val="none"/>
                <w:u w:val="none"/>
                <w:lang w:val="en-US" w:eastAsia="zh-CN" w:bidi="ar"/>
              </w:rPr>
              <w:t>让步接收</w:t>
            </w:r>
            <w:r>
              <w:rPr>
                <w:rFonts w:hint="eastAsia" w:ascii="宋体" w:hAnsi="宋体" w:eastAsia="宋体" w:cs="宋体"/>
                <w:b/>
                <w:bCs/>
                <w:i w:val="0"/>
                <w:iCs w:val="0"/>
                <w:color w:val="000000"/>
                <w:kern w:val="0"/>
                <w:sz w:val="21"/>
                <w:szCs w:val="21"/>
                <w:highlight w:val="none"/>
                <w:u w:val="none"/>
                <w:lang w:val="en-US" w:eastAsia="zh-CN" w:bidi="ar"/>
              </w:rPr>
              <w:t>扣款标准</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bCs/>
                <w:i w:val="0"/>
                <w:iCs w:val="0"/>
                <w:color w:val="000000"/>
                <w:kern w:val="2"/>
                <w:sz w:val="21"/>
                <w:szCs w:val="21"/>
                <w:highlight w:val="none"/>
                <w:u w:val="none"/>
                <w:lang w:val="en-US" w:eastAsia="zh-CN" w:bidi="ar-SA"/>
              </w:rPr>
            </w:pPr>
            <w:r>
              <w:rPr>
                <w:rFonts w:hint="eastAsia" w:ascii="宋体" w:hAnsi="宋体" w:eastAsia="宋体" w:cs="宋体"/>
                <w:b/>
                <w:bCs/>
                <w:i w:val="0"/>
                <w:iCs w:val="0"/>
                <w:color w:val="000000"/>
                <w:kern w:val="0"/>
                <w:sz w:val="21"/>
                <w:szCs w:val="21"/>
                <w:highlight w:val="none"/>
                <w:u w:val="none"/>
                <w:lang w:val="en-US" w:eastAsia="zh-CN" w:bidi="ar"/>
              </w:rPr>
              <w:t>退货标准</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bCs/>
                <w:i w:val="0"/>
                <w:iCs w:val="0"/>
                <w:color w:val="000000"/>
                <w:kern w:val="2"/>
                <w:sz w:val="21"/>
                <w:szCs w:val="21"/>
                <w:highlight w:val="none"/>
                <w:u w:val="none"/>
                <w:lang w:val="en-US" w:eastAsia="zh-CN" w:bidi="ar-SA"/>
              </w:rPr>
            </w:pPr>
            <w:r>
              <w:rPr>
                <w:rFonts w:hint="eastAsia" w:ascii="宋体" w:hAnsi="宋体" w:eastAsia="宋体" w:cs="宋体"/>
                <w:b/>
                <w:bCs/>
                <w:i w:val="0"/>
                <w:iCs w:val="0"/>
                <w:color w:val="000000"/>
                <w:kern w:val="0"/>
                <w:sz w:val="21"/>
                <w:szCs w:val="21"/>
                <w:highlight w:val="none"/>
                <w:u w:val="none"/>
                <w:lang w:val="en-US" w:eastAsia="zh-CN" w:bidi="ar"/>
              </w:rPr>
              <w:t>达退货标准，但</w:t>
            </w:r>
            <w:r>
              <w:rPr>
                <w:rFonts w:hint="eastAsia" w:ascii="宋体" w:hAnsi="宋体" w:cs="宋体"/>
                <w:b/>
                <w:bCs/>
                <w:i w:val="0"/>
                <w:iCs w:val="0"/>
                <w:color w:val="000000"/>
                <w:kern w:val="0"/>
                <w:sz w:val="21"/>
                <w:szCs w:val="21"/>
                <w:highlight w:val="none"/>
                <w:u w:val="none"/>
                <w:lang w:val="en-US" w:eastAsia="zh-CN" w:bidi="ar"/>
              </w:rPr>
              <w:t>已卸货无法退货</w:t>
            </w:r>
            <w:r>
              <w:rPr>
                <w:rFonts w:hint="eastAsia" w:ascii="宋体" w:hAnsi="宋体" w:eastAsia="宋体" w:cs="宋体"/>
                <w:b/>
                <w:bCs/>
                <w:i w:val="0"/>
                <w:iCs w:val="0"/>
                <w:color w:val="000000"/>
                <w:kern w:val="0"/>
                <w:sz w:val="21"/>
                <w:szCs w:val="21"/>
                <w:highlight w:val="none"/>
                <w:u w:val="none"/>
                <w:lang w:val="en-US" w:eastAsia="zh-CN" w:bidi="ar"/>
              </w:rPr>
              <w:t>扣款标准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jc w:val="center"/>
        </w:trPr>
        <w:tc>
          <w:tcPr>
            <w:tcW w:w="75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w:t>
            </w:r>
          </w:p>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245"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suppressLineNumbers w:val="0"/>
              <w:shd w:val="clear" w:fill="FFFFFF" w:themeFill="background1"/>
              <w:tabs>
                <w:tab w:val="left" w:pos="455"/>
              </w:tabs>
              <w:kinsoku/>
              <w:wordWrap/>
              <w:overflowPunct/>
              <w:topLinePunct w:val="0"/>
              <w:autoSpaceDE/>
              <w:autoSpaceDN/>
              <w:bidi w:val="0"/>
              <w:adjustRightInd/>
              <w:snapToGrid/>
              <w:spacing w:line="380" w:lineRule="exact"/>
              <w:ind w:left="0" w:firstLine="210" w:firstLineChars="100"/>
              <w:jc w:val="left"/>
              <w:textAlignment w:val="center"/>
              <w:rPr>
                <w:rFonts w:hint="default"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t>硫含量</w:t>
            </w:r>
            <w:r>
              <w:rPr>
                <w:rFonts w:hint="eastAsia" w:ascii="宋体" w:hAnsi="宋体" w:eastAsia="宋体" w:cs="宋体"/>
                <w:b w:val="0"/>
                <w:bCs w:val="0"/>
                <w:i w:val="0"/>
                <w:iCs w:val="0"/>
                <w:color w:val="auto"/>
                <w:kern w:val="0"/>
                <w:sz w:val="21"/>
                <w:szCs w:val="21"/>
                <w:highlight w:val="none"/>
                <w:u w:val="none"/>
                <w:lang w:val="en-US" w:eastAsia="zh-CN" w:bidi="ar"/>
              </w:rPr>
              <w:t>（根据实际焦种硫含量确定指标范围，并在合同中约定）</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≤6.0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6.0＜x≤6.5</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x＞6.5</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jc w:val="center"/>
        </w:trPr>
        <w:tc>
          <w:tcPr>
            <w:tcW w:w="75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245" w:type="dxa"/>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2"/>
                <w:sz w:val="21"/>
                <w:szCs w:val="21"/>
                <w:highlight w:val="none"/>
                <w:u w:val="none"/>
                <w:lang w:val="en-US" w:eastAsia="zh-CN" w:bidi="ar-SA"/>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≤5.0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2"/>
                <w:sz w:val="21"/>
                <w:szCs w:val="21"/>
                <w:highlight w:val="none"/>
                <w:u w:val="none"/>
                <w:lang w:val="en-US" w:eastAsia="zh-CN" w:bidi="ar-SA"/>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5.0＜x≤5.5</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2"/>
                <w:sz w:val="21"/>
                <w:szCs w:val="21"/>
                <w:highlight w:val="none"/>
                <w:u w:val="none"/>
                <w:lang w:val="en-US" w:eastAsia="zh-CN" w:bidi="ar-SA"/>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2"/>
                <w:sz w:val="21"/>
                <w:szCs w:val="21"/>
                <w:highlight w:val="none"/>
                <w:u w:val="none"/>
                <w:lang w:val="en-US" w:eastAsia="zh-CN" w:bidi="ar-SA"/>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x＞5.5</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2"/>
                <w:sz w:val="21"/>
                <w:szCs w:val="21"/>
                <w:highlight w:val="none"/>
                <w:u w:val="none"/>
                <w:lang w:val="en-US" w:eastAsia="zh-CN" w:bidi="ar-SA"/>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jc w:val="center"/>
        </w:trPr>
        <w:tc>
          <w:tcPr>
            <w:tcW w:w="75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245" w:type="dxa"/>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≤4.0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4.0＜x≤4.5</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x＞4.5</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jc w:val="center"/>
        </w:trPr>
        <w:tc>
          <w:tcPr>
            <w:tcW w:w="75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245" w:type="dxa"/>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≤3.0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3.0＜x≤3.5</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x＞3.5</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jc w:val="center"/>
        </w:trPr>
        <w:tc>
          <w:tcPr>
            <w:tcW w:w="75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245" w:type="dxa"/>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2.0＜x≤2.5</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x＞2.5</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jc w:val="center"/>
        </w:trPr>
        <w:tc>
          <w:tcPr>
            <w:tcW w:w="750" w:type="dxa"/>
            <w:vMerge w:val="continue"/>
            <w:tcBorders>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245" w:type="dxa"/>
            <w:vMerge w:val="continue"/>
            <w:tcBorders>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yellow"/>
                <w:u w:val="none"/>
                <w:lang w:val="en-US" w:eastAsia="zh-CN" w:bidi="ar"/>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yellow"/>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yellow"/>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1.0＜x≤1.5</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x＞1.5</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t>2</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灰分%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≤0.5</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0.5＜x≤0.7</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每超0.1，每吨扣单价的2.5%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x＞0.7</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t>3</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挥发分%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≤10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10＜x≤12</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auto"/>
                <w:sz w:val="21"/>
                <w:szCs w:val="21"/>
                <w:highlight w:val="none"/>
                <w:u w:val="none"/>
                <w:lang w:val="en-US" w:eastAsia="zh-CN"/>
              </w:rPr>
            </w:pPr>
            <w:r>
              <w:rPr>
                <w:rFonts w:hint="eastAsia" w:ascii="宋体" w:hAnsi="宋体" w:eastAsia="宋体" w:cs="宋体"/>
                <w:b w:val="0"/>
                <w:bCs w:val="0"/>
                <w:i w:val="0"/>
                <w:iCs w:val="0"/>
                <w:color w:val="auto"/>
                <w:sz w:val="21"/>
                <w:szCs w:val="21"/>
                <w:highlight w:val="none"/>
                <w:u w:val="none"/>
                <w:lang w:val="en-US" w:eastAsia="zh-CN"/>
              </w:rPr>
              <w:t>每超1，每吨扣单价的1%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x＞12</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auto"/>
                <w:sz w:val="21"/>
                <w:szCs w:val="21"/>
                <w:highlight w:val="none"/>
                <w:u w:val="none"/>
                <w:lang w:val="en-US"/>
              </w:rPr>
            </w:pPr>
            <w:r>
              <w:rPr>
                <w:rFonts w:hint="eastAsia" w:ascii="宋体" w:hAnsi="宋体" w:eastAsia="宋体" w:cs="宋体"/>
                <w:b w:val="0"/>
                <w:bCs w:val="0"/>
                <w:i w:val="0"/>
                <w:iCs w:val="0"/>
                <w:color w:val="auto"/>
                <w:sz w:val="21"/>
                <w:szCs w:val="21"/>
                <w:highlight w:val="none"/>
                <w:u w:val="none"/>
                <w:lang w:val="en-US" w:eastAsia="zh-CN"/>
              </w:rPr>
              <w:t>每超1，每吨扣单价的3%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8"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t>4</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sz w:val="21"/>
                <w:szCs w:val="21"/>
                <w:highlight w:val="none"/>
                <w:u w:val="none"/>
                <w:lang w:val="en-US"/>
              </w:rPr>
            </w:pPr>
            <w:r>
              <w:rPr>
                <w:rFonts w:hint="eastAsia" w:ascii="宋体" w:hAnsi="宋体" w:eastAsia="宋体" w:cs="宋体"/>
                <w:b w:val="0"/>
                <w:bCs w:val="0"/>
                <w:i w:val="0"/>
                <w:iCs w:val="0"/>
                <w:color w:val="auto"/>
                <w:kern w:val="0"/>
                <w:sz w:val="21"/>
                <w:szCs w:val="21"/>
                <w:highlight w:val="none"/>
                <w:u w:val="none"/>
                <w:lang w:val="en-US" w:eastAsia="zh-CN" w:bidi="ar"/>
              </w:rPr>
              <w:t>粉焦量（&lt;8mm）%</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≤55</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55＜x≤60</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每超1，每吨扣单价的0.25%</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x＞60</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每超1，每吨扣单价的1%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t>5</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水分%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≤8.0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8.0＜x≤10.0</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每超1，每吨扣单价的1%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x＞10.0</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sz w:val="21"/>
                <w:szCs w:val="21"/>
                <w:highlight w:val="cyan"/>
                <w:u w:val="none"/>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每超1，每吨扣单价的3%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0" w:hRule="atLeast"/>
          <w:jc w:val="center"/>
        </w:trPr>
        <w:tc>
          <w:tcPr>
            <w:tcW w:w="75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t>6</w:t>
            </w:r>
          </w:p>
        </w:tc>
        <w:tc>
          <w:tcPr>
            <w:tcW w:w="1245"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钒含量%（根据实际焦种钒含量确定指标范围，并在合同中约定）</w:t>
            </w:r>
          </w:p>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≤600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600＜x≤700</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每超1ppm，每吨扣单价的0.25%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x＞700</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0" w:hRule="atLeast"/>
          <w:jc w:val="center"/>
        </w:trPr>
        <w:tc>
          <w:tcPr>
            <w:tcW w:w="75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p>
        </w:tc>
        <w:tc>
          <w:tcPr>
            <w:tcW w:w="1245"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≤500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500＜x≤600</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每超1ppm，每吨扣单价的0.25%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x＞600</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0" w:hRule="atLeast"/>
          <w:jc w:val="center"/>
        </w:trPr>
        <w:tc>
          <w:tcPr>
            <w:tcW w:w="750" w:type="dxa"/>
            <w:vMerge w:val="continue"/>
            <w:tcBorders>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p>
        </w:tc>
        <w:tc>
          <w:tcPr>
            <w:tcW w:w="1245" w:type="dxa"/>
            <w:vMerge w:val="continue"/>
            <w:tcBorders>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≤400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400＜x≤450</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每超1ppm，每吨扣单价的0.25%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x＞450</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0" w:hRule="atLeast"/>
          <w:jc w:val="center"/>
        </w:trPr>
        <w:tc>
          <w:tcPr>
            <w:tcW w:w="7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p>
        </w:tc>
        <w:tc>
          <w:tcPr>
            <w:tcW w:w="124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≤300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300＜x≤350</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每超1ppm，每吨扣单价的0.25%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x＞350</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0" w:hRule="atLeast"/>
          <w:jc w:val="center"/>
        </w:trPr>
        <w:tc>
          <w:tcPr>
            <w:tcW w:w="7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p>
        </w:tc>
        <w:tc>
          <w:tcPr>
            <w:tcW w:w="124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≤200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magenta"/>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200＜x≤250</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magenta"/>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每超1ppm，每吨扣单价的0.25%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magenta"/>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x＞250</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magenta"/>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4" w:hRule="atLeast"/>
          <w:jc w:val="center"/>
        </w:trPr>
        <w:tc>
          <w:tcPr>
            <w:tcW w:w="7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p>
        </w:tc>
        <w:tc>
          <w:tcPr>
            <w:tcW w:w="124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≤100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magenta"/>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100＜x≤150</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magenta"/>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每超1ppm，每吨扣单价的0.25%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magenta"/>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x＞150</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magenta"/>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5" w:hRule="atLeast"/>
          <w:jc w:val="center"/>
        </w:trPr>
        <w:tc>
          <w:tcPr>
            <w:tcW w:w="75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7</w:t>
            </w:r>
          </w:p>
        </w:tc>
        <w:tc>
          <w:tcPr>
            <w:tcW w:w="1245"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铁含量（ppm）</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≤400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2"/>
                <w:sz w:val="21"/>
                <w:szCs w:val="21"/>
                <w:highlight w:val="none"/>
                <w:u w:val="none"/>
                <w:lang w:val="en-US" w:eastAsia="zh-CN" w:bidi="ar-SA"/>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400＜x≤450</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2"/>
                <w:sz w:val="21"/>
                <w:szCs w:val="21"/>
                <w:highlight w:val="none"/>
                <w:u w:val="none"/>
                <w:lang w:val="en-US" w:eastAsia="zh-CN" w:bidi="ar-SA"/>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每超1ppm，每吨扣单价的0.25%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2"/>
                <w:sz w:val="21"/>
                <w:szCs w:val="21"/>
                <w:highlight w:val="none"/>
                <w:u w:val="none"/>
                <w:lang w:val="en-US" w:eastAsia="zh-CN" w:bidi="ar-SA"/>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x＞450</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2"/>
                <w:sz w:val="21"/>
                <w:szCs w:val="21"/>
                <w:highlight w:val="none"/>
                <w:u w:val="none"/>
                <w:lang w:val="en-US" w:eastAsia="zh-CN" w:bidi="ar-SA"/>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 1ppm，每吨扣单价的0.4%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5"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8</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硅含量（ppm）</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≤300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300＜x≤350</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每超1ppm，每吨扣单价的0.25%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x＞350</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 1ppm，每吨扣单价的0.4%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5"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9</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钠含量（ppm）</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≤300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300＜x≤350</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每超1ppm，每吨扣单价的0.25%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x＞350</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 1ppm，每吨扣单价的0.4%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10</w:t>
            </w:r>
          </w:p>
        </w:tc>
        <w:tc>
          <w:tcPr>
            <w:tcW w:w="904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石油焦含有杂质、弹丸焦的，作退货处理，因退货对需方造成影响的，由供方承担相关责任，赔偿所造成的损失。</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ab/>
            </w:r>
            <w:r>
              <w:rPr>
                <w:rFonts w:hint="eastAsia" w:ascii="宋体" w:hAnsi="宋体" w:eastAsia="宋体" w:cs="宋体"/>
                <w:b w:val="0"/>
                <w:bCs w:val="0"/>
                <w:color w:val="000000" w:themeColor="text1"/>
                <w:kern w:val="10"/>
                <w:sz w:val="21"/>
                <w:szCs w:val="21"/>
                <w:highlight w:val="none"/>
                <w:lang w:val="en-US" w:eastAsia="zh-CN" w:bidi="ar-SA"/>
                <w14:textFill>
                  <w14:solidFill>
                    <w14:schemeClr w14:val="tx1"/>
                  </w14:solidFill>
                </w14:textFill>
              </w:rPr>
              <w:tab/>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979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hanging="630" w:hangingChars="300"/>
              <w:jc w:val="left"/>
              <w:textAlignment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注：1.</w:t>
            </w:r>
            <w:r>
              <w:rPr>
                <w:rFonts w:ascii="宋体" w:hAnsi="宋体" w:eastAsia="宋体" w:cs="宋体"/>
                <w:sz w:val="21"/>
                <w:szCs w:val="21"/>
                <w:highlight w:val="none"/>
              </w:rPr>
              <w:t>扣</w:t>
            </w:r>
            <w:r>
              <w:rPr>
                <w:rFonts w:hint="eastAsia" w:ascii="宋体" w:hAnsi="宋体" w:eastAsia="宋体" w:cs="宋体"/>
                <w:sz w:val="21"/>
                <w:szCs w:val="21"/>
                <w:highlight w:val="none"/>
                <w:lang w:val="en-US" w:eastAsia="zh-CN"/>
              </w:rPr>
              <w:t>款</w:t>
            </w:r>
            <w:r>
              <w:rPr>
                <w:rFonts w:ascii="宋体" w:hAnsi="宋体" w:eastAsia="宋体" w:cs="宋体"/>
                <w:sz w:val="21"/>
                <w:szCs w:val="21"/>
                <w:highlight w:val="none"/>
              </w:rPr>
              <w:t>只扣完该组批总</w:t>
            </w:r>
            <w:r>
              <w:rPr>
                <w:rFonts w:hint="eastAsia" w:ascii="宋体" w:hAnsi="宋体" w:eastAsia="宋体" w:cs="宋体"/>
                <w:sz w:val="21"/>
                <w:szCs w:val="21"/>
                <w:highlight w:val="none"/>
                <w:lang w:eastAsia="zh-CN"/>
              </w:rPr>
              <w:t>金额</w:t>
            </w:r>
            <w:r>
              <w:rPr>
                <w:rFonts w:ascii="宋体" w:hAnsi="宋体" w:eastAsia="宋体" w:cs="宋体"/>
                <w:sz w:val="21"/>
                <w:szCs w:val="21"/>
                <w:highlight w:val="none"/>
              </w:rPr>
              <w:t>为止，不延伸到扣减其它组批</w:t>
            </w:r>
            <w:r>
              <w:rPr>
                <w:rFonts w:hint="eastAsia" w:ascii="宋体" w:hAnsi="宋体" w:eastAsia="宋体" w:cs="宋体"/>
                <w:sz w:val="21"/>
                <w:szCs w:val="21"/>
                <w:highlight w:val="none"/>
                <w:lang w:eastAsia="zh-CN"/>
              </w:rPr>
              <w:t>金额</w:t>
            </w:r>
            <w:r>
              <w:rPr>
                <w:rFonts w:ascii="宋体" w:hAnsi="宋体" w:eastAsia="宋体" w:cs="宋体"/>
                <w:sz w:val="21"/>
                <w:szCs w:val="21"/>
                <w:highlight w:val="none"/>
              </w:rPr>
              <w:t>（即扣</w:t>
            </w:r>
            <w:r>
              <w:rPr>
                <w:rFonts w:hint="eastAsia" w:ascii="宋体" w:hAnsi="宋体" w:eastAsia="宋体" w:cs="宋体"/>
                <w:sz w:val="21"/>
                <w:szCs w:val="21"/>
                <w:highlight w:val="none"/>
                <w:lang w:eastAsia="zh-CN"/>
              </w:rPr>
              <w:t>款</w:t>
            </w:r>
            <w:r>
              <w:rPr>
                <w:rFonts w:ascii="宋体" w:hAnsi="宋体" w:eastAsia="宋体" w:cs="宋体"/>
                <w:sz w:val="21"/>
                <w:szCs w:val="21"/>
                <w:highlight w:val="none"/>
              </w:rPr>
              <w:t>不扣减到负数），但若为供方恶意掺杂使假的，通过专题会议评审后，按合同约定进行违约处</w:t>
            </w:r>
            <w:r>
              <w:rPr>
                <w:rFonts w:hint="eastAsia" w:ascii="宋体" w:hAnsi="宋体" w:eastAsia="宋体" w:cs="宋体"/>
                <w:sz w:val="21"/>
                <w:szCs w:val="21"/>
                <w:highlight w:val="none"/>
                <w:lang w:val="en-US" w:eastAsia="zh-CN"/>
              </w:rPr>
              <w:t>罚</w:t>
            </w:r>
            <w:r>
              <w:rPr>
                <w:rFonts w:ascii="宋体" w:hAnsi="宋体" w:eastAsia="宋体" w:cs="宋体"/>
                <w:sz w:val="21"/>
                <w:szCs w:val="21"/>
                <w:highlight w:val="none"/>
              </w:rPr>
              <w:t>。</w:t>
            </w:r>
          </w:p>
          <w:p>
            <w:pPr>
              <w:keepNext w:val="0"/>
              <w:keepLines w:val="0"/>
              <w:pageBreakBefore w:val="0"/>
              <w:widowControl/>
              <w:suppressLineNumbers w:val="0"/>
              <w:shd w:val="clear" w:fill="FFFFFF" w:themeFill="background1"/>
              <w:kinsoku/>
              <w:wordWrap/>
              <w:overflowPunct/>
              <w:topLinePunct w:val="0"/>
              <w:autoSpaceDE/>
              <w:autoSpaceDN/>
              <w:bidi w:val="0"/>
              <w:adjustRightInd/>
              <w:snapToGrid/>
              <w:spacing w:line="380" w:lineRule="exact"/>
              <w:ind w:left="0" w:hanging="630" w:hangingChars="300"/>
              <w:jc w:val="left"/>
              <w:textAlignment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 xml:space="preserve">    2.扣款不分段计算。</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zZDcxMzc4ZDYzOTczMzYzNTY5NTcwOGM2ZDhlOGEifQ=="/>
  </w:docVars>
  <w:rsids>
    <w:rsidRoot w:val="279D701A"/>
    <w:rsid w:val="279D701A"/>
    <w:rsid w:val="55BB43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link w:val="10"/>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Default"/>
    <w:basedOn w:val="3"/>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3">
    <w:name w:val="纯文本1"/>
    <w:basedOn w:val="1"/>
    <w:qFormat/>
    <w:uiPriority w:val="0"/>
    <w:pPr>
      <w:textAlignment w:val="baseline"/>
    </w:pPr>
    <w:rPr>
      <w:rFonts w:hAnsi="Courier New" w:cs="Times New Roman"/>
    </w:rPr>
  </w:style>
  <w:style w:type="paragraph" w:styleId="5">
    <w:name w:val="annotation text"/>
    <w:basedOn w:val="1"/>
    <w:qFormat/>
    <w:uiPriority w:val="0"/>
    <w:pPr>
      <w:jc w:val="left"/>
    </w:pPr>
  </w:style>
  <w:style w:type="paragraph" w:styleId="6">
    <w:name w:val="Body Text"/>
    <w:basedOn w:val="1"/>
    <w:qFormat/>
    <w:uiPriority w:val="1"/>
    <w:rPr>
      <w:rFonts w:ascii="宋体" w:hAnsi="宋体" w:eastAsia="宋体" w:cs="宋体"/>
      <w:sz w:val="19"/>
      <w:szCs w:val="19"/>
    </w:rPr>
  </w:style>
  <w:style w:type="paragraph" w:customStyle="1" w:styleId="9">
    <w:name w:val="正文1"/>
    <w:basedOn w:val="1"/>
    <w:qFormat/>
    <w:uiPriority w:val="0"/>
    <w:pPr>
      <w:adjustRightInd w:val="0"/>
      <w:spacing w:line="360" w:lineRule="atLeast"/>
      <w:jc w:val="left"/>
    </w:pPr>
    <w:rPr>
      <w:rFonts w:ascii="宋体"/>
      <w:kern w:val="0"/>
      <w:sz w:val="24"/>
    </w:rPr>
  </w:style>
  <w:style w:type="character" w:customStyle="1" w:styleId="10">
    <w:name w:val="标题 1 Char"/>
    <w:link w:val="4"/>
    <w:qFormat/>
    <w:uiPriority w:val="0"/>
    <w:rPr>
      <w:b/>
      <w:kern w:val="44"/>
      <w:sz w:val="44"/>
    </w:rPr>
  </w:style>
  <w:style w:type="paragraph" w:styleId="11">
    <w:name w:val="List Paragraph"/>
    <w:basedOn w:val="1"/>
    <w:qFormat/>
    <w:uiPriority w:val="1"/>
    <w:pPr>
      <w:ind w:left="1068" w:hanging="408"/>
    </w:pPr>
    <w:rPr>
      <w:rFonts w:ascii="宋体" w:hAnsi="宋体" w:eastAsia="宋体" w:cs="宋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2024-07-19T08:16:00Z</dcterms:created>
  <dc:creator>邓琪翔</dc:creator>
  <cp:lastModifiedBy>邓琪翔</cp:lastModifiedBy>
  <dcterms:modified xsi:type="dcterms:W3CDTF">2025-01-16T04:11:34Z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DC71364AE7714B7191DA02A6FEA7ED2F_11</vt:lpwstr>
  </property>
  <property fmtid="{D5CDD505-2E9C-101B-9397-08002B2CF9AE}" pid="4" name="EagleCloud">
    <vt:lpwstr>{"watermark_type":"track","current_time":"2024-11-01 14:47","employee_id":"emp_95843305-9c6d-47e4-854c-e07e3b8f3dba","agent_id":"bab15266ad1e75479e76c26960f321749902295f4fca82d01203bd959060dcde","process":"","custom_content":"科技租户","total_content":"2024-11-01 14:47-emp_95843305-9c6d-47e4-854c-e07e3b8f3dba-bab15266ad1e75479e76c26960f321749902295f4fca82d01203bd959060dcde-{{process}}-科技租户"}</vt:lpwstr>
  </property>
</Properties>
</file>