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宋体" w:hAnsi="宋体" w:eastAsia="宋体" w:cs="宋体"/>
          <w:b/>
          <w:bCs/>
          <w:sz w:val="44"/>
          <w:szCs w:val="44"/>
          <w:lang w:val="en-US" w:eastAsia="zh-CN"/>
        </w:rPr>
      </w:pPr>
      <w:bookmarkStart w:id="8" w:name="_GoBack"/>
      <w:r>
        <w:rPr>
          <w:rFonts w:hint="eastAsia" w:ascii="宋体" w:hAnsi="宋体" w:eastAsia="宋体" w:cs="宋体"/>
          <w:b/>
          <w:bCs/>
          <w:sz w:val="44"/>
          <w:szCs w:val="44"/>
          <w:lang w:val="en-US" w:eastAsia="zh-CN"/>
        </w:rPr>
        <w:t>石油焦质量协议</w:t>
      </w:r>
    </w:p>
    <w:bookmarkEnd w:id="8"/>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jc w:val="both"/>
        <w:textAlignment w:val="auto"/>
        <w:outlineLvl w:val="0"/>
        <w:rPr>
          <w:rStyle w:val="10"/>
          <w:rFonts w:hint="eastAsia" w:ascii="黑体" w:hAnsi="黑体" w:eastAsia="黑体" w:cs="黑体"/>
          <w:b w:val="0"/>
          <w:bCs/>
          <w:sz w:val="24"/>
          <w:szCs w:val="24"/>
          <w:lang w:val="en-US" w:eastAsia="zh-CN"/>
        </w:rPr>
      </w:pPr>
      <w:bookmarkStart w:id="0" w:name="_Toc14880"/>
      <w:r>
        <w:rPr>
          <w:rStyle w:val="10"/>
          <w:rFonts w:hint="eastAsia" w:ascii="黑体" w:hAnsi="黑体" w:eastAsia="黑体" w:cs="黑体"/>
          <w:b w:val="0"/>
          <w:bCs/>
          <w:sz w:val="24"/>
          <w:szCs w:val="24"/>
          <w:lang w:val="en-US" w:eastAsia="zh-CN"/>
        </w:rPr>
        <w:t>1石油焦（生焦）</w:t>
      </w:r>
      <w:bookmarkEnd w:id="0"/>
    </w:p>
    <w:p>
      <w:pPr>
        <w:keepNext w:val="0"/>
        <w:keepLines w:val="0"/>
        <w:pageBreakBefore w:val="0"/>
        <w:widowControl w:val="0"/>
        <w:kinsoku/>
        <w:wordWrap/>
        <w:overflowPunct/>
        <w:topLinePunct w:val="0"/>
        <w:autoSpaceDE/>
        <w:autoSpaceDN/>
        <w:bidi w:val="0"/>
        <w:adjustRightInd/>
        <w:snapToGrid/>
        <w:spacing w:line="440" w:lineRule="exact"/>
        <w:ind w:left="0" w:leftChars="0"/>
        <w:textAlignment w:val="auto"/>
        <w:outlineLvl w:val="1"/>
        <w:rPr>
          <w:rFonts w:hint="eastAsia" w:ascii="宋体" w:hAnsi="宋体" w:eastAsia="宋体" w:cs="宋体"/>
          <w:b/>
          <w:bCs w:val="0"/>
          <w:kern w:val="10"/>
          <w:sz w:val="24"/>
          <w:lang w:val="en-US" w:eastAsia="zh-CN"/>
        </w:rPr>
      </w:pPr>
      <w:bookmarkStart w:id="1" w:name="_Toc20273"/>
      <w:r>
        <w:rPr>
          <w:rFonts w:hint="eastAsia" w:ascii="宋体" w:hAnsi="宋体" w:eastAsia="宋体" w:cs="宋体"/>
          <w:b/>
          <w:bCs w:val="0"/>
          <w:kern w:val="10"/>
          <w:sz w:val="24"/>
          <w:lang w:val="en-US" w:eastAsia="zh-CN"/>
        </w:rPr>
        <w:t>1.1范围</w:t>
      </w:r>
      <w:bookmarkEnd w:id="1"/>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本标准依据NB/SH/T 0527-2019石油焦（生焦）标准，结合田田碳素实际生产运行情况编制，规定了石油焦理化性能、检验频次及取样方法等要求。</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适用于田田碳素石油焦（生焦）的质量检验及质量验证。</w:t>
      </w:r>
    </w:p>
    <w:p>
      <w:pPr>
        <w:keepNext w:val="0"/>
        <w:keepLines w:val="0"/>
        <w:pageBreakBefore w:val="0"/>
        <w:widowControl w:val="0"/>
        <w:kinsoku/>
        <w:wordWrap/>
        <w:overflowPunct/>
        <w:topLinePunct w:val="0"/>
        <w:autoSpaceDE/>
        <w:autoSpaceDN/>
        <w:bidi w:val="0"/>
        <w:adjustRightInd/>
        <w:snapToGrid/>
        <w:spacing w:line="440" w:lineRule="exact"/>
        <w:ind w:left="0" w:leftChars="0"/>
        <w:textAlignment w:val="auto"/>
        <w:outlineLvl w:val="1"/>
        <w:rPr>
          <w:rFonts w:hint="eastAsia" w:ascii="宋体" w:hAnsi="宋体" w:eastAsia="宋体" w:cs="宋体"/>
          <w:b/>
          <w:bCs w:val="0"/>
          <w:kern w:val="10"/>
          <w:sz w:val="24"/>
          <w:lang w:val="en-US" w:eastAsia="zh-CN"/>
        </w:rPr>
      </w:pPr>
      <w:bookmarkStart w:id="2" w:name="_Toc12099"/>
      <w:r>
        <w:rPr>
          <w:rFonts w:hint="eastAsia" w:ascii="宋体" w:hAnsi="宋体" w:eastAsia="宋体" w:cs="宋体"/>
          <w:b/>
          <w:bCs w:val="0"/>
          <w:kern w:val="10"/>
          <w:sz w:val="24"/>
          <w:lang w:val="en-US" w:eastAsia="zh-CN"/>
        </w:rPr>
        <w:t>1.2规范性引用文件</w:t>
      </w:r>
      <w:bookmarkEnd w:id="2"/>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下列文件中，除正在执行的合同中有明确规定外，其最新版本（包括所有的修改单）适用于本标准。该部分标准的引用，包括（但不限于）取样方法、检测方法、重复性、再现性、数值修约等规定要求。</w:t>
      </w:r>
    </w:p>
    <w:p>
      <w:pPr>
        <w:pStyle w:val="2"/>
        <w:keepNext w:val="0"/>
        <w:keepLines w:val="0"/>
        <w:pageBreakBefore w:val="0"/>
        <w:widowControl w:val="0"/>
        <w:kinsoku/>
        <w:wordWrap/>
        <w:overflowPunct/>
        <w:topLinePunct w:val="0"/>
        <w:bidi w:val="0"/>
        <w:snapToGrid/>
        <w:spacing w:line="440" w:lineRule="exact"/>
        <w:ind w:left="0" w:leftChars="0" w:firstLine="480" w:firstLineChars="200"/>
        <w:textAlignment w:val="auto"/>
        <w:rPr>
          <w:rFonts w:hint="eastAsia" w:ascii="宋体" w:hAnsi="宋体" w:eastAsia="宋体" w:cs="Times New Roman"/>
          <w:color w:val="auto"/>
          <w:kern w:val="10"/>
          <w:sz w:val="24"/>
          <w:szCs w:val="24"/>
          <w:highlight w:val="none"/>
          <w:lang w:val="en-US" w:eastAsia="zh-CN"/>
        </w:rPr>
      </w:pPr>
      <w:r>
        <w:rPr>
          <w:rFonts w:hint="eastAsia" w:ascii="宋体" w:hAnsi="宋体" w:eastAsia="宋体" w:cs="Times New Roman"/>
          <w:color w:val="auto"/>
          <w:kern w:val="10"/>
          <w:sz w:val="24"/>
          <w:szCs w:val="24"/>
          <w:highlight w:val="none"/>
          <w:lang w:val="en-US" w:eastAsia="zh-CN"/>
        </w:rPr>
        <w:t>GB/T 8170</w:t>
      </w:r>
      <w:r>
        <w:rPr>
          <w:rFonts w:hint="eastAsia" w:ascii="宋体" w:hAnsi="宋体" w:cs="Times New Roman"/>
          <w:color w:val="auto"/>
          <w:kern w:val="10"/>
          <w:sz w:val="24"/>
          <w:szCs w:val="24"/>
          <w:highlight w:val="none"/>
          <w:lang w:val="en-US" w:eastAsia="zh-CN"/>
        </w:rPr>
        <w:t xml:space="preserve"> </w:t>
      </w:r>
      <w:r>
        <w:rPr>
          <w:rFonts w:hint="eastAsia" w:ascii="宋体" w:hAnsi="宋体" w:eastAsia="宋体" w:cs="Times New Roman"/>
          <w:color w:val="auto"/>
          <w:kern w:val="10"/>
          <w:sz w:val="24"/>
          <w:szCs w:val="24"/>
          <w:highlight w:val="none"/>
          <w:lang w:val="en-US" w:eastAsia="zh-CN"/>
        </w:rPr>
        <w:t>数值修约规则与极限数值的表示和判定</w:t>
      </w:r>
    </w:p>
    <w:p>
      <w:pPr>
        <w:pStyle w:val="2"/>
        <w:keepNext w:val="0"/>
        <w:keepLines w:val="0"/>
        <w:pageBreakBefore w:val="0"/>
        <w:widowControl w:val="0"/>
        <w:kinsoku/>
        <w:wordWrap/>
        <w:overflowPunct/>
        <w:topLinePunct w:val="0"/>
        <w:bidi w:val="0"/>
        <w:snapToGrid/>
        <w:spacing w:line="440" w:lineRule="exact"/>
        <w:ind w:left="0" w:leftChars="0" w:firstLine="480" w:firstLineChars="200"/>
        <w:rPr>
          <w:rFonts w:hint="eastAsia" w:ascii="宋体" w:hAnsi="宋体" w:eastAsia="宋体" w:cs="Times New Roman"/>
          <w:color w:val="auto"/>
          <w:kern w:val="10"/>
          <w:sz w:val="24"/>
          <w:szCs w:val="24"/>
          <w:highlight w:val="none"/>
          <w:lang w:val="en-US" w:eastAsia="zh-CN"/>
        </w:rPr>
      </w:pPr>
      <w:r>
        <w:rPr>
          <w:rFonts w:hint="eastAsia" w:ascii="宋体" w:hAnsi="宋体" w:eastAsia="宋体" w:cs="Times New Roman"/>
          <w:kern w:val="10"/>
          <w:sz w:val="24"/>
          <w:lang w:val="en-US" w:eastAsia="zh-CN"/>
        </w:rPr>
        <w:t>NB/SH/T 0527</w:t>
      </w:r>
      <w:r>
        <w:rPr>
          <w:rFonts w:hint="eastAsia" w:ascii="宋体" w:hAnsi="宋体" w:cs="Times New Roman"/>
          <w:kern w:val="10"/>
          <w:sz w:val="24"/>
          <w:lang w:val="en-US" w:eastAsia="zh-CN"/>
        </w:rPr>
        <w:t>-</w:t>
      </w:r>
      <w:r>
        <w:rPr>
          <w:rFonts w:hint="eastAsia" w:ascii="宋体" w:hAnsi="宋体" w:eastAsia="宋体" w:cs="Times New Roman"/>
          <w:kern w:val="10"/>
          <w:sz w:val="24"/>
          <w:lang w:val="en-US" w:eastAsia="zh-CN"/>
        </w:rPr>
        <w:t>2019石油焦（生焦）</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YS/T 63.16铝用炭素材料检测方法 第16部份 微量元素的测定X射线荧光光谱分析方法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SH/T 0026石油焦挥发分测定法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SH/T 0029石油焦灰分测定法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SH/T 0032石油焦总水分测定法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SH/T 0313石油焦检验法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Times New Roman"/>
          <w:kern w:val="10"/>
          <w:sz w:val="24"/>
          <w:highlight w:val="none"/>
          <w:lang w:val="en-US" w:eastAsia="zh-CN"/>
        </w:rPr>
      </w:pPr>
      <w:r>
        <w:rPr>
          <w:rFonts w:hint="default" w:ascii="宋体" w:hAnsi="宋体" w:eastAsia="宋体" w:cs="Times New Roman"/>
          <w:kern w:val="10"/>
          <w:sz w:val="24"/>
          <w:highlight w:val="none"/>
          <w:lang w:val="en-US" w:eastAsia="zh-CN"/>
        </w:rPr>
        <w:t>GB/T</w:t>
      </w:r>
      <w:r>
        <w:rPr>
          <w:rFonts w:hint="eastAsia" w:ascii="宋体" w:hAnsi="宋体" w:eastAsia="宋体" w:cs="Times New Roman"/>
          <w:kern w:val="10"/>
          <w:sz w:val="24"/>
          <w:highlight w:val="none"/>
          <w:lang w:val="en-US" w:eastAsia="zh-CN"/>
        </w:rPr>
        <w:t xml:space="preserve"> </w:t>
      </w:r>
      <w:r>
        <w:rPr>
          <w:rFonts w:hint="default" w:ascii="宋体" w:hAnsi="宋体" w:eastAsia="宋体" w:cs="Times New Roman"/>
          <w:kern w:val="10"/>
          <w:sz w:val="24"/>
          <w:highlight w:val="none"/>
          <w:lang w:val="en-US" w:eastAsia="zh-CN"/>
        </w:rPr>
        <w:t>211煤中全水分的测定方法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Times New Roman"/>
          <w:kern w:val="10"/>
          <w:sz w:val="24"/>
          <w:highlight w:val="none"/>
          <w:lang w:val="en-US" w:eastAsia="zh-CN"/>
        </w:rPr>
      </w:pPr>
      <w:r>
        <w:rPr>
          <w:rFonts w:hint="default" w:ascii="宋体" w:hAnsi="宋体" w:eastAsia="宋体" w:cs="Times New Roman"/>
          <w:kern w:val="10"/>
          <w:sz w:val="24"/>
          <w:highlight w:val="none"/>
          <w:lang w:val="en-US" w:eastAsia="zh-CN"/>
        </w:rPr>
        <w:t>GB/T 214-2007煤中全硫的测定方法</w:t>
      </w:r>
    </w:p>
    <w:p>
      <w:pPr>
        <w:keepNext w:val="0"/>
        <w:keepLines w:val="0"/>
        <w:pageBreakBefore w:val="0"/>
        <w:widowControl w:val="0"/>
        <w:kinsoku/>
        <w:wordWrap/>
        <w:overflowPunct/>
        <w:topLinePunct w:val="0"/>
        <w:autoSpaceDE/>
        <w:autoSpaceDN/>
        <w:bidi w:val="0"/>
        <w:adjustRightInd/>
        <w:snapToGrid/>
        <w:spacing w:line="440" w:lineRule="exact"/>
        <w:ind w:left="0" w:leftChars="0"/>
        <w:textAlignment w:val="auto"/>
        <w:outlineLvl w:val="1"/>
        <w:rPr>
          <w:rFonts w:hint="eastAsia" w:ascii="黑体" w:hAnsi="黑体" w:eastAsia="黑体" w:cs="黑体"/>
          <w:b w:val="0"/>
          <w:bCs/>
          <w:kern w:val="10"/>
          <w:sz w:val="24"/>
          <w:lang w:val="en-US" w:eastAsia="zh-CN"/>
        </w:rPr>
      </w:pPr>
      <w:bookmarkStart w:id="3" w:name="_Toc16748"/>
      <w:r>
        <w:rPr>
          <w:rFonts w:hint="eastAsia" w:ascii="宋体" w:hAnsi="宋体" w:eastAsia="宋体" w:cs="宋体"/>
          <w:b/>
          <w:bCs w:val="0"/>
          <w:kern w:val="10"/>
          <w:sz w:val="24"/>
          <w:lang w:val="en-US" w:eastAsia="zh-CN"/>
        </w:rPr>
        <w:t>1.3技术要求和试验方法</w:t>
      </w:r>
      <w:bookmarkEnd w:id="3"/>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黑体" w:hAnsi="黑体" w:eastAsia="黑体" w:cs="黑体"/>
          <w:b w:val="0"/>
          <w:bCs w:val="0"/>
          <w:color w:val="auto"/>
          <w:kern w:val="10"/>
          <w:sz w:val="24"/>
          <w:szCs w:val="22"/>
          <w:lang w:val="en-US" w:eastAsia="zh-CN" w:bidi="ar-SA"/>
        </w:rPr>
      </w:pPr>
      <w:r>
        <w:rPr>
          <w:rFonts w:hint="eastAsia" w:ascii="宋体" w:hAnsi="宋体" w:eastAsia="宋体" w:cs="Times New Roman"/>
          <w:kern w:val="10"/>
          <w:sz w:val="24"/>
          <w:lang w:val="en-US" w:eastAsia="zh-CN"/>
        </w:rPr>
        <w:t>石油焦（生焦）的技术要求和试验方法应符合表1规定。</w:t>
      </w:r>
    </w:p>
    <w:p>
      <w:pPr>
        <w:pStyle w:val="6"/>
        <w:keepNext w:val="0"/>
        <w:keepLines w:val="0"/>
        <w:pageBreakBefore w:val="0"/>
        <w:widowControl w:val="0"/>
        <w:tabs>
          <w:tab w:val="left" w:pos="3330"/>
        </w:tabs>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b w:val="0"/>
          <w:bCs w:val="0"/>
          <w:color w:val="auto"/>
          <w:kern w:val="10"/>
          <w:sz w:val="24"/>
          <w:szCs w:val="22"/>
          <w:lang w:val="en-US" w:eastAsia="zh-CN" w:bidi="ar-SA"/>
        </w:rPr>
      </w:pPr>
      <w:r>
        <w:rPr>
          <w:rFonts w:hint="eastAsia" w:ascii="宋体" w:hAnsi="宋体" w:eastAsia="宋体" w:cs="宋体"/>
          <w:b w:val="0"/>
          <w:bCs w:val="0"/>
          <w:color w:val="auto"/>
          <w:kern w:val="10"/>
          <w:sz w:val="24"/>
          <w:szCs w:val="22"/>
          <w:lang w:val="en-US" w:eastAsia="zh-CN" w:bidi="ar-SA"/>
        </w:rPr>
        <w:t>表1：石油焦（生焦）技术要求和试验方法</w:t>
      </w:r>
    </w:p>
    <w:tbl>
      <w:tblPr>
        <w:tblStyle w:val="7"/>
        <w:tblW w:w="935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331"/>
        <w:gridCol w:w="1305"/>
        <w:gridCol w:w="1605"/>
        <w:gridCol w:w="1645"/>
        <w:gridCol w:w="246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4" w:hRule="atLeast"/>
          <w:tblHeader/>
          <w:jc w:val="center"/>
        </w:trPr>
        <w:tc>
          <w:tcPr>
            <w:tcW w:w="2331" w:type="dxa"/>
            <w:vMerge w:val="restart"/>
            <w:tcBorders>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both"/>
              <w:textAlignment w:val="auto"/>
              <w:rPr>
                <w:rFonts w:hint="eastAsia" w:ascii="宋体" w:hAnsi="宋体" w:eastAsia="宋体" w:cs="宋体"/>
                <w:b/>
                <w:bCs/>
                <w:color w:val="auto"/>
                <w:kern w:val="1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80" w:lineRule="exact"/>
              <w:ind w:left="0" w:leftChars="0" w:firstLine="241" w:firstLineChars="100"/>
              <w:jc w:val="center"/>
              <w:textAlignment w:val="auto"/>
              <w:rPr>
                <w:rFonts w:hint="eastAsia" w:ascii="宋体" w:hAnsi="宋体" w:eastAsia="宋体" w:cs="宋体"/>
                <w:b/>
                <w:bCs/>
                <w:color w:val="auto"/>
                <w:kern w:val="10"/>
                <w:sz w:val="24"/>
                <w:szCs w:val="24"/>
                <w:lang w:val="en-US" w:eastAsia="zh-CN"/>
              </w:rPr>
            </w:pPr>
            <w:r>
              <w:rPr>
                <w:rFonts w:hint="eastAsia" w:ascii="宋体" w:hAnsi="宋体" w:eastAsia="宋体" w:cs="宋体"/>
                <w:b/>
                <w:bCs/>
                <w:color w:val="auto"/>
                <w:kern w:val="10"/>
                <w:sz w:val="24"/>
                <w:szCs w:val="24"/>
                <w:lang w:val="en-US" w:eastAsia="zh-CN"/>
              </w:rPr>
              <w:t>项</w:t>
            </w:r>
            <w:r>
              <w:rPr>
                <w:rFonts w:hint="eastAsia" w:ascii="宋体" w:hAnsi="宋体" w:eastAsia="宋体" w:cs="宋体"/>
                <w:b/>
                <w:bCs/>
                <w:color w:val="auto"/>
                <w:kern w:val="10"/>
                <w:sz w:val="24"/>
                <w:szCs w:val="24"/>
                <w:lang w:val="en-US" w:eastAsia="zh-CN"/>
              </w:rPr>
              <w:tab/>
            </w:r>
            <w:r>
              <w:rPr>
                <w:rFonts w:hint="eastAsia" w:ascii="宋体" w:hAnsi="宋体" w:eastAsia="宋体" w:cs="宋体"/>
                <w:b/>
                <w:bCs/>
                <w:color w:val="auto"/>
                <w:kern w:val="10"/>
                <w:sz w:val="24"/>
                <w:szCs w:val="24"/>
                <w:lang w:val="en-US" w:eastAsia="zh-CN"/>
              </w:rPr>
              <w:t>目</w:t>
            </w:r>
          </w:p>
        </w:tc>
        <w:tc>
          <w:tcPr>
            <w:tcW w:w="4555" w:type="dxa"/>
            <w:gridSpan w:val="3"/>
            <w:tcBorders>
              <w:left w:val="single" w:color="000000"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bCs/>
                <w:color w:val="auto"/>
                <w:kern w:val="10"/>
                <w:sz w:val="24"/>
                <w:szCs w:val="24"/>
                <w:lang w:val="en-US" w:eastAsia="zh-CN"/>
              </w:rPr>
            </w:pPr>
            <w:r>
              <w:rPr>
                <w:rFonts w:hint="eastAsia" w:ascii="宋体" w:hAnsi="宋体" w:eastAsia="宋体" w:cs="宋体"/>
                <w:b/>
                <w:bCs/>
                <w:color w:val="auto"/>
                <w:kern w:val="10"/>
                <w:sz w:val="24"/>
                <w:szCs w:val="24"/>
                <w:lang w:val="en-US" w:eastAsia="zh-CN"/>
              </w:rPr>
              <w:t>质量指标</w:t>
            </w:r>
          </w:p>
        </w:tc>
        <w:tc>
          <w:tcPr>
            <w:tcW w:w="2467" w:type="dxa"/>
            <w:vMerge w:val="restart"/>
            <w:tcBorders>
              <w:lef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center"/>
              <w:textAlignment w:val="auto"/>
              <w:rPr>
                <w:rFonts w:hint="eastAsia" w:ascii="宋体" w:hAnsi="宋体" w:eastAsia="宋体" w:cs="宋体"/>
                <w:b w:val="0"/>
                <w:bCs w:val="0"/>
                <w:color w:val="auto"/>
                <w:kern w:val="1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80" w:lineRule="exact"/>
              <w:ind w:left="0" w:leftChars="0" w:firstLine="241" w:firstLineChars="10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bCs/>
                <w:color w:val="auto"/>
                <w:kern w:val="10"/>
                <w:sz w:val="24"/>
                <w:szCs w:val="24"/>
                <w:lang w:val="en-US" w:eastAsia="zh-CN"/>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7" w:hRule="atLeast"/>
          <w:tblHeader/>
          <w:jc w:val="center"/>
        </w:trPr>
        <w:tc>
          <w:tcPr>
            <w:tcW w:w="2331" w:type="dxa"/>
            <w:vMerge w:val="continue"/>
            <w:tcBorders>
              <w:right w:val="single" w:color="000000" w:sz="4" w:space="0"/>
            </w:tcBorders>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1" w:firstLineChars="100"/>
              <w:jc w:val="center"/>
              <w:textAlignment w:val="auto"/>
              <w:rPr>
                <w:rFonts w:hint="eastAsia" w:ascii="宋体" w:hAnsi="宋体" w:eastAsia="宋体" w:cs="宋体"/>
                <w:b/>
                <w:bCs/>
                <w:color w:val="auto"/>
                <w:kern w:val="10"/>
                <w:sz w:val="24"/>
                <w:szCs w:val="24"/>
                <w:lang w:val="en-US" w:eastAsia="zh-CN"/>
              </w:rPr>
            </w:pPr>
          </w:p>
        </w:tc>
        <w:tc>
          <w:tcPr>
            <w:tcW w:w="1305" w:type="dxa"/>
            <w:tcBorders>
              <w:top w:val="single" w:color="000000" w:sz="4" w:space="0"/>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bCs/>
                <w:color w:val="auto"/>
                <w:kern w:val="10"/>
                <w:sz w:val="24"/>
                <w:szCs w:val="24"/>
                <w:lang w:val="en-US" w:eastAsia="zh-CN"/>
              </w:rPr>
            </w:pPr>
            <w:r>
              <w:rPr>
                <w:rFonts w:hint="eastAsia" w:ascii="宋体" w:hAnsi="宋体" w:eastAsia="宋体" w:cs="宋体"/>
                <w:b/>
                <w:bCs/>
                <w:color w:val="auto"/>
                <w:kern w:val="10"/>
                <w:sz w:val="24"/>
                <w:szCs w:val="24"/>
                <w:lang w:val="en-US" w:eastAsia="zh-CN"/>
              </w:rPr>
              <w:t>低硫石油焦</w:t>
            </w:r>
          </w:p>
        </w:tc>
        <w:tc>
          <w:tcPr>
            <w:tcW w:w="1605" w:type="dxa"/>
            <w:tcBorders>
              <w:top w:val="single" w:color="000000" w:sz="4" w:space="0"/>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bCs/>
                <w:color w:val="auto"/>
                <w:kern w:val="10"/>
                <w:sz w:val="24"/>
                <w:szCs w:val="24"/>
                <w:lang w:val="en-US" w:eastAsia="zh-CN"/>
              </w:rPr>
            </w:pPr>
            <w:r>
              <w:rPr>
                <w:rFonts w:hint="eastAsia" w:ascii="宋体" w:hAnsi="宋体" w:eastAsia="宋体" w:cs="宋体"/>
                <w:b/>
                <w:bCs/>
                <w:color w:val="auto"/>
                <w:kern w:val="10"/>
                <w:sz w:val="24"/>
                <w:szCs w:val="24"/>
                <w:lang w:val="en-US" w:eastAsia="zh-CN"/>
              </w:rPr>
              <w:t>中硫石油焦</w:t>
            </w:r>
          </w:p>
        </w:tc>
        <w:tc>
          <w:tcPr>
            <w:tcW w:w="1645" w:type="dxa"/>
            <w:tcBorders>
              <w:top w:val="single" w:color="000000" w:sz="4" w:space="0"/>
              <w:left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bCs/>
                <w:color w:val="auto"/>
                <w:kern w:val="10"/>
                <w:sz w:val="24"/>
                <w:szCs w:val="24"/>
                <w:lang w:val="en-US" w:eastAsia="zh-CN"/>
              </w:rPr>
            </w:pPr>
            <w:r>
              <w:rPr>
                <w:rFonts w:hint="eastAsia" w:ascii="宋体" w:hAnsi="宋体" w:eastAsia="宋体" w:cs="宋体"/>
                <w:b/>
                <w:bCs/>
                <w:color w:val="auto"/>
                <w:kern w:val="10"/>
                <w:sz w:val="24"/>
                <w:szCs w:val="24"/>
                <w:lang w:val="en-US" w:eastAsia="zh-CN"/>
              </w:rPr>
              <w:t>高硫石油焦</w:t>
            </w:r>
          </w:p>
        </w:tc>
        <w:tc>
          <w:tcPr>
            <w:tcW w:w="2467" w:type="dxa"/>
            <w:vMerge w:val="continue"/>
            <w:tcBorders>
              <w:left w:val="single" w:color="000000" w:sz="4" w:space="0"/>
            </w:tcBorders>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center"/>
              <w:textAlignment w:val="auto"/>
              <w:rPr>
                <w:rFonts w:hint="eastAsia" w:ascii="宋体" w:hAnsi="宋体" w:eastAsia="宋体" w:cs="宋体"/>
                <w:b w:val="0"/>
                <w:bCs w:val="0"/>
                <w:color w:val="auto"/>
                <w:kern w:val="10"/>
                <w:sz w:val="24"/>
                <w:szCs w:val="24"/>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5" w:hRule="atLeast"/>
          <w:jc w:val="center"/>
        </w:trPr>
        <w:tc>
          <w:tcPr>
            <w:tcW w:w="2331" w:type="dxa"/>
            <w:tcBorders>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硫含量（质量分数）%</w:t>
            </w:r>
          </w:p>
        </w:tc>
        <w:tc>
          <w:tcPr>
            <w:tcW w:w="1305" w:type="dxa"/>
            <w:tcBorders>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≤1.0</w:t>
            </w:r>
          </w:p>
        </w:tc>
        <w:tc>
          <w:tcPr>
            <w:tcW w:w="1605" w:type="dxa"/>
            <w:tcBorders>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1.0＜X≤4.0</w:t>
            </w:r>
          </w:p>
        </w:tc>
        <w:tc>
          <w:tcPr>
            <w:tcW w:w="1645" w:type="dxa"/>
            <w:tcBorders>
              <w:left w:val="single" w:color="auto"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4.0＜x≤6.0</w:t>
            </w:r>
          </w:p>
        </w:tc>
        <w:tc>
          <w:tcPr>
            <w:tcW w:w="2467" w:type="dxa"/>
            <w:tcBorders>
              <w:left w:val="single" w:color="000000" w:sz="4" w:space="0"/>
              <w:bottom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GB/T214-2007中第4章</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5" w:hRule="atLeast"/>
          <w:jc w:val="center"/>
        </w:trPr>
        <w:tc>
          <w:tcPr>
            <w:tcW w:w="2331" w:type="dxa"/>
            <w:tcBorders>
              <w:top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挥发分（质量分数）%</w:t>
            </w:r>
          </w:p>
        </w:tc>
        <w:tc>
          <w:tcPr>
            <w:tcW w:w="1305" w:type="dxa"/>
            <w:tcBorders>
              <w:top w:val="single" w:color="000000" w:sz="4" w:space="0"/>
              <w:left w:val="single" w:color="000000" w:sz="4" w:space="0"/>
              <w:bottom w:val="single" w:color="000000"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≤10</w:t>
            </w:r>
          </w:p>
        </w:tc>
        <w:tc>
          <w:tcPr>
            <w:tcW w:w="1605" w:type="dxa"/>
            <w:tcBorders>
              <w:top w:val="single" w:color="000000" w:sz="4" w:space="0"/>
              <w:left w:val="single" w:color="auto" w:sz="4" w:space="0"/>
              <w:bottom w:val="single" w:color="000000" w:sz="4" w:space="0"/>
              <w:right w:val="single" w:color="auto" w:sz="4" w:space="0"/>
            </w:tcBorders>
            <w:vAlign w:val="top"/>
          </w:tcPr>
          <w:p>
            <w:pPr>
              <w:keepNext w:val="0"/>
              <w:keepLines w:val="0"/>
              <w:pageBreakBefore w:val="0"/>
              <w:widowControl w:val="0"/>
              <w:tabs>
                <w:tab w:val="left" w:pos="495"/>
              </w:tabs>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≤10</w:t>
            </w:r>
          </w:p>
        </w:tc>
        <w:tc>
          <w:tcPr>
            <w:tcW w:w="1645" w:type="dxa"/>
            <w:tcBorders>
              <w:top w:val="single" w:color="000000" w:sz="4" w:space="0"/>
              <w:left w:val="single" w:color="auto" w:sz="4" w:space="0"/>
              <w:bottom w:val="single" w:color="000000" w:sz="4" w:space="0"/>
              <w:right w:val="single" w:color="000000" w:sz="4" w:space="0"/>
            </w:tcBorders>
            <w:vAlign w:val="top"/>
          </w:tcPr>
          <w:p>
            <w:pPr>
              <w:keepNext w:val="0"/>
              <w:keepLines w:val="0"/>
              <w:pageBreakBefore w:val="0"/>
              <w:widowControl w:val="0"/>
              <w:tabs>
                <w:tab w:val="left" w:pos="495"/>
              </w:tabs>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≤10</w:t>
            </w:r>
          </w:p>
        </w:tc>
        <w:tc>
          <w:tcPr>
            <w:tcW w:w="2467" w:type="dxa"/>
            <w:tcBorders>
              <w:top w:val="single" w:color="000000" w:sz="4" w:space="0"/>
              <w:left w:val="single" w:color="000000" w:sz="4" w:space="0"/>
              <w:bottom w:val="single" w:color="000000" w:sz="4" w:space="0"/>
            </w:tcBorders>
          </w:tcPr>
          <w:p>
            <w:pPr>
              <w:pStyle w:val="6"/>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SH/T 0026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5" w:hRule="atLeast"/>
          <w:jc w:val="center"/>
        </w:trPr>
        <w:tc>
          <w:tcPr>
            <w:tcW w:w="2331" w:type="dxa"/>
            <w:tcBorders>
              <w:top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灰分（质量分数）%</w:t>
            </w:r>
          </w:p>
        </w:tc>
        <w:tc>
          <w:tcPr>
            <w:tcW w:w="130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≤0.5</w:t>
            </w:r>
          </w:p>
        </w:tc>
        <w:tc>
          <w:tcPr>
            <w:tcW w:w="160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≤0.5</w:t>
            </w:r>
          </w:p>
        </w:tc>
        <w:tc>
          <w:tcPr>
            <w:tcW w:w="164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≤0.5</w:t>
            </w:r>
          </w:p>
        </w:tc>
        <w:tc>
          <w:tcPr>
            <w:tcW w:w="2467" w:type="dxa"/>
            <w:tcBorders>
              <w:top w:val="single" w:color="000000" w:sz="4" w:space="0"/>
              <w:left w:val="single" w:color="000000" w:sz="4" w:space="0"/>
              <w:bottom w:val="single" w:color="000000" w:sz="4" w:space="0"/>
            </w:tcBorders>
            <w:vAlign w:val="center"/>
          </w:tcPr>
          <w:p>
            <w:pPr>
              <w:pStyle w:val="6"/>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SH/T 0029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5" w:hRule="atLeast"/>
          <w:jc w:val="center"/>
        </w:trPr>
        <w:tc>
          <w:tcPr>
            <w:tcW w:w="2331" w:type="dxa"/>
            <w:tcBorders>
              <w:top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总水分（质量分数）%</w:t>
            </w:r>
          </w:p>
        </w:tc>
        <w:tc>
          <w:tcPr>
            <w:tcW w:w="130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≤8.0</w:t>
            </w:r>
          </w:p>
        </w:tc>
        <w:tc>
          <w:tcPr>
            <w:tcW w:w="160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≤8.0</w:t>
            </w:r>
          </w:p>
        </w:tc>
        <w:tc>
          <w:tcPr>
            <w:tcW w:w="164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≤8.0</w:t>
            </w:r>
          </w:p>
        </w:tc>
        <w:tc>
          <w:tcPr>
            <w:tcW w:w="2467" w:type="dxa"/>
            <w:tcBorders>
              <w:top w:val="single" w:color="000000" w:sz="4" w:space="0"/>
              <w:left w:val="single" w:color="000000" w:sz="4" w:space="0"/>
              <w:bottom w:val="single" w:color="000000" w:sz="4" w:space="0"/>
            </w:tcBorders>
            <w:vAlign w:val="center"/>
          </w:tcPr>
          <w:p>
            <w:pPr>
              <w:pStyle w:val="6"/>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SH/T 0032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0" w:hRule="atLeast"/>
          <w:jc w:val="center"/>
        </w:trPr>
        <w:tc>
          <w:tcPr>
            <w:tcW w:w="2331" w:type="dxa"/>
            <w:tcBorders>
              <w:top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粉焦量（&lt;8mm）%</w:t>
            </w:r>
          </w:p>
        </w:tc>
        <w:tc>
          <w:tcPr>
            <w:tcW w:w="130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≤55</w:t>
            </w:r>
          </w:p>
        </w:tc>
        <w:tc>
          <w:tcPr>
            <w:tcW w:w="160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≤55</w:t>
            </w:r>
          </w:p>
        </w:tc>
        <w:tc>
          <w:tcPr>
            <w:tcW w:w="164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≤55</w:t>
            </w:r>
          </w:p>
        </w:tc>
        <w:tc>
          <w:tcPr>
            <w:tcW w:w="2467" w:type="dxa"/>
            <w:tcBorders>
              <w:top w:val="single" w:color="000000" w:sz="4" w:space="0"/>
              <w:left w:val="single" w:color="000000" w:sz="4" w:space="0"/>
              <w:bottom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NB/SH/T 0527-2019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04" w:hRule="atLeast"/>
          <w:jc w:val="center"/>
        </w:trPr>
        <w:tc>
          <w:tcPr>
            <w:tcW w:w="2331" w:type="dxa"/>
            <w:tcBorders>
              <w:top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钒含量ppm</w:t>
            </w:r>
          </w:p>
        </w:tc>
        <w:tc>
          <w:tcPr>
            <w:tcW w:w="1305" w:type="dxa"/>
            <w:tcBorders>
              <w:top w:val="single" w:color="000000" w:sz="4" w:space="0"/>
              <w:left w:val="single" w:color="000000"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≤200</w:t>
            </w:r>
            <w:r>
              <w:rPr>
                <w:rFonts w:hint="eastAsia" w:ascii="宋体" w:hAnsi="宋体" w:eastAsia="宋体" w:cs="宋体"/>
                <w:b/>
                <w:bCs/>
                <w:color w:val="000000" w:themeColor="text1"/>
                <w:kern w:val="10"/>
                <w:sz w:val="24"/>
                <w:szCs w:val="24"/>
                <w:highlight w:val="none"/>
                <w:vertAlign w:val="superscript"/>
                <w:lang w:val="en-US" w:eastAsia="zh-CN"/>
                <w14:textFill>
                  <w14:solidFill>
                    <w14:schemeClr w14:val="tx1"/>
                  </w14:solidFill>
                </w14:textFill>
              </w:rPr>
              <w:t>注1</w:t>
            </w:r>
          </w:p>
        </w:tc>
        <w:tc>
          <w:tcPr>
            <w:tcW w:w="3250" w:type="dxa"/>
            <w:gridSpan w:val="2"/>
            <w:tcBorders>
              <w:top w:val="single" w:color="000000" w:sz="4" w:space="0"/>
              <w:left w:val="single" w:color="auto" w:sz="4" w:space="0"/>
              <w:bottom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≤600</w:t>
            </w:r>
            <w:r>
              <w:rPr>
                <w:rFonts w:hint="eastAsia" w:ascii="宋体" w:hAnsi="宋体" w:eastAsia="宋体" w:cs="宋体"/>
                <w:b/>
                <w:bCs/>
                <w:color w:val="000000" w:themeColor="text1"/>
                <w:kern w:val="10"/>
                <w:sz w:val="24"/>
                <w:szCs w:val="24"/>
                <w:highlight w:val="none"/>
                <w:vertAlign w:val="superscript"/>
                <w:lang w:val="en-US" w:eastAsia="zh-CN"/>
                <w14:textFill>
                  <w14:solidFill>
                    <w14:schemeClr w14:val="tx1"/>
                  </w14:solidFill>
                </w14:textFill>
              </w:rPr>
              <w:t>注1</w:t>
            </w:r>
          </w:p>
        </w:tc>
        <w:tc>
          <w:tcPr>
            <w:tcW w:w="2467" w:type="dxa"/>
            <w:tcBorders>
              <w:top w:val="single" w:color="000000" w:sz="4" w:space="0"/>
              <w:left w:val="single" w:color="000000" w:sz="4" w:space="0"/>
              <w:bottom w:val="single" w:color="auto" w:sz="4" w:space="0"/>
            </w:tcBorders>
          </w:tcPr>
          <w:p>
            <w:pPr>
              <w:pStyle w:val="6"/>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5" w:hRule="atLeast"/>
          <w:jc w:val="center"/>
        </w:trPr>
        <w:tc>
          <w:tcPr>
            <w:tcW w:w="2331" w:type="dxa"/>
            <w:tcBorders>
              <w:top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铁含量ppm</w:t>
            </w:r>
          </w:p>
        </w:tc>
        <w:tc>
          <w:tcPr>
            <w:tcW w:w="4555" w:type="dxa"/>
            <w:gridSpan w:val="3"/>
            <w:tcBorders>
              <w:top w:val="single" w:color="000000" w:sz="4" w:space="0"/>
              <w:left w:val="single" w:color="000000" w:sz="4" w:space="0"/>
              <w:bottom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auto"/>
                <w:kern w:val="10"/>
                <w:sz w:val="24"/>
                <w:szCs w:val="24"/>
                <w:highlight w:val="none"/>
                <w:lang w:val="en-US" w:eastAsia="zh-CN"/>
              </w:rPr>
              <w:t>≤400</w:t>
            </w:r>
          </w:p>
        </w:tc>
        <w:tc>
          <w:tcPr>
            <w:tcW w:w="2467" w:type="dxa"/>
            <w:tcBorders>
              <w:top w:val="single" w:color="000000" w:sz="4" w:space="0"/>
              <w:left w:val="single" w:color="000000" w:sz="4" w:space="0"/>
              <w:bottom w:val="single" w:color="auto" w:sz="4" w:space="0"/>
            </w:tcBorders>
          </w:tcPr>
          <w:p>
            <w:pPr>
              <w:pStyle w:val="6"/>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5" w:hRule="atLeast"/>
          <w:jc w:val="center"/>
        </w:trPr>
        <w:tc>
          <w:tcPr>
            <w:tcW w:w="2331" w:type="dxa"/>
            <w:tcBorders>
              <w:top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硅含量ppm</w:t>
            </w:r>
          </w:p>
        </w:tc>
        <w:tc>
          <w:tcPr>
            <w:tcW w:w="4555" w:type="dxa"/>
            <w:gridSpan w:val="3"/>
            <w:tcBorders>
              <w:top w:val="single" w:color="000000" w:sz="4" w:space="0"/>
              <w:left w:val="single" w:color="000000" w:sz="4" w:space="0"/>
              <w:bottom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FF0000"/>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≤300</w:t>
            </w:r>
          </w:p>
        </w:tc>
        <w:tc>
          <w:tcPr>
            <w:tcW w:w="2467" w:type="dxa"/>
            <w:tcBorders>
              <w:top w:val="single" w:color="000000" w:sz="4" w:space="0"/>
              <w:left w:val="single" w:color="000000" w:sz="4" w:space="0"/>
              <w:bottom w:val="single" w:color="auto" w:sz="4" w:space="0"/>
            </w:tcBorders>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5" w:hRule="atLeast"/>
          <w:jc w:val="center"/>
        </w:trPr>
        <w:tc>
          <w:tcPr>
            <w:tcW w:w="2331" w:type="dxa"/>
            <w:tcBorders>
              <w:top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钠含量ppm</w:t>
            </w:r>
          </w:p>
        </w:tc>
        <w:tc>
          <w:tcPr>
            <w:tcW w:w="4555" w:type="dxa"/>
            <w:gridSpan w:val="3"/>
            <w:tcBorders>
              <w:top w:val="single" w:color="000000" w:sz="4" w:space="0"/>
              <w:left w:val="single" w:color="000000" w:sz="4" w:space="0"/>
              <w:bottom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FF0000"/>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≤300</w:t>
            </w:r>
          </w:p>
        </w:tc>
        <w:tc>
          <w:tcPr>
            <w:tcW w:w="2467" w:type="dxa"/>
            <w:tcBorders>
              <w:top w:val="single" w:color="000000" w:sz="4" w:space="0"/>
              <w:left w:val="single" w:color="000000" w:sz="4" w:space="0"/>
              <w:bottom w:val="single" w:color="auto" w:sz="4" w:space="0"/>
            </w:tcBorders>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31" w:hRule="atLeast"/>
          <w:jc w:val="center"/>
        </w:trPr>
        <w:tc>
          <w:tcPr>
            <w:tcW w:w="2331" w:type="dxa"/>
            <w:tcBorders>
              <w:top w:val="single" w:color="auto"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其它微量元素含量</w:t>
            </w:r>
          </w:p>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（钙、镍等）</w:t>
            </w:r>
          </w:p>
        </w:tc>
        <w:tc>
          <w:tcPr>
            <w:tcW w:w="4555" w:type="dxa"/>
            <w:gridSpan w:val="3"/>
            <w:tcBorders>
              <w:top w:val="single" w:color="auto" w:sz="4" w:space="0"/>
              <w:left w:val="single" w:color="000000" w:sz="4" w:space="0"/>
              <w:bottom w:val="single" w:color="000000" w:sz="4" w:space="0"/>
              <w:right w:val="single" w:color="000000" w:sz="4" w:space="0"/>
            </w:tcBorders>
          </w:tcPr>
          <w:p>
            <w:pPr>
              <w:keepNext w:val="0"/>
              <w:keepLines w:val="0"/>
              <w:pageBreakBefore w:val="0"/>
              <w:widowControl w:val="0"/>
              <w:kinsoku/>
              <w:wordWrap/>
              <w:overflowPunct/>
              <w:topLinePunct w:val="0"/>
              <w:autoSpaceDE/>
              <w:autoSpaceDN/>
              <w:bidi w:val="0"/>
              <w:adjustRightInd/>
              <w:snapToGrid/>
              <w:spacing w:line="380" w:lineRule="exact"/>
              <w:ind w:left="0" w:leftChars="0"/>
              <w:jc w:val="left"/>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当生产过程中需要控制钙、镍等微量元素时，由生产技术部门下发指标要求，并在采购合同中注明。</w:t>
            </w:r>
          </w:p>
        </w:tc>
        <w:tc>
          <w:tcPr>
            <w:tcW w:w="2467" w:type="dxa"/>
            <w:tcBorders>
              <w:top w:val="single" w:color="auto" w:sz="4" w:space="0"/>
              <w:left w:val="single" w:color="000000" w:sz="4" w:space="0"/>
              <w:bottom w:val="single" w:color="000000" w:sz="4" w:space="0"/>
            </w:tcBorders>
            <w:vAlign w:val="center"/>
          </w:tcPr>
          <w:p>
            <w:pPr>
              <w:pStyle w:val="6"/>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55" w:hRule="atLeast"/>
          <w:jc w:val="center"/>
        </w:trPr>
        <w:tc>
          <w:tcPr>
            <w:tcW w:w="9353" w:type="dxa"/>
            <w:gridSpan w:val="5"/>
            <w:tcBorders>
              <w:top w:val="single" w:color="000000" w:sz="4" w:space="0"/>
              <w:bottom w:val="single" w:color="000000" w:sz="4" w:space="0"/>
            </w:tcBorders>
            <w:vAlign w:val="center"/>
          </w:tcPr>
          <w:p>
            <w:pPr>
              <w:keepNext w:val="0"/>
              <w:keepLines w:val="0"/>
              <w:pageBreakBefore w:val="0"/>
              <w:widowControl w:val="0"/>
              <w:shd w:val="clear" w:fill="FFFFFF" w:themeFill="background1"/>
              <w:kinsoku/>
              <w:wordWrap/>
              <w:overflowPunct/>
              <w:topLinePunct w:val="0"/>
              <w:autoSpaceDE/>
              <w:autoSpaceDN/>
              <w:bidi w:val="0"/>
              <w:adjustRightInd/>
              <w:snapToGrid/>
              <w:spacing w:line="380" w:lineRule="exact"/>
              <w:ind w:left="0" w:leftChars="0" w:firstLine="0" w:firstLineChars="0"/>
              <w:jc w:val="left"/>
              <w:textAlignment w:val="auto"/>
              <w:rPr>
                <w:rFonts w:hint="eastAsia" w:ascii="宋体" w:hAnsi="宋体" w:eastAsia="宋体" w:cs="宋体"/>
                <w:kern w:val="0"/>
                <w:sz w:val="24"/>
                <w:szCs w:val="24"/>
                <w:highlight w:val="none"/>
                <w:shd w:val="clear" w:fill="FFFF00"/>
                <w:lang w:val="en-US" w:eastAsia="zh-CN"/>
              </w:rPr>
            </w:pPr>
            <w:r>
              <w:rPr>
                <w:rFonts w:hint="eastAsia" w:ascii="宋体" w:hAnsi="宋体" w:eastAsia="宋体" w:cs="宋体"/>
                <w:b w:val="0"/>
                <w:bCs w:val="0"/>
                <w:color w:val="auto"/>
                <w:kern w:val="10"/>
                <w:sz w:val="24"/>
                <w:szCs w:val="24"/>
                <w:highlight w:val="none"/>
                <w:shd w:val="clear" w:fill="FFFFFF" w:themeFill="background1"/>
                <w:lang w:val="en-US" w:eastAsia="zh-CN"/>
              </w:rPr>
              <w:t>备注：</w:t>
            </w:r>
            <w:r>
              <w:rPr>
                <w:rFonts w:hint="eastAsia" w:ascii="宋体" w:hAnsi="宋体" w:eastAsia="宋体" w:cs="宋体"/>
                <w:color w:val="auto"/>
                <w:sz w:val="24"/>
                <w:szCs w:val="24"/>
                <w:highlight w:val="none"/>
              </w:rPr>
              <w:t>数值修约比较按GB/T</w:t>
            </w:r>
            <w:r>
              <w:rPr>
                <w:rFonts w:hint="eastAsia" w:ascii="宋体" w:hAnsi="宋体" w:eastAsia="宋体" w:cs="宋体"/>
                <w:color w:val="auto"/>
                <w:sz w:val="24"/>
                <w:szCs w:val="24"/>
                <w:highlight w:val="none"/>
                <w:lang w:val="en-US" w:eastAsia="zh-CN"/>
              </w:rPr>
              <w:t xml:space="preserve"> 8170有关</w:t>
            </w:r>
            <w:r>
              <w:rPr>
                <w:rFonts w:hint="eastAsia" w:ascii="宋体" w:hAnsi="宋体" w:eastAsia="宋体" w:cs="宋体"/>
                <w:color w:val="auto"/>
                <w:sz w:val="24"/>
                <w:szCs w:val="24"/>
                <w:highlight w:val="none"/>
              </w:rPr>
              <w:t>规定进行，修约数位与表中所列极限数位一致</w:t>
            </w:r>
            <w:r>
              <w:rPr>
                <w:rFonts w:hint="eastAsia" w:ascii="宋体" w:hAnsi="宋体" w:eastAsia="宋体" w:cs="宋体"/>
                <w:color w:val="auto"/>
                <w:sz w:val="24"/>
                <w:szCs w:val="24"/>
                <w:highlight w:val="none"/>
                <w:lang w:eastAsia="zh-CN"/>
              </w:rPr>
              <w:t>。</w:t>
            </w:r>
          </w:p>
        </w:tc>
      </w:tr>
    </w:tbl>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黑体" w:hAnsi="黑体" w:eastAsia="黑体" w:cs="黑体"/>
          <w:b w:val="0"/>
          <w:bCs/>
          <w:kern w:val="10"/>
          <w:sz w:val="24"/>
          <w:lang w:val="en-US" w:eastAsia="zh-CN"/>
        </w:rPr>
      </w:pPr>
      <w:bookmarkStart w:id="4" w:name="_Toc841"/>
      <w:r>
        <w:rPr>
          <w:rFonts w:hint="eastAsia" w:ascii="宋体" w:hAnsi="宋体" w:eastAsia="宋体" w:cs="宋体"/>
          <w:b/>
          <w:bCs w:val="0"/>
          <w:kern w:val="10"/>
          <w:sz w:val="24"/>
          <w:lang w:val="en-US" w:eastAsia="zh-CN"/>
        </w:rPr>
        <w:t>1.4检验规则</w:t>
      </w:r>
      <w:bookmarkEnd w:id="4"/>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2"/>
        <w:rPr>
          <w:rFonts w:hint="default" w:ascii="宋体" w:hAnsi="宋体" w:eastAsia="宋体" w:cs="Times New Roman"/>
          <w:b/>
          <w:bCs w:val="0"/>
          <w:kern w:val="10"/>
          <w:sz w:val="24"/>
          <w:lang w:val="en-US" w:eastAsia="zh-CN"/>
        </w:rPr>
      </w:pPr>
      <w:r>
        <w:rPr>
          <w:rFonts w:hint="eastAsia" w:ascii="宋体" w:hAnsi="宋体" w:eastAsia="宋体" w:cs="Times New Roman"/>
          <w:b/>
          <w:bCs w:val="0"/>
          <w:kern w:val="10"/>
          <w:sz w:val="24"/>
          <w:lang w:val="en-US" w:eastAsia="zh-CN"/>
        </w:rPr>
        <w:t>1.4.1检测和验收</w:t>
      </w:r>
    </w:p>
    <w:p>
      <w:pPr>
        <w:pStyle w:val="5"/>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lang w:val="en-US" w:eastAsia="zh-CN"/>
        </w:rPr>
      </w:pPr>
      <w:r>
        <w:rPr>
          <w:rFonts w:hint="eastAsia" w:ascii="宋体" w:hAnsi="宋体" w:eastAsia="宋体" w:cs="Times New Roman"/>
          <w:b w:val="0"/>
          <w:bCs w:val="0"/>
          <w:kern w:val="10"/>
          <w:sz w:val="24"/>
          <w:lang w:val="en-US" w:eastAsia="zh-CN"/>
        </w:rPr>
        <w:t>1.4.1.1石油焦由需方在需方仓库内进行抽样检验。如检验结果与本合同的规定不符时，应及时向供方提出，供方收到需方质量异常反馈后，应在3个工作日内处理，否则视为默认需方提出的异议和处理意见。</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1.4.1.2必要时，需方可依据订货单（或合同）约定，进入供方现场对拟交货的产品进行供货前的检查。</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2"/>
        <w:rPr>
          <w:rFonts w:hint="default" w:ascii="宋体" w:hAnsi="宋体" w:eastAsia="宋体" w:cs="Times New Roman"/>
          <w:b/>
          <w:bCs w:val="0"/>
          <w:kern w:val="10"/>
          <w:sz w:val="24"/>
          <w:lang w:val="en-US" w:eastAsia="zh-CN"/>
        </w:rPr>
      </w:pPr>
      <w:r>
        <w:rPr>
          <w:rFonts w:hint="eastAsia" w:ascii="宋体" w:hAnsi="宋体" w:eastAsia="宋体" w:cs="Times New Roman"/>
          <w:b/>
          <w:bCs w:val="0"/>
          <w:kern w:val="10"/>
          <w:sz w:val="24"/>
          <w:lang w:val="en-US" w:eastAsia="zh-CN"/>
        </w:rPr>
        <w:t>1.4.2组批</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color w:val="000000" w:themeColor="text1"/>
          <w:kern w:val="10"/>
          <w:sz w:val="24"/>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kern w:val="10"/>
          <w:sz w:val="24"/>
          <w:lang w:val="en-US" w:eastAsia="zh-CN"/>
          <w14:textFill>
            <w14:solidFill>
              <w14:schemeClr w14:val="tx1"/>
            </w14:solidFill>
          </w14:textFill>
        </w:rPr>
        <w:t>1.4.2.1同一供应商，每车到货石油焦均需采样，每5车组批检测水分、挥发分、灰分、硫含量，粉焦量（连续两日内到货量不足5车的同样组批检测），每15车组批检测铁、硅、钠、钒含量</w:t>
      </w:r>
      <w:r>
        <w:rPr>
          <w:rFonts w:hint="eastAsia" w:ascii="宋体" w:hAnsi="宋体" w:eastAsia="宋体" w:cs="Times New Roman"/>
          <w:b w:val="0"/>
          <w:bCs w:val="0"/>
          <w:color w:val="000000" w:themeColor="text1"/>
          <w:kern w:val="10"/>
          <w:sz w:val="24"/>
          <w:highlight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1.4.2.2石油焦在使用过程中出现质量问题时，可不定时进行取样检验，若为石油焦质量存在问题的，由供方承担对需方造成的损失。</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2"/>
        <w:rPr>
          <w:rFonts w:hint="eastAsia" w:ascii="宋体" w:hAnsi="宋体" w:eastAsia="宋体" w:cs="Times New Roman"/>
          <w:b/>
          <w:bCs w:val="0"/>
          <w:kern w:val="10"/>
          <w:sz w:val="24"/>
          <w:lang w:val="en-US" w:eastAsia="zh-CN"/>
        </w:rPr>
      </w:pPr>
      <w:r>
        <w:rPr>
          <w:rFonts w:hint="eastAsia" w:ascii="宋体" w:hAnsi="宋体" w:eastAsia="宋体" w:cs="Times New Roman"/>
          <w:b/>
          <w:bCs w:val="0"/>
          <w:kern w:val="10"/>
          <w:sz w:val="24"/>
          <w:lang w:val="en-US" w:eastAsia="zh-CN"/>
        </w:rPr>
        <w:t>1.4.3 检验项目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3"/>
        <w:rPr>
          <w:rFonts w:hint="default" w:ascii="宋体" w:hAnsi="宋体" w:eastAsia="宋体" w:cs="Times New Roman"/>
          <w:b w:val="0"/>
          <w:bCs w:val="0"/>
          <w:kern w:val="10"/>
          <w:sz w:val="24"/>
          <w:highlight w:val="none"/>
          <w:lang w:val="en-US" w:eastAsia="zh-CN"/>
        </w:rPr>
      </w:pPr>
      <w:r>
        <w:rPr>
          <w:rFonts w:hint="eastAsia" w:ascii="宋体" w:hAnsi="宋体" w:eastAsia="宋体" w:cs="Times New Roman"/>
          <w:kern w:val="10"/>
          <w:sz w:val="24"/>
          <w:highlight w:val="none"/>
          <w:lang w:val="en-US" w:eastAsia="zh-CN"/>
        </w:rPr>
        <w:t>石油焦需检测挥发分、灰分、水分、粉焦量、硫、铁、钒、硅、钠含量等。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2"/>
        <w:rPr>
          <w:rFonts w:hint="eastAsia" w:ascii="宋体" w:hAnsi="宋体" w:eastAsia="宋体" w:cs="Times New Roman"/>
          <w:b/>
          <w:bCs w:val="0"/>
          <w:kern w:val="10"/>
          <w:sz w:val="24"/>
          <w:lang w:val="en-US" w:eastAsia="zh-CN"/>
        </w:rPr>
      </w:pPr>
      <w:r>
        <w:rPr>
          <w:rFonts w:hint="eastAsia" w:ascii="宋体" w:hAnsi="宋体" w:eastAsia="宋体" w:cs="Times New Roman"/>
          <w:b/>
          <w:bCs w:val="0"/>
          <w:kern w:val="10"/>
          <w:sz w:val="24"/>
          <w:lang w:val="en-US" w:eastAsia="zh-CN"/>
        </w:rPr>
        <w:t>1.4.4取样和制样</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1.4.4.1到货取样和制样，按照 SH/T 0313《石油焦检验法》的规定进行。</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default"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 xml:space="preserve">1.4.4.2 石油焦封存试样保存期限不少于3个月。 </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bCs/>
          <w:kern w:val="10"/>
          <w:sz w:val="24"/>
          <w:lang w:val="en-US" w:eastAsia="zh-CN"/>
        </w:rPr>
      </w:pPr>
      <w:r>
        <w:rPr>
          <w:rFonts w:hint="eastAsia" w:ascii="宋体" w:hAnsi="宋体" w:eastAsia="宋体" w:cs="Times New Roman"/>
          <w:b/>
          <w:bCs/>
          <w:kern w:val="10"/>
          <w:sz w:val="24"/>
          <w:lang w:val="en-US" w:eastAsia="zh-CN"/>
        </w:rPr>
        <w:t>1.4.5复检</w:t>
      </w:r>
    </w:p>
    <w:p>
      <w:pPr>
        <w:pStyle w:val="1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default" w:ascii="宋体" w:hAnsi="宋体" w:eastAsia="宋体" w:cs="Times New Roman"/>
          <w:b w:val="0"/>
          <w:bCs w:val="0"/>
          <w:kern w:val="10"/>
          <w:sz w:val="24"/>
          <w:highlight w:val="none"/>
          <w:lang w:val="en-US" w:eastAsia="zh-CN"/>
        </w:rPr>
      </w:pPr>
      <w:r>
        <w:rPr>
          <w:rFonts w:hint="eastAsia" w:cs="Times New Roman"/>
          <w:b w:val="0"/>
          <w:bCs w:val="0"/>
          <w:kern w:val="10"/>
          <w:sz w:val="24"/>
          <w:highlight w:val="none"/>
          <w:lang w:val="en-US" w:eastAsia="zh-CN"/>
        </w:rPr>
        <w:t>1</w:t>
      </w:r>
      <w:r>
        <w:rPr>
          <w:rFonts w:hint="eastAsia" w:ascii="宋体" w:hAnsi="宋体" w:eastAsia="宋体" w:cs="Times New Roman"/>
          <w:b w:val="0"/>
          <w:bCs w:val="0"/>
          <w:kern w:val="10"/>
          <w:sz w:val="24"/>
          <w:highlight w:val="none"/>
          <w:lang w:val="en-US" w:eastAsia="zh-CN"/>
        </w:rPr>
        <w:t>.4.5.1复检方式：供需双方在验收过程中就质量问题发生争议时，供方需在3个工作日内，以函件的方式向需方提出复检申请。复检优先选择在需方实验室进行，当争议较大或供方有充分理由时，也可选择在双方认可的具有资质的第三方实验室进行复检（由需方在供需双方认可的具有资质的第三方实验室中随机选择一家进行复检）。以上复检方式只可选择其中一种，不可两种同时进行。</w:t>
      </w:r>
      <w:r>
        <w:rPr>
          <w:rFonts w:hint="eastAsia" w:cs="Times New Roman"/>
          <w:b w:val="0"/>
          <w:bCs w:val="0"/>
          <w:kern w:val="10"/>
          <w:sz w:val="24"/>
          <w:highlight w:val="none"/>
          <w:lang w:val="en-US" w:eastAsia="zh-CN"/>
        </w:rPr>
        <w:t>因水分会随外界环境变化，水分不接受复检申请。</w:t>
      </w:r>
    </w:p>
    <w:p>
      <w:pPr>
        <w:pStyle w:val="1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eastAsia" w:ascii="宋体" w:hAnsi="宋体" w:eastAsia="宋体" w:cs="Times New Roman"/>
          <w:b w:val="0"/>
          <w:bCs w:val="0"/>
          <w:kern w:val="10"/>
          <w:sz w:val="24"/>
          <w:highlight w:val="none"/>
          <w:lang w:val="en-US" w:eastAsia="zh-CN"/>
        </w:rPr>
      </w:pPr>
      <w:r>
        <w:rPr>
          <w:rFonts w:hint="eastAsia" w:cs="Times New Roman"/>
          <w:b w:val="0"/>
          <w:bCs w:val="0"/>
          <w:kern w:val="10"/>
          <w:sz w:val="24"/>
          <w:highlight w:val="none"/>
          <w:lang w:val="en-US" w:eastAsia="zh-CN"/>
        </w:rPr>
        <w:t>1</w:t>
      </w:r>
      <w:r>
        <w:rPr>
          <w:rFonts w:hint="eastAsia" w:ascii="宋体" w:hAnsi="宋体" w:eastAsia="宋体" w:cs="Times New Roman"/>
          <w:b w:val="0"/>
          <w:bCs w:val="0"/>
          <w:kern w:val="10"/>
          <w:sz w:val="24"/>
          <w:highlight w:val="none"/>
          <w:lang w:val="en-US" w:eastAsia="zh-CN"/>
        </w:rPr>
        <w:t>.4.5.2复检样品：采用需方到货验收时的封存样品进行复检。</w:t>
      </w:r>
    </w:p>
    <w:p>
      <w:pPr>
        <w:pStyle w:val="1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eastAsia" w:ascii="宋体" w:hAnsi="宋体" w:eastAsia="宋体" w:cs="Times New Roman"/>
          <w:b w:val="0"/>
          <w:bCs w:val="0"/>
          <w:color w:val="auto"/>
          <w:kern w:val="10"/>
          <w:sz w:val="24"/>
          <w:highlight w:val="none"/>
          <w:lang w:val="en-US" w:eastAsia="zh-CN"/>
        </w:rPr>
      </w:pPr>
      <w:r>
        <w:rPr>
          <w:rFonts w:hint="eastAsia" w:cs="Times New Roman"/>
          <w:b w:val="0"/>
          <w:bCs w:val="0"/>
          <w:color w:val="auto"/>
          <w:kern w:val="10"/>
          <w:sz w:val="24"/>
          <w:highlight w:val="none"/>
          <w:lang w:val="en-US" w:eastAsia="zh-CN"/>
        </w:rPr>
        <w:t>1</w:t>
      </w:r>
      <w:r>
        <w:rPr>
          <w:rFonts w:hint="eastAsia" w:ascii="宋体" w:hAnsi="宋体" w:eastAsia="宋体" w:cs="Times New Roman"/>
          <w:b w:val="0"/>
          <w:bCs w:val="0"/>
          <w:color w:val="auto"/>
          <w:kern w:val="10"/>
          <w:sz w:val="24"/>
          <w:highlight w:val="none"/>
          <w:lang w:val="en-US" w:eastAsia="zh-CN"/>
        </w:rPr>
        <w:t>.4.5.3复检结果的应用：当复检结果在该项指标检测标准规定再现性范围内的，以需方到货验收时检测结果为结算依据，当复检结果超出该项指标检测标准规定再现性范围的，以复检结果为结算依据。</w:t>
      </w:r>
    </w:p>
    <w:p>
      <w:pPr>
        <w:pStyle w:val="1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eastAsia" w:ascii="宋体" w:hAnsi="宋体" w:eastAsia="宋体" w:cs="Times New Roman"/>
          <w:b w:val="0"/>
          <w:bCs w:val="0"/>
          <w:color w:val="auto"/>
          <w:kern w:val="10"/>
          <w:sz w:val="24"/>
          <w:highlight w:val="none"/>
          <w:lang w:val="en-US" w:eastAsia="zh-CN"/>
        </w:rPr>
      </w:pPr>
      <w:r>
        <w:rPr>
          <w:rFonts w:hint="eastAsia" w:cs="Times New Roman"/>
          <w:b w:val="0"/>
          <w:bCs w:val="0"/>
          <w:color w:val="auto"/>
          <w:kern w:val="10"/>
          <w:sz w:val="24"/>
          <w:highlight w:val="none"/>
          <w:lang w:val="en-US" w:eastAsia="zh-CN"/>
        </w:rPr>
        <w:t>1</w:t>
      </w:r>
      <w:r>
        <w:rPr>
          <w:rFonts w:hint="eastAsia" w:ascii="宋体" w:hAnsi="宋体" w:eastAsia="宋体" w:cs="Times New Roman"/>
          <w:b w:val="0"/>
          <w:bCs w:val="0"/>
          <w:color w:val="auto"/>
          <w:kern w:val="10"/>
          <w:sz w:val="24"/>
          <w:highlight w:val="none"/>
          <w:lang w:val="en-US" w:eastAsia="zh-CN"/>
        </w:rPr>
        <w:t>.4.5.4复检费用：在需方实验室进行复检的，复检费用由需方承担；由具有资质的第三方实验室复检的，复检费用由提出异议方承担。</w:t>
      </w:r>
    </w:p>
    <w:p>
      <w:pPr>
        <w:pStyle w:val="1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eastAsia" w:ascii="宋体" w:hAnsi="宋体" w:eastAsia="宋体" w:cs="Times New Roman"/>
          <w:b/>
          <w:kern w:val="10"/>
          <w:sz w:val="24"/>
          <w:szCs w:val="24"/>
          <w:lang w:val="en-US" w:eastAsia="zh-CN" w:bidi="ar-SA"/>
        </w:rPr>
      </w:pPr>
      <w:r>
        <w:rPr>
          <w:rFonts w:hint="eastAsia" w:cs="Times New Roman"/>
          <w:b/>
          <w:kern w:val="10"/>
          <w:sz w:val="24"/>
          <w:szCs w:val="24"/>
          <w:lang w:val="en-US" w:eastAsia="zh-CN" w:bidi="ar-SA"/>
        </w:rPr>
        <w:t>1.4</w:t>
      </w:r>
      <w:r>
        <w:rPr>
          <w:rFonts w:hint="eastAsia" w:ascii="宋体" w:hAnsi="宋体" w:eastAsia="宋体" w:cs="Times New Roman"/>
          <w:b/>
          <w:kern w:val="10"/>
          <w:sz w:val="24"/>
          <w:szCs w:val="24"/>
          <w:lang w:val="en-US" w:eastAsia="zh-CN" w:bidi="ar-SA"/>
        </w:rPr>
        <w:t>.</w:t>
      </w:r>
      <w:r>
        <w:rPr>
          <w:rFonts w:hint="eastAsia" w:cs="Times New Roman"/>
          <w:b/>
          <w:kern w:val="10"/>
          <w:sz w:val="24"/>
          <w:szCs w:val="24"/>
          <w:lang w:val="en-US" w:eastAsia="zh-CN" w:bidi="ar-SA"/>
        </w:rPr>
        <w:t>6</w:t>
      </w:r>
      <w:r>
        <w:rPr>
          <w:rFonts w:hint="eastAsia" w:ascii="宋体" w:hAnsi="宋体" w:eastAsia="宋体" w:cs="Times New Roman"/>
          <w:b/>
          <w:kern w:val="10"/>
          <w:sz w:val="24"/>
          <w:szCs w:val="24"/>
          <w:lang w:val="en-US" w:eastAsia="zh-CN" w:bidi="ar-SA"/>
        </w:rPr>
        <w:t>检验结果的判定</w:t>
      </w:r>
    </w:p>
    <w:p>
      <w:pPr>
        <w:pStyle w:val="1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firstLine="480" w:firstLineChars="200"/>
        <w:jc w:val="left"/>
        <w:textAlignment w:val="auto"/>
        <w:rPr>
          <w:rFonts w:hint="default" w:ascii="宋体" w:hAnsi="宋体" w:eastAsia="宋体" w:cs="Times New Roman"/>
          <w:b w:val="0"/>
          <w:bCs w:val="0"/>
          <w:kern w:val="10"/>
          <w:sz w:val="24"/>
          <w:szCs w:val="24"/>
          <w:lang w:val="en-US" w:eastAsia="zh-CN" w:bidi="ar-SA"/>
        </w:rPr>
      </w:pPr>
      <w:r>
        <w:rPr>
          <w:rFonts w:hint="eastAsia" w:ascii="宋体" w:hAnsi="宋体" w:eastAsia="宋体" w:cs="Times New Roman"/>
          <w:b w:val="0"/>
          <w:bCs w:val="0"/>
          <w:kern w:val="10"/>
          <w:sz w:val="24"/>
          <w:szCs w:val="24"/>
          <w:lang w:val="en-US" w:eastAsia="zh-CN" w:bidi="ar-SA"/>
        </w:rPr>
        <w:t>验收过程中，出现</w:t>
      </w:r>
      <w:r>
        <w:rPr>
          <w:rFonts w:hint="default" w:ascii="宋体" w:hAnsi="宋体" w:eastAsia="宋体" w:cs="Times New Roman"/>
          <w:b w:val="0"/>
          <w:bCs w:val="0"/>
          <w:kern w:val="10"/>
          <w:sz w:val="24"/>
          <w:szCs w:val="24"/>
          <w:lang w:val="en-US" w:eastAsia="zh-CN" w:bidi="ar-SA"/>
        </w:rPr>
        <w:t>任何</w:t>
      </w:r>
      <w:r>
        <w:rPr>
          <w:rFonts w:hint="eastAsia" w:ascii="宋体" w:hAnsi="宋体" w:eastAsia="宋体" w:cs="Times New Roman"/>
          <w:b w:val="0"/>
          <w:bCs w:val="0"/>
          <w:kern w:val="10"/>
          <w:sz w:val="24"/>
          <w:szCs w:val="24"/>
          <w:lang w:val="en-US" w:eastAsia="zh-CN" w:bidi="ar-SA"/>
        </w:rPr>
        <w:t>一</w:t>
      </w:r>
      <w:r>
        <w:rPr>
          <w:rFonts w:hint="default" w:ascii="宋体" w:hAnsi="宋体" w:eastAsia="宋体" w:cs="Times New Roman"/>
          <w:b w:val="0"/>
          <w:bCs w:val="0"/>
          <w:kern w:val="10"/>
          <w:sz w:val="24"/>
          <w:szCs w:val="24"/>
          <w:lang w:val="en-US" w:eastAsia="zh-CN" w:bidi="ar-SA"/>
        </w:rPr>
        <w:t>项</w:t>
      </w:r>
      <w:r>
        <w:rPr>
          <w:rFonts w:hint="eastAsia" w:ascii="宋体" w:hAnsi="宋体" w:eastAsia="宋体" w:cs="Times New Roman"/>
          <w:b w:val="0"/>
          <w:bCs w:val="0"/>
          <w:kern w:val="10"/>
          <w:sz w:val="24"/>
          <w:szCs w:val="24"/>
          <w:lang w:val="en-US" w:eastAsia="zh-CN" w:bidi="ar-SA"/>
        </w:rPr>
        <w:t>质量指标</w:t>
      </w:r>
      <w:r>
        <w:rPr>
          <w:rFonts w:hint="default" w:ascii="宋体" w:hAnsi="宋体" w:eastAsia="宋体" w:cs="Times New Roman"/>
          <w:b w:val="0"/>
          <w:bCs w:val="0"/>
          <w:kern w:val="10"/>
          <w:sz w:val="24"/>
          <w:szCs w:val="24"/>
          <w:lang w:val="en-US" w:eastAsia="zh-CN" w:bidi="ar-SA"/>
        </w:rPr>
        <w:t>不合格，</w:t>
      </w:r>
      <w:r>
        <w:rPr>
          <w:rFonts w:hint="eastAsia" w:ascii="宋体" w:hAnsi="宋体" w:eastAsia="宋体" w:cs="Times New Roman"/>
          <w:b w:val="0"/>
          <w:bCs w:val="0"/>
          <w:kern w:val="10"/>
          <w:sz w:val="24"/>
          <w:szCs w:val="24"/>
          <w:lang w:val="en-US" w:eastAsia="zh-CN" w:bidi="ar-SA"/>
        </w:rPr>
        <w:t>判定该批次石油焦不合格。</w:t>
      </w:r>
    </w:p>
    <w:p>
      <w:pPr>
        <w:pStyle w:val="1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eastAsia" w:ascii="宋体" w:hAnsi="宋体" w:eastAsia="宋体" w:cs="Times New Roman"/>
          <w:b/>
          <w:kern w:val="10"/>
          <w:sz w:val="24"/>
          <w:szCs w:val="24"/>
          <w:lang w:val="en-US" w:eastAsia="zh-CN" w:bidi="ar-SA"/>
        </w:rPr>
      </w:pPr>
      <w:r>
        <w:rPr>
          <w:rFonts w:hint="eastAsia" w:cs="Times New Roman"/>
          <w:b/>
          <w:kern w:val="10"/>
          <w:sz w:val="24"/>
          <w:szCs w:val="24"/>
          <w:lang w:val="en-US" w:eastAsia="zh-CN" w:bidi="ar-SA"/>
        </w:rPr>
        <w:t>1.4</w:t>
      </w:r>
      <w:r>
        <w:rPr>
          <w:rFonts w:hint="eastAsia" w:ascii="宋体" w:hAnsi="宋体" w:eastAsia="宋体" w:cs="Times New Roman"/>
          <w:b/>
          <w:kern w:val="10"/>
          <w:sz w:val="24"/>
          <w:szCs w:val="24"/>
          <w:lang w:val="en-US" w:eastAsia="zh-CN" w:bidi="ar-SA"/>
        </w:rPr>
        <w:t>.</w:t>
      </w:r>
      <w:r>
        <w:rPr>
          <w:rFonts w:hint="eastAsia" w:cs="Times New Roman"/>
          <w:b/>
          <w:kern w:val="10"/>
          <w:sz w:val="24"/>
          <w:szCs w:val="24"/>
          <w:lang w:val="en-US" w:eastAsia="zh-CN" w:bidi="ar-SA"/>
        </w:rPr>
        <w:t>7</w:t>
      </w:r>
      <w:r>
        <w:rPr>
          <w:rFonts w:hint="eastAsia" w:ascii="宋体" w:hAnsi="宋体" w:eastAsia="宋体" w:cs="Times New Roman"/>
          <w:b/>
          <w:kern w:val="10"/>
          <w:sz w:val="24"/>
          <w:szCs w:val="24"/>
          <w:lang w:val="en-US" w:eastAsia="zh-CN" w:bidi="ar-SA"/>
        </w:rPr>
        <w:t>外观质量</w:t>
      </w:r>
    </w:p>
    <w:p>
      <w:pPr>
        <w:pStyle w:val="1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firstLine="480" w:firstLineChars="200"/>
        <w:jc w:val="left"/>
        <w:textAlignment w:val="auto"/>
        <w:rPr>
          <w:rFonts w:hint="default" w:ascii="宋体" w:hAnsi="宋体" w:eastAsia="宋体" w:cs="Times New Roman"/>
          <w:b w:val="0"/>
          <w:bCs w:val="0"/>
          <w:kern w:val="10"/>
          <w:sz w:val="24"/>
          <w:szCs w:val="24"/>
          <w:lang w:val="en-US" w:eastAsia="zh-CN" w:bidi="ar-SA"/>
        </w:rPr>
      </w:pPr>
      <w:r>
        <w:rPr>
          <w:rFonts w:hint="default" w:ascii="宋体" w:hAnsi="宋体" w:eastAsia="宋体" w:cs="Times New Roman"/>
          <w:b w:val="0"/>
          <w:bCs w:val="0"/>
          <w:color w:val="000000" w:themeColor="text1"/>
          <w:kern w:val="10"/>
          <w:sz w:val="24"/>
          <w:szCs w:val="24"/>
          <w:lang w:val="en-US" w:eastAsia="zh-CN" w:bidi="ar-SA"/>
          <w14:textFill>
            <w14:solidFill>
              <w14:schemeClr w14:val="tx1"/>
            </w14:solidFill>
          </w14:textFill>
        </w:rPr>
        <w:t>石油焦中出现焦泥、沥青、弹丸焦</w:t>
      </w:r>
      <w:r>
        <w:rPr>
          <w:rFonts w:hint="eastAsia" w:cs="Times New Roman"/>
          <w:b w:val="0"/>
          <w:bCs w:val="0"/>
          <w:color w:val="000000" w:themeColor="text1"/>
          <w:kern w:val="10"/>
          <w:sz w:val="24"/>
          <w:szCs w:val="24"/>
          <w:lang w:val="en-US" w:eastAsia="zh-CN" w:bidi="ar-SA"/>
          <w14:textFill>
            <w14:solidFill>
              <w14:schemeClr w14:val="tx1"/>
            </w14:solidFill>
          </w14:textFill>
        </w:rPr>
        <w:t>（形状呈圆球形、表面光亮、结构致密）</w:t>
      </w:r>
      <w:r>
        <w:rPr>
          <w:rFonts w:hint="default" w:ascii="宋体" w:hAnsi="宋体" w:eastAsia="宋体" w:cs="Times New Roman"/>
          <w:b w:val="0"/>
          <w:bCs w:val="0"/>
          <w:color w:val="000000" w:themeColor="text1"/>
          <w:kern w:val="10"/>
          <w:sz w:val="24"/>
          <w:szCs w:val="24"/>
          <w:lang w:val="en-US" w:eastAsia="zh-CN" w:bidi="ar-SA"/>
          <w14:textFill>
            <w14:solidFill>
              <w14:schemeClr w14:val="tx1"/>
            </w14:solidFill>
          </w14:textFill>
        </w:rPr>
        <w:t>及非石油焦物质，</w:t>
      </w:r>
      <w:r>
        <w:rPr>
          <w:rFonts w:hint="eastAsia" w:cs="Times New Roman"/>
          <w:b w:val="0"/>
          <w:bCs w:val="0"/>
          <w:color w:val="000000" w:themeColor="text1"/>
          <w:kern w:val="10"/>
          <w:sz w:val="24"/>
          <w:szCs w:val="24"/>
          <w:lang w:val="en-US" w:eastAsia="zh-CN" w:bidi="ar-SA"/>
          <w14:textFill>
            <w14:solidFill>
              <w14:schemeClr w14:val="tx1"/>
            </w14:solidFill>
          </w14:textFill>
        </w:rPr>
        <w:t>作退货处理，因退货对需方造成影响的，由供方承担相关责任及赔偿相应损失。</w:t>
      </w:r>
      <w:r>
        <w:rPr>
          <w:rFonts w:hint="default" w:ascii="宋体" w:hAnsi="宋体" w:eastAsia="宋体" w:cs="Times New Roman"/>
          <w:b w:val="0"/>
          <w:bCs w:val="0"/>
          <w:color w:val="000000" w:themeColor="text1"/>
          <w:kern w:val="10"/>
          <w:sz w:val="24"/>
          <w:szCs w:val="24"/>
          <w:lang w:val="en-US" w:eastAsia="zh-CN" w:bidi="ar-SA"/>
          <w14:textFill>
            <w14:solidFill>
              <w14:schemeClr w14:val="tx1"/>
            </w14:solidFill>
          </w14:textFill>
        </w:rPr>
        <w:tab/>
      </w:r>
      <w:r>
        <w:rPr>
          <w:rFonts w:hint="default" w:ascii="宋体" w:hAnsi="宋体" w:eastAsia="宋体" w:cs="Times New Roman"/>
          <w:b w:val="0"/>
          <w:bCs w:val="0"/>
          <w:kern w:val="10"/>
          <w:sz w:val="24"/>
          <w:szCs w:val="24"/>
          <w:lang w:val="en-US" w:eastAsia="zh-CN" w:bidi="ar-SA"/>
        </w:rPr>
        <w:tab/>
      </w:r>
      <w:r>
        <w:rPr>
          <w:rFonts w:hint="default" w:ascii="宋体" w:hAnsi="宋体" w:eastAsia="宋体" w:cs="Times New Roman"/>
          <w:b w:val="0"/>
          <w:bCs w:val="0"/>
          <w:kern w:val="10"/>
          <w:sz w:val="24"/>
          <w:szCs w:val="24"/>
          <w:lang w:val="en-US" w:eastAsia="zh-CN" w:bidi="ar-SA"/>
        </w:rPr>
        <w:tab/>
      </w:r>
      <w:r>
        <w:rPr>
          <w:rFonts w:hint="default" w:ascii="宋体" w:hAnsi="宋体" w:eastAsia="宋体" w:cs="Times New Roman"/>
          <w:b w:val="0"/>
          <w:bCs w:val="0"/>
          <w:kern w:val="10"/>
          <w:sz w:val="24"/>
          <w:szCs w:val="24"/>
          <w:lang w:val="en-US" w:eastAsia="zh-CN" w:bidi="ar-SA"/>
        </w:rPr>
        <w:tab/>
      </w:r>
      <w:r>
        <w:rPr>
          <w:rFonts w:hint="default" w:ascii="宋体" w:hAnsi="宋体" w:eastAsia="宋体" w:cs="Times New Roman"/>
          <w:b w:val="0"/>
          <w:bCs w:val="0"/>
          <w:kern w:val="10"/>
          <w:sz w:val="24"/>
          <w:szCs w:val="24"/>
          <w:lang w:val="en-US" w:eastAsia="zh-CN" w:bidi="ar-SA"/>
        </w:rPr>
        <w:tab/>
      </w:r>
      <w:r>
        <w:rPr>
          <w:rFonts w:hint="default" w:ascii="宋体" w:hAnsi="宋体" w:eastAsia="宋体" w:cs="Times New Roman"/>
          <w:b w:val="0"/>
          <w:bCs w:val="0"/>
          <w:kern w:val="10"/>
          <w:sz w:val="24"/>
          <w:szCs w:val="24"/>
          <w:lang w:val="en-US" w:eastAsia="zh-CN" w:bidi="ar-SA"/>
        </w:rPr>
        <w:tab/>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kern w:val="10"/>
          <w:sz w:val="24"/>
          <w:lang w:val="en-US" w:eastAsia="zh-CN"/>
        </w:rPr>
      </w:pPr>
      <w:bookmarkStart w:id="5" w:name="_Toc26198"/>
      <w:r>
        <w:rPr>
          <w:rFonts w:hint="eastAsia" w:ascii="宋体" w:hAnsi="宋体" w:eastAsia="宋体" w:cs="宋体"/>
          <w:b/>
          <w:bCs w:val="0"/>
          <w:kern w:val="10"/>
          <w:sz w:val="24"/>
          <w:lang w:val="en-US" w:eastAsia="zh-CN"/>
        </w:rPr>
        <w:t>1.5随行文件</w:t>
      </w:r>
      <w:bookmarkEnd w:id="5"/>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3"/>
        <w:rPr>
          <w:rFonts w:hint="default"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每批到货石油焦应附有质量证明书等，应注明：</w:t>
      </w:r>
      <w:r>
        <w:rPr>
          <w:rFonts w:hint="eastAsia" w:asciiTheme="majorEastAsia" w:hAnsiTheme="majorEastAsia" w:eastAsiaTheme="majorEastAsia" w:cstheme="majorEastAsia"/>
          <w:b w:val="0"/>
          <w:bCs w:val="0"/>
          <w:kern w:val="10"/>
          <w:sz w:val="24"/>
          <w:lang w:val="en-US" w:eastAsia="zh-CN"/>
        </w:rPr>
        <w:t>①</w:t>
      </w:r>
      <w:r>
        <w:rPr>
          <w:rFonts w:hint="eastAsia" w:ascii="宋体" w:hAnsi="宋体" w:eastAsia="宋体" w:cs="Times New Roman"/>
          <w:b w:val="0"/>
          <w:bCs w:val="0"/>
          <w:kern w:val="10"/>
          <w:sz w:val="24"/>
          <w:lang w:val="en-US" w:eastAsia="zh-CN"/>
        </w:rPr>
        <w:t>供方信息；</w:t>
      </w:r>
      <w:r>
        <w:rPr>
          <w:rFonts w:hint="eastAsia" w:asciiTheme="majorEastAsia" w:hAnsiTheme="majorEastAsia" w:eastAsiaTheme="majorEastAsia" w:cstheme="majorEastAsia"/>
          <w:b w:val="0"/>
          <w:bCs w:val="0"/>
          <w:kern w:val="10"/>
          <w:sz w:val="24"/>
          <w:lang w:val="en-US" w:eastAsia="zh-CN"/>
        </w:rPr>
        <w:t>②</w:t>
      </w:r>
      <w:r>
        <w:rPr>
          <w:rFonts w:hint="eastAsia" w:ascii="宋体" w:hAnsi="宋体" w:eastAsia="宋体" w:cs="Times New Roman"/>
          <w:b w:val="0"/>
          <w:bCs w:val="0"/>
          <w:kern w:val="10"/>
          <w:sz w:val="24"/>
          <w:lang w:val="en-US" w:eastAsia="zh-CN"/>
        </w:rPr>
        <w:t>产品名称和牌号；</w:t>
      </w:r>
      <w:r>
        <w:rPr>
          <w:rFonts w:hint="eastAsia" w:asciiTheme="majorEastAsia" w:hAnsiTheme="majorEastAsia" w:eastAsiaTheme="majorEastAsia" w:cstheme="majorEastAsia"/>
          <w:b w:val="0"/>
          <w:bCs w:val="0"/>
          <w:kern w:val="10"/>
          <w:sz w:val="24"/>
          <w:lang w:val="en-US" w:eastAsia="zh-CN"/>
        </w:rPr>
        <w:t>③</w:t>
      </w:r>
      <w:r>
        <w:rPr>
          <w:rFonts w:hint="eastAsia" w:ascii="宋体" w:hAnsi="宋体" w:eastAsia="宋体" w:cs="Times New Roman"/>
          <w:b w:val="0"/>
          <w:bCs w:val="0"/>
          <w:kern w:val="10"/>
          <w:sz w:val="24"/>
          <w:lang w:val="en-US" w:eastAsia="zh-CN"/>
        </w:rPr>
        <w:t>批号、净含量；</w:t>
      </w:r>
      <w:r>
        <w:rPr>
          <w:rFonts w:hint="eastAsia" w:ascii="宋体" w:hAnsi="宋体" w:eastAsia="宋体" w:cs="宋体"/>
          <w:b w:val="0"/>
          <w:bCs w:val="0"/>
          <w:kern w:val="10"/>
          <w:sz w:val="24"/>
          <w:lang w:val="en-US" w:eastAsia="zh-CN"/>
        </w:rPr>
        <w:t>④</w:t>
      </w:r>
      <w:r>
        <w:rPr>
          <w:rFonts w:hint="eastAsia" w:ascii="宋体" w:hAnsi="宋体" w:eastAsia="宋体" w:cs="Times New Roman"/>
          <w:b w:val="0"/>
          <w:bCs w:val="0"/>
          <w:kern w:val="10"/>
          <w:sz w:val="24"/>
          <w:lang w:val="en-US" w:eastAsia="zh-CN"/>
        </w:rPr>
        <w:t>分析检验结果及供方技术（质量）监督部门印记；</w:t>
      </w:r>
      <w:r>
        <w:rPr>
          <w:rFonts w:hint="eastAsia" w:ascii="宋体" w:hAnsi="宋体" w:eastAsia="宋体" w:cs="宋体"/>
          <w:b w:val="0"/>
          <w:bCs w:val="0"/>
          <w:kern w:val="10"/>
          <w:sz w:val="24"/>
          <w:lang w:val="en-US" w:eastAsia="zh-CN"/>
        </w:rPr>
        <w:t>⑤</w:t>
      </w:r>
      <w:r>
        <w:rPr>
          <w:rFonts w:hint="eastAsia" w:ascii="宋体" w:hAnsi="宋体" w:eastAsia="宋体" w:cs="Times New Roman"/>
          <w:b w:val="0"/>
          <w:bCs w:val="0"/>
          <w:kern w:val="10"/>
          <w:sz w:val="24"/>
          <w:lang w:val="en-US" w:eastAsia="zh-CN"/>
        </w:rPr>
        <w:t>执行标准号；</w:t>
      </w:r>
      <w:r>
        <w:rPr>
          <w:rFonts w:hint="eastAsia" w:ascii="宋体" w:hAnsi="宋体" w:eastAsia="宋体" w:cs="宋体"/>
          <w:b w:val="0"/>
          <w:bCs w:val="0"/>
          <w:kern w:val="10"/>
          <w:sz w:val="24"/>
          <w:lang w:val="en-US" w:eastAsia="zh-CN"/>
        </w:rPr>
        <w:t>⑥</w:t>
      </w:r>
      <w:r>
        <w:rPr>
          <w:rFonts w:hint="eastAsia" w:ascii="宋体" w:hAnsi="宋体" w:eastAsia="宋体" w:cs="Times New Roman"/>
          <w:b w:val="0"/>
          <w:bCs w:val="0"/>
          <w:kern w:val="10"/>
          <w:sz w:val="24"/>
          <w:lang w:val="en-US" w:eastAsia="zh-CN"/>
        </w:rPr>
        <w:t>生产日期。</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kern w:val="10"/>
          <w:sz w:val="24"/>
          <w:lang w:val="en-US" w:eastAsia="zh-CN"/>
        </w:rPr>
      </w:pPr>
      <w:bookmarkStart w:id="6" w:name="_Toc20013"/>
      <w:r>
        <w:rPr>
          <w:rFonts w:hint="eastAsia" w:ascii="宋体" w:hAnsi="宋体" w:eastAsia="宋体" w:cs="宋体"/>
          <w:b/>
          <w:bCs w:val="0"/>
          <w:kern w:val="10"/>
          <w:sz w:val="24"/>
          <w:lang w:val="en-US" w:eastAsia="zh-CN"/>
        </w:rPr>
        <w:t>1.6包装、运输和贮存</w:t>
      </w:r>
      <w:bookmarkEnd w:id="6"/>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1.6.1石油焦发运时，车厢内应清扫干净。不同焦种的石油焦不应混装。</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1.6.2石油焦应分批堆放在清洁、干燥的仓库内，不应污染。</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宋体"/>
          <w:b/>
          <w:bCs w:val="0"/>
          <w:color w:val="auto"/>
          <w:kern w:val="10"/>
          <w:sz w:val="24"/>
          <w:lang w:val="en-US" w:eastAsia="zh-CN"/>
        </w:rPr>
      </w:pPr>
      <w:r>
        <w:rPr>
          <w:rFonts w:hint="eastAsia" w:ascii="宋体" w:hAnsi="宋体" w:eastAsia="宋体" w:cs="Times New Roman"/>
          <w:b w:val="0"/>
          <w:bCs w:val="0"/>
          <w:kern w:val="10"/>
          <w:sz w:val="24"/>
          <w:lang w:val="en-US" w:eastAsia="zh-CN"/>
        </w:rPr>
        <w:t>1.6.3石油焦运输过程应做好防雨、防尘防护。</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color w:val="auto"/>
          <w:kern w:val="10"/>
          <w:sz w:val="24"/>
          <w:lang w:val="en-US" w:eastAsia="zh-CN"/>
        </w:rPr>
      </w:pPr>
      <w:bookmarkStart w:id="7" w:name="_Toc735"/>
      <w:r>
        <w:rPr>
          <w:rFonts w:hint="eastAsia" w:ascii="宋体" w:hAnsi="宋体" w:eastAsia="宋体" w:cs="宋体"/>
          <w:b/>
          <w:bCs w:val="0"/>
          <w:color w:val="auto"/>
          <w:kern w:val="10"/>
          <w:sz w:val="24"/>
          <w:lang w:val="en-US" w:eastAsia="zh-CN"/>
        </w:rPr>
        <w:t>1.7扣款细则</w:t>
      </w:r>
      <w:bookmarkEnd w:id="7"/>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当供方供应的石油焦不合格时，如需方同意接收使用的，按以下扣款细则进行扣款，否则进行退货处理。</w:t>
      </w:r>
    </w:p>
    <w:p>
      <w:pPr>
        <w:keepNext w:val="0"/>
        <w:keepLines w:val="0"/>
        <w:pageBreakBefore w:val="0"/>
        <w:widowControl w:val="0"/>
        <w:kinsoku/>
        <w:wordWrap/>
        <w:overflowPunct/>
        <w:topLinePunct w:val="0"/>
        <w:autoSpaceDE/>
        <w:autoSpaceDN/>
        <w:bidi w:val="0"/>
        <w:adjustRightInd/>
        <w:snapToGrid/>
        <w:spacing w:line="500" w:lineRule="exact"/>
        <w:ind w:firstLine="3360" w:firstLineChars="1400"/>
        <w:textAlignment w:val="auto"/>
        <w:outlineLvl w:val="3"/>
        <w:rPr>
          <w:rFonts w:hint="eastAsia" w:ascii="宋体" w:hAnsi="宋体" w:eastAsia="宋体" w:cs="宋体"/>
          <w:b w:val="0"/>
          <w:bCs w:val="0"/>
          <w:color w:val="auto"/>
          <w:kern w:val="10"/>
          <w:sz w:val="24"/>
          <w:szCs w:val="22"/>
          <w:lang w:val="en-US" w:eastAsia="zh-CN" w:bidi="ar-SA"/>
        </w:rPr>
      </w:pPr>
      <w:r>
        <w:rPr>
          <w:rFonts w:hint="eastAsia" w:ascii="宋体" w:hAnsi="宋体" w:eastAsia="宋体" w:cs="宋体"/>
          <w:b w:val="0"/>
          <w:bCs w:val="0"/>
          <w:color w:val="auto"/>
          <w:kern w:val="10"/>
          <w:sz w:val="24"/>
          <w:szCs w:val="22"/>
          <w:lang w:val="en-US" w:eastAsia="zh-CN" w:bidi="ar-SA"/>
        </w:rPr>
        <w:t>表2：石油焦质量扣款细则</w:t>
      </w:r>
    </w:p>
    <w:p>
      <w:pPr>
        <w:pStyle w:val="2"/>
        <w:rPr>
          <w:rFonts w:hint="eastAsia"/>
          <w:lang w:val="en-US" w:eastAsia="zh-CN"/>
        </w:rPr>
      </w:pPr>
    </w:p>
    <w:tbl>
      <w:tblPr>
        <w:tblStyle w:val="7"/>
        <w:tblW w:w="979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0"/>
        <w:gridCol w:w="1245"/>
        <w:gridCol w:w="1080"/>
        <w:gridCol w:w="1545"/>
        <w:gridCol w:w="1969"/>
        <w:gridCol w:w="1080"/>
        <w:gridCol w:w="21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blHeader/>
          <w:jc w:val="center"/>
        </w:trPr>
        <w:tc>
          <w:tcPr>
            <w:tcW w:w="979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石油焦质量</w:t>
            </w:r>
            <w:r>
              <w:rPr>
                <w:rFonts w:hint="eastAsia" w:ascii="宋体" w:hAnsi="宋体" w:cs="宋体"/>
                <w:b/>
                <w:bCs/>
                <w:i w:val="0"/>
                <w:iCs w:val="0"/>
                <w:color w:val="000000"/>
                <w:kern w:val="0"/>
                <w:sz w:val="21"/>
                <w:szCs w:val="21"/>
                <w:highlight w:val="none"/>
                <w:u w:val="none"/>
                <w:lang w:val="en-US" w:eastAsia="zh-CN" w:bidi="ar"/>
              </w:rPr>
              <w:t>扣款</w:t>
            </w:r>
            <w:r>
              <w:rPr>
                <w:rFonts w:hint="eastAsia" w:ascii="宋体" w:hAnsi="宋体" w:eastAsia="宋体" w:cs="宋体"/>
                <w:b/>
                <w:bCs/>
                <w:i w:val="0"/>
                <w:iCs w:val="0"/>
                <w:color w:val="000000"/>
                <w:kern w:val="0"/>
                <w:sz w:val="21"/>
                <w:szCs w:val="21"/>
                <w:highlight w:val="none"/>
                <w:u w:val="none"/>
                <w:lang w:val="en-US" w:eastAsia="zh-CN" w:bidi="ar"/>
              </w:rPr>
              <w:t>细则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blHeader/>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序号</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firstLine="211" w:firstLineChars="10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子项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合格标准</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让步接收标准</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cs="宋体"/>
                <w:b/>
                <w:bCs/>
                <w:i w:val="0"/>
                <w:iCs w:val="0"/>
                <w:color w:val="000000"/>
                <w:kern w:val="0"/>
                <w:sz w:val="21"/>
                <w:szCs w:val="21"/>
                <w:highlight w:val="none"/>
                <w:u w:val="none"/>
                <w:lang w:val="en-US" w:eastAsia="zh-CN" w:bidi="ar"/>
              </w:rPr>
              <w:t>让步接收</w:t>
            </w:r>
            <w:r>
              <w:rPr>
                <w:rFonts w:hint="eastAsia" w:ascii="宋体" w:hAnsi="宋体" w:eastAsia="宋体" w:cs="宋体"/>
                <w:b/>
                <w:bCs/>
                <w:i w:val="0"/>
                <w:iCs w:val="0"/>
                <w:color w:val="000000"/>
                <w:kern w:val="0"/>
                <w:sz w:val="21"/>
                <w:szCs w:val="21"/>
                <w:highlight w:val="none"/>
                <w:u w:val="none"/>
                <w:lang w:val="en-US" w:eastAsia="zh-CN" w:bidi="ar"/>
              </w:rPr>
              <w:t>扣款标准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退货标准</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达退货标准，但</w:t>
            </w:r>
            <w:r>
              <w:rPr>
                <w:rFonts w:hint="eastAsia" w:ascii="宋体" w:hAnsi="宋体" w:cs="宋体"/>
                <w:b/>
                <w:bCs/>
                <w:i w:val="0"/>
                <w:iCs w:val="0"/>
                <w:color w:val="000000"/>
                <w:kern w:val="0"/>
                <w:sz w:val="21"/>
                <w:szCs w:val="21"/>
                <w:highlight w:val="none"/>
                <w:u w:val="none"/>
                <w:lang w:val="en-US" w:eastAsia="zh-CN" w:bidi="ar"/>
              </w:rPr>
              <w:t>已卸货无法退货</w:t>
            </w:r>
            <w:r>
              <w:rPr>
                <w:rFonts w:hint="eastAsia" w:ascii="宋体" w:hAnsi="宋体" w:eastAsia="宋体" w:cs="宋体"/>
                <w:b/>
                <w:bCs/>
                <w:i w:val="0"/>
                <w:iCs w:val="0"/>
                <w:color w:val="000000"/>
                <w:kern w:val="0"/>
                <w:sz w:val="21"/>
                <w:szCs w:val="21"/>
                <w:highlight w:val="none"/>
                <w:u w:val="none"/>
                <w:lang w:val="en-US" w:eastAsia="zh-CN" w:bidi="ar"/>
              </w:rPr>
              <w:t>扣款标准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jc w:val="center"/>
        </w:trPr>
        <w:tc>
          <w:tcPr>
            <w:tcW w:w="75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w:t>
            </w:r>
          </w:p>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245"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fill="FFFFFF" w:themeFill="background1"/>
              <w:tabs>
                <w:tab w:val="left" w:pos="455"/>
              </w:tabs>
              <w:kinsoku/>
              <w:wordWrap/>
              <w:overflowPunct/>
              <w:topLinePunct w:val="0"/>
              <w:autoSpaceDE/>
              <w:autoSpaceDN/>
              <w:bidi w:val="0"/>
              <w:adjustRightInd/>
              <w:snapToGrid/>
              <w:spacing w:line="380" w:lineRule="exact"/>
              <w:ind w:left="0" w:firstLine="210" w:firstLineChars="100"/>
              <w:jc w:val="left"/>
              <w:textAlignment w:val="center"/>
              <w:rPr>
                <w:rFonts w:hint="default"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硫含量</w:t>
            </w:r>
            <w:r>
              <w:rPr>
                <w:rFonts w:hint="eastAsia" w:ascii="宋体" w:hAnsi="宋体" w:eastAsia="宋体" w:cs="宋体"/>
                <w:b w:val="0"/>
                <w:bCs w:val="0"/>
                <w:i w:val="0"/>
                <w:iCs w:val="0"/>
                <w:color w:val="auto"/>
                <w:kern w:val="0"/>
                <w:sz w:val="21"/>
                <w:szCs w:val="21"/>
                <w:highlight w:val="none"/>
                <w:u w:val="none"/>
                <w:lang w:val="en-US" w:eastAsia="zh-CN" w:bidi="ar"/>
              </w:rPr>
              <w:t>（根据实际焦种硫含量确定指标范围，并在合同中约定）</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≤6.0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6.0＜x≤6.5</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x＞6.5</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jc w:val="center"/>
        </w:trPr>
        <w:tc>
          <w:tcPr>
            <w:tcW w:w="75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245" w:type="dxa"/>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5.0＜x≤5.5</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x＞5.5</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jc w:val="center"/>
        </w:trPr>
        <w:tc>
          <w:tcPr>
            <w:tcW w:w="75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245" w:type="dxa"/>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≤4.0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4.0＜x≤4.5</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x＞4.5</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jc w:val="center"/>
        </w:trPr>
        <w:tc>
          <w:tcPr>
            <w:tcW w:w="75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245" w:type="dxa"/>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≤3.0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3.0＜x≤3.5</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x＞3.5</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jc w:val="center"/>
        </w:trPr>
        <w:tc>
          <w:tcPr>
            <w:tcW w:w="75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245" w:type="dxa"/>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2.0＜x≤2.5</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x＞2.5</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jc w:val="center"/>
        </w:trPr>
        <w:tc>
          <w:tcPr>
            <w:tcW w:w="750" w:type="dxa"/>
            <w:vMerge w:val="continue"/>
            <w:tcBorders>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245" w:type="dxa"/>
            <w:vMerge w:val="continue"/>
            <w:tcBorders>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yellow"/>
                <w:u w:val="none"/>
                <w:lang w:val="en-US" w:eastAsia="zh-CN" w:bidi="ar"/>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yellow"/>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yellow"/>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1.0＜x≤1.5</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x＞1.5</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2</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灰分%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≤0.5</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0.5＜x≤0.7</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x＞0.7</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3</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挥发分%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≤10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10＜x≤12</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auto"/>
                <w:sz w:val="21"/>
                <w:szCs w:val="21"/>
                <w:highlight w:val="none"/>
                <w:u w:val="none"/>
                <w:lang w:val="en-US" w:eastAsia="zh-CN"/>
              </w:rPr>
            </w:pPr>
            <w:r>
              <w:rPr>
                <w:rFonts w:hint="eastAsia" w:ascii="宋体" w:hAnsi="宋体" w:eastAsia="宋体" w:cs="宋体"/>
                <w:b w:val="0"/>
                <w:bCs w:val="0"/>
                <w:i w:val="0"/>
                <w:iCs w:val="0"/>
                <w:color w:val="auto"/>
                <w:sz w:val="21"/>
                <w:szCs w:val="21"/>
                <w:highlight w:val="none"/>
                <w:u w:val="none"/>
                <w:lang w:val="en-US" w:eastAsia="zh-CN"/>
              </w:rPr>
              <w:t>每超1，每吨扣单价的1%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x＞12</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auto"/>
                <w:sz w:val="21"/>
                <w:szCs w:val="21"/>
                <w:highlight w:val="none"/>
                <w:u w:val="none"/>
                <w:lang w:val="en-US"/>
              </w:rPr>
            </w:pPr>
            <w:r>
              <w:rPr>
                <w:rFonts w:hint="eastAsia" w:ascii="宋体" w:hAnsi="宋体" w:eastAsia="宋体" w:cs="宋体"/>
                <w:b w:val="0"/>
                <w:bCs w:val="0"/>
                <w:i w:val="0"/>
                <w:iCs w:val="0"/>
                <w:color w:val="auto"/>
                <w:sz w:val="21"/>
                <w:szCs w:val="21"/>
                <w:highlight w:val="none"/>
                <w:u w:val="none"/>
                <w:lang w:val="en-US" w:eastAsia="zh-CN"/>
              </w:rPr>
              <w:t>每超1，每吨扣单价的3%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8"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4</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sz w:val="21"/>
                <w:szCs w:val="21"/>
                <w:highlight w:val="none"/>
                <w:u w:val="none"/>
                <w:lang w:val="en-US"/>
              </w:rPr>
            </w:pPr>
            <w:r>
              <w:rPr>
                <w:rFonts w:hint="eastAsia" w:ascii="宋体" w:hAnsi="宋体" w:eastAsia="宋体" w:cs="宋体"/>
                <w:b w:val="0"/>
                <w:bCs w:val="0"/>
                <w:i w:val="0"/>
                <w:iCs w:val="0"/>
                <w:color w:val="auto"/>
                <w:kern w:val="0"/>
                <w:sz w:val="21"/>
                <w:szCs w:val="21"/>
                <w:highlight w:val="none"/>
                <w:u w:val="none"/>
                <w:lang w:val="en-US" w:eastAsia="zh-CN" w:bidi="ar"/>
              </w:rPr>
              <w:t>粉焦量（&lt;8mm）%</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≤55</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55＜x≤60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x＞60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每超1，每吨扣单价的1%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5</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水分%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≤8.0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8.0＜x≤10.0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x＞10.0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cyan"/>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每超1，每吨扣单价的3%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jc w:val="center"/>
        </w:trPr>
        <w:tc>
          <w:tcPr>
            <w:tcW w:w="75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6</w:t>
            </w:r>
          </w:p>
        </w:tc>
        <w:tc>
          <w:tcPr>
            <w:tcW w:w="124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钒含量%（根据实际焦种钒含量确定指标范围，并在合同中约定）</w:t>
            </w:r>
          </w:p>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≤600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600＜x≤700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x＞700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jc w:val="center"/>
        </w:trPr>
        <w:tc>
          <w:tcPr>
            <w:tcW w:w="75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p>
        </w:tc>
        <w:tc>
          <w:tcPr>
            <w:tcW w:w="1245"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≤500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500＜x≤600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x＞600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jc w:val="center"/>
        </w:trPr>
        <w:tc>
          <w:tcPr>
            <w:tcW w:w="750" w:type="dxa"/>
            <w:vMerge w:val="continue"/>
            <w:tcBorders>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p>
        </w:tc>
        <w:tc>
          <w:tcPr>
            <w:tcW w:w="1245" w:type="dxa"/>
            <w:vMerge w:val="continue"/>
            <w:tcBorders>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≤400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400＜x≤450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x＞450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jc w:val="center"/>
        </w:trPr>
        <w:tc>
          <w:tcPr>
            <w:tcW w:w="7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p>
        </w:tc>
        <w:tc>
          <w:tcPr>
            <w:tcW w:w="124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≤300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300＜x≤350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x＞350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jc w:val="center"/>
        </w:trPr>
        <w:tc>
          <w:tcPr>
            <w:tcW w:w="7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p>
        </w:tc>
        <w:tc>
          <w:tcPr>
            <w:tcW w:w="124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magenta"/>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200＜x≤250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magenta"/>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magenta"/>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x＞250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magenta"/>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4" w:hRule="atLeast"/>
          <w:jc w:val="center"/>
        </w:trPr>
        <w:tc>
          <w:tcPr>
            <w:tcW w:w="7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p>
        </w:tc>
        <w:tc>
          <w:tcPr>
            <w:tcW w:w="124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magenta"/>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100＜x≤150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magenta"/>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magenta"/>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x＞150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magenta"/>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5" w:hRule="atLeast"/>
          <w:jc w:val="center"/>
        </w:trPr>
        <w:tc>
          <w:tcPr>
            <w:tcW w:w="75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7</w:t>
            </w:r>
          </w:p>
        </w:tc>
        <w:tc>
          <w:tcPr>
            <w:tcW w:w="124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铁含量（ppm）</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≤400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400＜x≤450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x＞450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 1ppm，每吨扣单价的0.4%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5"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8</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硅含量（ppm）</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≤300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300＜x≤350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x＞350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 1ppm，每吨扣单价的0.4%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5"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9</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钠含量（ppm）</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≤300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300＜x≤350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x＞350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 1ppm，每吨扣单价的0.4%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10</w:t>
            </w:r>
          </w:p>
        </w:tc>
        <w:tc>
          <w:tcPr>
            <w:tcW w:w="904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石油焦含有杂质、弹丸焦的，作退货处理，因退货对需方造成影响的，由供方承担相关责任，赔偿所造成的损失。</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ab/>
            </w:r>
            <w:r>
              <w:rPr>
                <w:rFonts w:hint="eastAsia" w:ascii="宋体" w:hAnsi="宋体" w:eastAsia="宋体" w:cs="宋体"/>
                <w:b w:val="0"/>
                <w:bCs w:val="0"/>
                <w:color w:val="000000" w:themeColor="text1"/>
                <w:kern w:val="10"/>
                <w:sz w:val="21"/>
                <w:szCs w:val="21"/>
                <w:highlight w:val="none"/>
                <w:lang w:val="en-US" w:eastAsia="zh-CN" w:bidi="ar-SA"/>
                <w14:textFill>
                  <w14:solidFill>
                    <w14:schemeClr w14:val="tx1"/>
                  </w14:solidFill>
                </w14:textFill>
              </w:rPr>
              <w:tab/>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979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hanging="630" w:hangingChars="300"/>
              <w:jc w:val="left"/>
              <w:textAlignment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注：1.</w:t>
            </w:r>
            <w:r>
              <w:rPr>
                <w:rFonts w:ascii="宋体" w:hAnsi="宋体" w:eastAsia="宋体" w:cs="宋体"/>
                <w:sz w:val="21"/>
                <w:szCs w:val="21"/>
                <w:highlight w:val="none"/>
              </w:rPr>
              <w:t>扣</w:t>
            </w:r>
            <w:r>
              <w:rPr>
                <w:rFonts w:hint="eastAsia" w:ascii="宋体" w:hAnsi="宋体" w:eastAsia="宋体" w:cs="宋体"/>
                <w:sz w:val="21"/>
                <w:szCs w:val="21"/>
                <w:highlight w:val="none"/>
                <w:lang w:val="en-US" w:eastAsia="zh-CN"/>
              </w:rPr>
              <w:t>款</w:t>
            </w:r>
            <w:r>
              <w:rPr>
                <w:rFonts w:ascii="宋体" w:hAnsi="宋体" w:eastAsia="宋体" w:cs="宋体"/>
                <w:sz w:val="21"/>
                <w:szCs w:val="21"/>
                <w:highlight w:val="none"/>
              </w:rPr>
              <w:t>只扣完该组批总</w:t>
            </w:r>
            <w:r>
              <w:rPr>
                <w:rFonts w:hint="eastAsia" w:ascii="宋体" w:hAnsi="宋体" w:eastAsia="宋体" w:cs="宋体"/>
                <w:sz w:val="21"/>
                <w:szCs w:val="21"/>
                <w:highlight w:val="none"/>
                <w:lang w:eastAsia="zh-CN"/>
              </w:rPr>
              <w:t>金额</w:t>
            </w:r>
            <w:r>
              <w:rPr>
                <w:rFonts w:ascii="宋体" w:hAnsi="宋体" w:eastAsia="宋体" w:cs="宋体"/>
                <w:sz w:val="21"/>
                <w:szCs w:val="21"/>
                <w:highlight w:val="none"/>
              </w:rPr>
              <w:t>为止，不延伸到扣减其它组批</w:t>
            </w:r>
            <w:r>
              <w:rPr>
                <w:rFonts w:hint="eastAsia" w:ascii="宋体" w:hAnsi="宋体" w:eastAsia="宋体" w:cs="宋体"/>
                <w:sz w:val="21"/>
                <w:szCs w:val="21"/>
                <w:highlight w:val="none"/>
                <w:lang w:eastAsia="zh-CN"/>
              </w:rPr>
              <w:t>金额</w:t>
            </w:r>
            <w:r>
              <w:rPr>
                <w:rFonts w:ascii="宋体" w:hAnsi="宋体" w:eastAsia="宋体" w:cs="宋体"/>
                <w:sz w:val="21"/>
                <w:szCs w:val="21"/>
                <w:highlight w:val="none"/>
              </w:rPr>
              <w:t>（即扣</w:t>
            </w:r>
            <w:r>
              <w:rPr>
                <w:rFonts w:hint="eastAsia" w:ascii="宋体" w:hAnsi="宋体" w:eastAsia="宋体" w:cs="宋体"/>
                <w:sz w:val="21"/>
                <w:szCs w:val="21"/>
                <w:highlight w:val="none"/>
                <w:lang w:eastAsia="zh-CN"/>
              </w:rPr>
              <w:t>款</w:t>
            </w:r>
            <w:r>
              <w:rPr>
                <w:rFonts w:ascii="宋体" w:hAnsi="宋体" w:eastAsia="宋体" w:cs="宋体"/>
                <w:sz w:val="21"/>
                <w:szCs w:val="21"/>
                <w:highlight w:val="none"/>
              </w:rPr>
              <w:t>不扣减到负数），但若为供方恶意掺杂使假的，通过专题会议评审后，按合同约定进行违约处</w:t>
            </w:r>
            <w:r>
              <w:rPr>
                <w:rFonts w:hint="eastAsia" w:ascii="宋体" w:hAnsi="宋体" w:eastAsia="宋体" w:cs="宋体"/>
                <w:sz w:val="21"/>
                <w:szCs w:val="21"/>
                <w:highlight w:val="none"/>
                <w:lang w:val="en-US" w:eastAsia="zh-CN"/>
              </w:rPr>
              <w:t>罚</w:t>
            </w:r>
            <w:r>
              <w:rPr>
                <w:rFonts w:ascii="宋体" w:hAnsi="宋体" w:eastAsia="宋体" w:cs="宋体"/>
                <w:sz w:val="21"/>
                <w:szCs w:val="21"/>
                <w:highlight w:val="none"/>
              </w:rPr>
              <w:t>。</w:t>
            </w:r>
          </w:p>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hanging="630" w:hangingChars="300"/>
              <w:jc w:val="left"/>
              <w:textAlignment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 xml:space="preserve">    2.扣款不分段计算。</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lZWIyMGI0Mzg5MjA4NDU0YTZjMmU1Zjk2ZmQ0NzIifQ=="/>
  </w:docVars>
  <w:rsids>
    <w:rsidRoot w:val="279D701A"/>
    <w:rsid w:val="279D70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10"/>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Default"/>
    <w:basedOn w:val="3"/>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3">
    <w:name w:val="纯文本1"/>
    <w:basedOn w:val="1"/>
    <w:qFormat/>
    <w:uiPriority w:val="0"/>
    <w:pPr>
      <w:textAlignment w:val="baseline"/>
    </w:pPr>
    <w:rPr>
      <w:rFonts w:hAnsi="Courier New" w:cs="Times New Roman"/>
    </w:rPr>
  </w:style>
  <w:style w:type="paragraph" w:styleId="5">
    <w:name w:val="annotation text"/>
    <w:basedOn w:val="1"/>
    <w:qFormat/>
    <w:uiPriority w:val="0"/>
    <w:pPr>
      <w:jc w:val="left"/>
    </w:pPr>
  </w:style>
  <w:style w:type="paragraph" w:styleId="6">
    <w:name w:val="Body Text"/>
    <w:basedOn w:val="1"/>
    <w:qFormat/>
    <w:uiPriority w:val="1"/>
    <w:rPr>
      <w:rFonts w:ascii="宋体" w:hAnsi="宋体" w:eastAsia="宋体" w:cs="宋体"/>
      <w:sz w:val="19"/>
      <w:szCs w:val="19"/>
    </w:rPr>
  </w:style>
  <w:style w:type="paragraph" w:customStyle="1" w:styleId="9">
    <w:name w:val="正文1"/>
    <w:basedOn w:val="1"/>
    <w:qFormat/>
    <w:uiPriority w:val="0"/>
    <w:pPr>
      <w:adjustRightInd w:val="0"/>
      <w:spacing w:line="360" w:lineRule="atLeast"/>
      <w:jc w:val="left"/>
    </w:pPr>
    <w:rPr>
      <w:rFonts w:ascii="宋体"/>
      <w:kern w:val="0"/>
      <w:sz w:val="24"/>
    </w:rPr>
  </w:style>
  <w:style w:type="character" w:customStyle="1" w:styleId="10">
    <w:name w:val="标题 1 Char"/>
    <w:link w:val="4"/>
    <w:qFormat/>
    <w:uiPriority w:val="0"/>
    <w:rPr>
      <w:b/>
      <w:kern w:val="44"/>
      <w:sz w:val="44"/>
    </w:rPr>
  </w:style>
  <w:style w:type="paragraph" w:styleId="11">
    <w:name w:val="List Paragraph"/>
    <w:basedOn w:val="1"/>
    <w:qFormat/>
    <w:uiPriority w:val="1"/>
    <w:pPr>
      <w:ind w:left="1068" w:hanging="408"/>
    </w:pPr>
    <w:rPr>
      <w:rFonts w:ascii="宋体" w:hAnsi="宋体" w:eastAsia="宋体" w:cs="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2024-07-19T08:16:00Z</dcterms:created>
  <dc:creator>邓琪翔</dc:creator>
  <cp:lastModifiedBy>邓琪翔</cp:lastModifiedBy>
  <dcterms:modified xsi:type="dcterms:W3CDTF">2024-07-19T08:17:45Z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DC71364AE7714B7191DA02A6FEA7ED2F_11</vt:lpwstr>
  </property>
  <property fmtid="{D5CDD505-2E9C-101B-9397-08002B2CF9AE}" pid="4" name="EagleCloud">
    <vt:lpwstr>61676334b4e8422151e43967553014381f5e06876ebe2bbce66cedec39aecaac7d38f4a188ee032ed1e8ff2b0bf1df312528b176239201ee7bb42d7e37365bb97981cb6029295712c817adac33a3f2d4b0cabb2a49ea1dc0f6fefd90646216cad4345b59d1cada21190c019e082c0e5437787c87066fd0c65d93167e1161fa9</vt:lpwstr>
  </property>
  <property fmtid="{D5CDD505-2E9C-101B-9397-08002B2CF9AE}" pid="5" name="EagleCloud1">
    <vt:lpwstr>62668db91c1b440c9592c29399dc6bbbff59bcbab3b7a4ccd221b2bfb3d87112f7f072c2fe95102c4b2380415f2ac57da4c8ee267b8c253f0612ef003f4dc131fbed285a0187f09bfe44a8f70e128cbfb0dc8aaa42089648d63fcde9e2638abfd7ceb22f5704e7c1f2ad75253bb975beb7cdb364b4915021746e6845aca8e20</vt:lpwstr>
  </property>
  <property fmtid="{D5CDD505-2E9C-101B-9397-08002B2CF9AE}" pid="6" name="EagleCloud2">
    <vt:lpwstr>053e0b059fe66a41c4509345e63de103ff5daf464e7bca13f094f8d1d813b29ed78fbd8df37601740f0f3b9b9ab666edd13bff1ea64433a0aed6f01ce50651eb1e9bd5f3db45e7ea7648ee3265a777dd7dcd31af71183f1b085b984eb60576a69cb3eef103443bb28d5bd46e3321af3fb1c6f0813c9c72ae59de3b40fc0f595</vt:lpwstr>
  </property>
  <property fmtid="{D5CDD505-2E9C-101B-9397-08002B2CF9AE}" pid="7" name="EagleCloud3">
    <vt:lpwstr>cdbff496e19c8255bbefcb52988338d79997a4708314e989db467b53fff772df264</vt:lpwstr>
  </property>
</Properties>
</file>