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AABA3">
      <w:pPr>
        <w:tabs>
          <w:tab w:val="left" w:pos="5130"/>
        </w:tabs>
        <w:spacing w:line="240" w:lineRule="auto"/>
        <w:jc w:val="center"/>
        <w:outlineLvl w:val="1"/>
        <w:rPr>
          <w:rFonts w:hint="eastAsia" w:asciiTheme="majorEastAsia" w:hAnsiTheme="majorEastAsia" w:eastAsiaTheme="majorEastAsia" w:cstheme="majorEastAsia"/>
          <w:b/>
          <w:color w:val="auto"/>
          <w:sz w:val="44"/>
          <w:szCs w:val="44"/>
          <w:lang w:val="en-US" w:eastAsia="zh-CN"/>
        </w:rPr>
      </w:pPr>
      <w:bookmarkStart w:id="0" w:name="_Toc21682"/>
      <w:bookmarkStart w:id="1" w:name="_Toc30699"/>
      <w:bookmarkStart w:id="2" w:name="_Toc274559602"/>
      <w:bookmarkStart w:id="3" w:name="_Toc476222788"/>
    </w:p>
    <w:p w14:paraId="1C42AF15">
      <w:pPr>
        <w:tabs>
          <w:tab w:val="left" w:pos="5130"/>
        </w:tabs>
        <w:spacing w:line="240" w:lineRule="auto"/>
        <w:jc w:val="center"/>
        <w:outlineLvl w:val="1"/>
        <w:rPr>
          <w:rFonts w:hint="eastAsia" w:asciiTheme="majorEastAsia" w:hAnsiTheme="majorEastAsia" w:eastAsiaTheme="majorEastAsia" w:cstheme="majorEastAsia"/>
          <w:b/>
          <w:color w:val="auto"/>
          <w:sz w:val="44"/>
          <w:szCs w:val="44"/>
          <w:lang w:val="en-US" w:eastAsia="zh-CN"/>
        </w:rPr>
      </w:pPr>
    </w:p>
    <w:p w14:paraId="2F4C1D55">
      <w:pPr>
        <w:tabs>
          <w:tab w:val="left" w:pos="5130"/>
        </w:tabs>
        <w:spacing w:line="240" w:lineRule="auto"/>
        <w:jc w:val="center"/>
        <w:outlineLvl w:val="1"/>
        <w:rPr>
          <w:rFonts w:hint="eastAsia" w:asciiTheme="majorEastAsia" w:hAnsiTheme="majorEastAsia" w:eastAsiaTheme="majorEastAsia" w:cstheme="majorEastAsia"/>
          <w:b/>
          <w:color w:val="auto"/>
          <w:sz w:val="44"/>
          <w:szCs w:val="44"/>
          <w:lang w:val="en-US" w:eastAsia="zh-CN"/>
        </w:rPr>
      </w:pPr>
      <w:r>
        <w:rPr>
          <w:rFonts w:hint="eastAsia" w:asciiTheme="majorEastAsia" w:hAnsiTheme="majorEastAsia" w:eastAsiaTheme="majorEastAsia" w:cstheme="majorEastAsia"/>
          <w:b/>
          <w:color w:val="auto"/>
          <w:sz w:val="44"/>
          <w:szCs w:val="44"/>
          <w:lang w:val="en-US" w:eastAsia="zh-CN"/>
        </w:rPr>
        <w:t xml:space="preserve"> </w:t>
      </w:r>
    </w:p>
    <w:p w14:paraId="412E87AE">
      <w:pPr>
        <w:pStyle w:val="20"/>
        <w:rPr>
          <w:rFonts w:hint="eastAsia" w:asciiTheme="majorEastAsia" w:hAnsiTheme="majorEastAsia" w:eastAsiaTheme="majorEastAsia" w:cstheme="majorEastAsia"/>
          <w:lang w:val="en-US" w:eastAsia="zh-CN"/>
        </w:rPr>
      </w:pPr>
    </w:p>
    <w:bookmarkEnd w:id="0"/>
    <w:bookmarkEnd w:id="1"/>
    <w:p w14:paraId="0CB4C3F9">
      <w:pPr>
        <w:tabs>
          <w:tab w:val="left" w:pos="5130"/>
        </w:tabs>
        <w:spacing w:line="600" w:lineRule="auto"/>
        <w:jc w:val="center"/>
        <w:outlineLvl w:val="1"/>
        <w:rPr>
          <w:rFonts w:asciiTheme="minorEastAsia" w:hAnsiTheme="minorEastAsia" w:eastAsiaTheme="minorEastAsia" w:cstheme="minorEastAsia"/>
        </w:rPr>
      </w:pPr>
      <w:r>
        <w:rPr>
          <w:rFonts w:hint="eastAsia" w:asciiTheme="minorEastAsia" w:hAnsiTheme="minorEastAsia" w:eastAsiaTheme="minorEastAsia" w:cstheme="minorEastAsia"/>
          <w:b/>
          <w:sz w:val="44"/>
          <w:szCs w:val="44"/>
        </w:rPr>
        <w:t>广西百矿新材料技术有限公司</w:t>
      </w:r>
    </w:p>
    <w:p w14:paraId="0D7131F8">
      <w:pPr>
        <w:widowControl/>
        <w:shd w:val="clear" w:color="auto" w:fill="FFFFFF"/>
        <w:spacing w:line="600" w:lineRule="auto"/>
        <w:jc w:val="center"/>
        <w:rPr>
          <w:rFonts w:hint="eastAsia"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
          <w:sz w:val="44"/>
          <w:szCs w:val="44"/>
          <w:lang w:val="en-US" w:eastAsia="zh-CN"/>
        </w:rPr>
        <w:t>2025</w:t>
      </w:r>
      <w:r>
        <w:rPr>
          <w:rFonts w:hint="eastAsia" w:asciiTheme="minorEastAsia" w:hAnsiTheme="minorEastAsia" w:eastAsiaTheme="minorEastAsia" w:cstheme="minorEastAsia"/>
          <w:b/>
          <w:sz w:val="44"/>
          <w:szCs w:val="44"/>
        </w:rPr>
        <w:t>年</w:t>
      </w:r>
      <w:r>
        <w:rPr>
          <w:rFonts w:hint="eastAsia" w:asciiTheme="minorEastAsia" w:hAnsiTheme="minorEastAsia" w:eastAsiaTheme="minorEastAsia" w:cstheme="minorEastAsia"/>
          <w:b/>
          <w:sz w:val="44"/>
          <w:szCs w:val="44"/>
          <w:lang w:val="en-US" w:eastAsia="zh-CN"/>
        </w:rPr>
        <w:t>度</w:t>
      </w:r>
    </w:p>
    <w:p w14:paraId="7BED3E32">
      <w:pPr>
        <w:widowControl/>
        <w:shd w:val="clear" w:color="auto" w:fill="FFFFFF"/>
        <w:spacing w:line="600" w:lineRule="auto"/>
        <w:jc w:val="center"/>
        <w:rPr>
          <w:rFonts w:hint="eastAsia" w:asciiTheme="majorEastAsia" w:hAnsiTheme="majorEastAsia" w:eastAsiaTheme="majorEastAsia" w:cstheme="majorEastAsia"/>
          <w:b/>
          <w:sz w:val="48"/>
          <w:szCs w:val="48"/>
          <w:lang w:val="en-US" w:eastAsia="zh-CN"/>
        </w:rPr>
      </w:pPr>
      <w:r>
        <w:rPr>
          <w:rFonts w:hint="eastAsia" w:asciiTheme="majorEastAsia" w:hAnsiTheme="majorEastAsia" w:eastAsiaTheme="majorEastAsia" w:cstheme="majorEastAsia"/>
          <w:b/>
          <w:sz w:val="48"/>
          <w:szCs w:val="48"/>
          <w:lang w:val="en-US" w:eastAsia="zh-CN"/>
        </w:rPr>
        <w:t>切削液招标采购</w:t>
      </w:r>
    </w:p>
    <w:p w14:paraId="2153A1D4">
      <w:pPr>
        <w:pStyle w:val="20"/>
        <w:spacing w:line="360" w:lineRule="auto"/>
        <w:rPr>
          <w:rFonts w:hint="eastAsia" w:asciiTheme="majorEastAsia" w:hAnsiTheme="majorEastAsia" w:eastAsiaTheme="majorEastAsia" w:cstheme="majorEastAsia"/>
          <w:b/>
          <w:sz w:val="44"/>
          <w:szCs w:val="44"/>
          <w:lang w:val="en-US" w:eastAsia="zh-CN"/>
        </w:rPr>
      </w:pPr>
    </w:p>
    <w:p w14:paraId="5FFBD1A8">
      <w:pPr>
        <w:pStyle w:val="20"/>
        <w:rPr>
          <w:rFonts w:hint="eastAsia" w:asciiTheme="majorEastAsia" w:hAnsiTheme="majorEastAsia" w:eastAsiaTheme="majorEastAsia" w:cstheme="majorEastAsia"/>
          <w:b/>
          <w:sz w:val="44"/>
          <w:szCs w:val="44"/>
          <w:lang w:val="en-US" w:eastAsia="zh-CN"/>
        </w:rPr>
      </w:pPr>
    </w:p>
    <w:p w14:paraId="66983C33">
      <w:pPr>
        <w:pStyle w:val="20"/>
        <w:rPr>
          <w:rFonts w:hint="eastAsia" w:asciiTheme="majorEastAsia" w:hAnsiTheme="majorEastAsia" w:eastAsiaTheme="majorEastAsia" w:cstheme="majorEastAsia"/>
          <w:b/>
          <w:sz w:val="44"/>
          <w:szCs w:val="44"/>
          <w:lang w:val="en-US" w:eastAsia="zh-CN"/>
        </w:rPr>
      </w:pPr>
    </w:p>
    <w:p w14:paraId="3CF4470A">
      <w:pPr>
        <w:tabs>
          <w:tab w:val="left" w:pos="5130"/>
        </w:tabs>
        <w:spacing w:line="240" w:lineRule="auto"/>
        <w:jc w:val="center"/>
        <w:outlineLvl w:val="1"/>
        <w:rPr>
          <w:rFonts w:hint="eastAsia" w:asciiTheme="majorEastAsia" w:hAnsiTheme="majorEastAsia" w:eastAsiaTheme="majorEastAsia" w:cstheme="majorEastAsia"/>
          <w:b/>
          <w:bCs w:val="0"/>
          <w:sz w:val="44"/>
          <w:szCs w:val="44"/>
          <w:lang w:eastAsia="zh-CN"/>
        </w:rPr>
      </w:pPr>
      <w:r>
        <w:rPr>
          <w:rFonts w:hint="eastAsia" w:asciiTheme="majorEastAsia" w:hAnsiTheme="majorEastAsia" w:eastAsiaTheme="majorEastAsia" w:cstheme="majorEastAsia"/>
          <w:b/>
          <w:bCs w:val="0"/>
          <w:sz w:val="44"/>
          <w:szCs w:val="44"/>
          <w:lang w:eastAsia="zh-CN"/>
        </w:rPr>
        <w:t>技术任务书</w:t>
      </w:r>
    </w:p>
    <w:p w14:paraId="16027806">
      <w:pPr>
        <w:tabs>
          <w:tab w:val="left" w:pos="5130"/>
        </w:tabs>
        <w:spacing w:line="240" w:lineRule="auto"/>
        <w:jc w:val="center"/>
        <w:outlineLvl w:val="1"/>
        <w:rPr>
          <w:rFonts w:hint="eastAsia" w:asciiTheme="majorEastAsia" w:hAnsiTheme="majorEastAsia" w:eastAsiaTheme="majorEastAsia" w:cstheme="majorEastAsia"/>
          <w:b/>
          <w:bCs w:val="0"/>
          <w:sz w:val="44"/>
          <w:szCs w:val="44"/>
          <w:lang w:eastAsia="zh-CN"/>
        </w:rPr>
      </w:pPr>
    </w:p>
    <w:p w14:paraId="451FE8B4">
      <w:pPr>
        <w:pStyle w:val="20"/>
        <w:rPr>
          <w:rFonts w:hint="eastAsia"/>
          <w:lang w:eastAsia="zh-CN"/>
        </w:rPr>
      </w:pPr>
    </w:p>
    <w:p w14:paraId="267164C0">
      <w:pPr>
        <w:pStyle w:val="20"/>
        <w:rPr>
          <w:rFonts w:hint="eastAsia" w:asciiTheme="majorEastAsia" w:hAnsiTheme="majorEastAsia" w:eastAsiaTheme="majorEastAsia" w:cstheme="majorEastAsia"/>
          <w:color w:val="auto"/>
          <w:sz w:val="36"/>
          <w:szCs w:val="36"/>
          <w:highlight w:val="none"/>
        </w:rPr>
      </w:pPr>
    </w:p>
    <w:p w14:paraId="1EB894E8">
      <w:pPr>
        <w:spacing w:before="156" w:beforeLines="50" w:line="360" w:lineRule="auto"/>
        <w:ind w:firstLine="2711" w:firstLineChars="900"/>
        <w:rPr>
          <w:rFonts w:hint="eastAsia" w:asciiTheme="minorEastAsia" w:hAnsiTheme="minorEastAsia" w:eastAsiaTheme="minorEastAsia" w:cstheme="minorEastAsia"/>
          <w:b/>
          <w:sz w:val="30"/>
          <w:szCs w:val="30"/>
          <w:u w:val="single"/>
        </w:rPr>
      </w:pPr>
      <w:r>
        <w:rPr>
          <w:rFonts w:hint="eastAsia" w:asciiTheme="minorEastAsia" w:hAnsiTheme="minorEastAsia" w:eastAsiaTheme="minorEastAsia" w:cstheme="minorEastAsia"/>
          <w:b/>
          <w:sz w:val="30"/>
          <w:szCs w:val="30"/>
        </w:rPr>
        <w:t>编制</w:t>
      </w:r>
      <w:r>
        <w:rPr>
          <w:rFonts w:hint="eastAsia" w:asciiTheme="minorEastAsia" w:hAnsiTheme="minorEastAsia" w:eastAsiaTheme="minorEastAsia" w:cstheme="minorEastAsia"/>
          <w:b/>
          <w:sz w:val="30"/>
          <w:szCs w:val="30"/>
          <w:u w:val="single"/>
        </w:rPr>
        <w:t xml:space="preserve">                  </w:t>
      </w:r>
    </w:p>
    <w:p w14:paraId="2C0F525A">
      <w:pPr>
        <w:spacing w:before="156" w:beforeLines="50" w:line="360" w:lineRule="auto"/>
        <w:ind w:firstLine="2711" w:firstLineChars="900"/>
        <w:rPr>
          <w:rFonts w:hint="eastAsia"/>
        </w:rPr>
      </w:pPr>
      <w:r>
        <w:rPr>
          <w:rFonts w:hint="eastAsia" w:asciiTheme="minorEastAsia" w:hAnsiTheme="minorEastAsia" w:eastAsiaTheme="minorEastAsia" w:cstheme="minorEastAsia"/>
          <w:b/>
          <w:sz w:val="30"/>
          <w:szCs w:val="30"/>
          <w:lang w:val="en-US" w:eastAsia="zh-CN"/>
        </w:rPr>
        <w:t>会签</w:t>
      </w:r>
      <w:r>
        <w:rPr>
          <w:rFonts w:hint="eastAsia" w:asciiTheme="minorEastAsia" w:hAnsiTheme="minorEastAsia" w:eastAsiaTheme="minorEastAsia" w:cstheme="minorEastAsia"/>
          <w:b/>
          <w:sz w:val="30"/>
          <w:szCs w:val="30"/>
          <w:u w:val="single"/>
        </w:rPr>
        <w:t xml:space="preserve">                 </w:t>
      </w:r>
    </w:p>
    <w:p w14:paraId="44FF744E">
      <w:pPr>
        <w:spacing w:before="156" w:beforeLines="50" w:line="360" w:lineRule="auto"/>
        <w:ind w:firstLine="2711" w:firstLineChars="9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sz w:val="30"/>
          <w:szCs w:val="30"/>
        </w:rPr>
        <w:t>批准</w:t>
      </w:r>
      <w:r>
        <w:rPr>
          <w:rFonts w:hint="eastAsia" w:asciiTheme="minorEastAsia" w:hAnsiTheme="minorEastAsia" w:eastAsiaTheme="minorEastAsia" w:cstheme="minorEastAsia"/>
          <w:b/>
          <w:sz w:val="30"/>
          <w:szCs w:val="30"/>
          <w:u w:val="single"/>
        </w:rPr>
        <w:t xml:space="preserve">                  </w:t>
      </w:r>
    </w:p>
    <w:p w14:paraId="4D48A1B3">
      <w:pPr>
        <w:pStyle w:val="20"/>
        <w:rPr>
          <w:rFonts w:asciiTheme="minorEastAsia" w:hAnsiTheme="minorEastAsia" w:eastAsiaTheme="minorEastAsia" w:cstheme="minorEastAsia"/>
        </w:rPr>
      </w:pPr>
    </w:p>
    <w:p w14:paraId="0D51EBA0">
      <w:pPr>
        <w:pStyle w:val="20"/>
        <w:rPr>
          <w:rFonts w:asciiTheme="minorEastAsia" w:hAnsiTheme="minorEastAsia" w:eastAsiaTheme="minorEastAsia" w:cstheme="minorEastAsia"/>
        </w:rPr>
      </w:pPr>
    </w:p>
    <w:p w14:paraId="014F1A1C">
      <w:pPr>
        <w:pStyle w:val="20"/>
        <w:rPr>
          <w:rFonts w:asciiTheme="minorEastAsia" w:hAnsiTheme="minorEastAsia" w:eastAsiaTheme="minorEastAsia" w:cstheme="minorEastAsia"/>
        </w:rPr>
      </w:pPr>
    </w:p>
    <w:p w14:paraId="2E833E94">
      <w:pPr>
        <w:pStyle w:val="20"/>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广西百矿新材料技术有限公司</w:t>
      </w:r>
    </w:p>
    <w:p w14:paraId="75B0FFC8">
      <w:pPr>
        <w:pStyle w:val="20"/>
        <w:tabs>
          <w:tab w:val="left" w:pos="1139"/>
          <w:tab w:val="center" w:pos="4153"/>
        </w:tabs>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color w:val="auto"/>
          <w:sz w:val="21"/>
          <w:szCs w:val="21"/>
        </w:rPr>
        <w:t xml:space="preserve">日期：    </w:t>
      </w:r>
      <w:r>
        <w:rPr>
          <w:rFonts w:hint="eastAsia" w:asciiTheme="minorEastAsia" w:hAnsiTheme="minorEastAsia" w:eastAsiaTheme="minorEastAsia" w:cstheme="minorEastAsia"/>
          <w:b/>
          <w:bCs/>
          <w:color w:val="auto"/>
          <w:sz w:val="21"/>
          <w:szCs w:val="21"/>
          <w:lang w:val="en-US" w:eastAsia="zh-CN"/>
        </w:rPr>
        <w:t>2025</w:t>
      </w:r>
      <w:r>
        <w:rPr>
          <w:rFonts w:hint="eastAsia" w:asciiTheme="minorEastAsia" w:hAnsiTheme="minorEastAsia" w:eastAsiaTheme="minorEastAsia" w:cstheme="minorEastAsia"/>
          <w:b/>
          <w:bCs/>
          <w:color w:val="auto"/>
          <w:sz w:val="21"/>
          <w:szCs w:val="21"/>
        </w:rPr>
        <w:t xml:space="preserve">年  </w:t>
      </w: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 xml:space="preserve">月   </w:t>
      </w: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b/>
          <w:bCs/>
          <w:color w:val="auto"/>
          <w:sz w:val="21"/>
          <w:szCs w:val="21"/>
        </w:rPr>
        <w:t>日</w:t>
      </w:r>
    </w:p>
    <w:p w14:paraId="0AFB0C86">
      <w:pPr>
        <w:spacing w:before="0" w:beforeLines="0" w:after="0" w:afterLines="0" w:line="240" w:lineRule="auto"/>
        <w:ind w:left="0" w:leftChars="0" w:right="0" w:rightChars="0" w:firstLine="0" w:firstLineChars="0"/>
        <w:jc w:val="center"/>
        <w:rPr>
          <w:rFonts w:hint="eastAsia" w:ascii="仿宋_GB2312" w:hAnsi="仿宋_GB2312" w:eastAsia="仿宋_GB2312" w:cs="仿宋_GB2312"/>
          <w:kern w:val="2"/>
          <w:sz w:val="21"/>
          <w:lang w:val="en-US" w:eastAsia="zh-CN" w:bidi="ar-SA"/>
        </w:rPr>
      </w:pPr>
    </w:p>
    <w:p w14:paraId="77BB355B">
      <w:pPr>
        <w:pStyle w:val="20"/>
        <w:rPr>
          <w:rFonts w:hint="eastAsia"/>
        </w:rPr>
      </w:pPr>
    </w:p>
    <w:p w14:paraId="48597D3F">
      <w:pPr>
        <w:spacing w:before="156" w:beforeLines="50" w:after="156" w:afterLines="5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一、</w:t>
      </w:r>
      <w:r>
        <w:rPr>
          <w:rFonts w:hint="eastAsia" w:asciiTheme="minorEastAsia" w:hAnsiTheme="minorEastAsia" w:eastAsiaTheme="minorEastAsia" w:cstheme="minorEastAsia"/>
          <w:b/>
          <w:bCs/>
          <w:sz w:val="28"/>
          <w:szCs w:val="28"/>
        </w:rPr>
        <w:t>项目名称</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广西百矿新材料技术有限公司2025年度切削液招标采购技术任务书</w:t>
      </w:r>
      <w:r>
        <w:rPr>
          <w:rFonts w:hint="eastAsia" w:asciiTheme="minorEastAsia" w:hAnsiTheme="minorEastAsia" w:eastAsiaTheme="minorEastAsia" w:cstheme="minorEastAsia"/>
          <w:sz w:val="28"/>
          <w:szCs w:val="28"/>
        </w:rPr>
        <w:t>本</w:t>
      </w:r>
    </w:p>
    <w:p w14:paraId="29004695">
      <w:pPr>
        <w:numPr>
          <w:ilvl w:val="0"/>
          <w:numId w:val="0"/>
        </w:numPr>
        <w:spacing w:after="240" w:line="48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概述</w:t>
      </w:r>
      <w:bookmarkEnd w:id="2"/>
      <w:bookmarkEnd w:id="3"/>
    </w:p>
    <w:p w14:paraId="5AADEB2D">
      <w:pPr>
        <w:spacing w:before="156" w:beforeLines="50" w:after="156" w:afterLines="5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本</w:t>
      </w:r>
      <w:r>
        <w:rPr>
          <w:rFonts w:hint="eastAsia" w:asciiTheme="minorEastAsia" w:hAnsiTheme="minorEastAsia" w:eastAsiaTheme="minorEastAsia" w:cstheme="minorEastAsia"/>
          <w:sz w:val="28"/>
          <w:szCs w:val="28"/>
        </w:rPr>
        <w:t>技术</w:t>
      </w:r>
      <w:r>
        <w:rPr>
          <w:rFonts w:hint="eastAsia" w:asciiTheme="minorEastAsia" w:hAnsiTheme="minorEastAsia" w:eastAsiaTheme="minorEastAsia" w:cstheme="minorEastAsia"/>
          <w:sz w:val="28"/>
          <w:szCs w:val="28"/>
          <w:lang w:eastAsia="zh-CN"/>
        </w:rPr>
        <w:t>任务</w:t>
      </w:r>
      <w:r>
        <w:rPr>
          <w:rFonts w:hint="eastAsia" w:asciiTheme="minorEastAsia" w:hAnsiTheme="minorEastAsia" w:eastAsiaTheme="minorEastAsia" w:cstheme="minorEastAsia"/>
          <w:sz w:val="28"/>
          <w:szCs w:val="28"/>
        </w:rPr>
        <w:t>书是以</w:t>
      </w:r>
      <w:r>
        <w:rPr>
          <w:rFonts w:hint="eastAsia" w:asciiTheme="minorEastAsia" w:hAnsiTheme="minorEastAsia" w:eastAsiaTheme="minorEastAsia" w:cstheme="minorEastAsia"/>
          <w:sz w:val="28"/>
          <w:szCs w:val="28"/>
          <w:lang w:val="en-US" w:eastAsia="zh-CN"/>
        </w:rPr>
        <w:t>广西百矿新材料技术有限公司</w:t>
      </w:r>
      <w:r>
        <w:rPr>
          <w:rFonts w:hint="eastAsia" w:asciiTheme="minorEastAsia" w:hAnsiTheme="minorEastAsia" w:eastAsiaTheme="minorEastAsia" w:cstheme="minorEastAsia"/>
          <w:sz w:val="28"/>
          <w:szCs w:val="28"/>
        </w:rPr>
        <w:t>的技术要求为基准。</w:t>
      </w:r>
      <w:r>
        <w:rPr>
          <w:rFonts w:hint="eastAsia" w:asciiTheme="minorEastAsia" w:hAnsiTheme="minorEastAsia" w:eastAsiaTheme="minorEastAsia" w:cstheme="minorEastAsia"/>
          <w:sz w:val="28"/>
          <w:szCs w:val="28"/>
          <w:u w:val="none"/>
          <w:lang w:val="en-US" w:eastAsia="zh-CN"/>
        </w:rPr>
        <w:t>供货方</w:t>
      </w:r>
      <w:r>
        <w:rPr>
          <w:rFonts w:hint="eastAsia" w:asciiTheme="minorEastAsia" w:hAnsiTheme="minorEastAsia" w:eastAsiaTheme="minorEastAsia" w:cstheme="minorEastAsia"/>
          <w:sz w:val="28"/>
          <w:szCs w:val="28"/>
        </w:rPr>
        <w:t>遵循</w:t>
      </w:r>
      <w:r>
        <w:rPr>
          <w:rFonts w:hint="eastAsia" w:asciiTheme="minorEastAsia" w:hAnsiTheme="minorEastAsia" w:eastAsiaTheme="minorEastAsia" w:cstheme="minorEastAsia"/>
          <w:sz w:val="28"/>
          <w:szCs w:val="28"/>
          <w:lang w:val="en-US" w:eastAsia="zh-CN"/>
        </w:rPr>
        <w:t>需求方</w:t>
      </w:r>
      <w:r>
        <w:rPr>
          <w:rFonts w:hint="eastAsia" w:asciiTheme="minorEastAsia" w:hAnsiTheme="minorEastAsia" w:eastAsiaTheme="minorEastAsia" w:cstheme="minorEastAsia"/>
          <w:sz w:val="28"/>
          <w:szCs w:val="28"/>
        </w:rPr>
        <w:t>的技术要求进行的</w:t>
      </w:r>
      <w:r>
        <w:rPr>
          <w:rFonts w:hint="eastAsia" w:asciiTheme="minorEastAsia" w:hAnsiTheme="minorEastAsia" w:eastAsiaTheme="minorEastAsia" w:cstheme="minorEastAsia"/>
          <w:sz w:val="28"/>
          <w:szCs w:val="28"/>
          <w:lang w:val="en-US" w:eastAsia="zh-CN"/>
        </w:rPr>
        <w:t>切削液</w:t>
      </w:r>
      <w:r>
        <w:rPr>
          <w:rFonts w:hint="eastAsia" w:asciiTheme="minorEastAsia" w:hAnsiTheme="minorEastAsia" w:eastAsiaTheme="minorEastAsia" w:cstheme="minorEastAsia"/>
          <w:sz w:val="28"/>
          <w:szCs w:val="28"/>
        </w:rPr>
        <w:t>供应事项的规定及说明，该项目实施后能够满足客户对产品的工艺质量要求。</w:t>
      </w:r>
    </w:p>
    <w:p w14:paraId="75BC1372">
      <w:pPr>
        <w:pStyle w:val="20"/>
        <w:numPr>
          <w:ilvl w:val="0"/>
          <w:numId w:val="0"/>
        </w:num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三、资质要求，</w:t>
      </w:r>
      <w:r>
        <w:rPr>
          <w:rFonts w:hint="eastAsia" w:asciiTheme="minorEastAsia" w:hAnsiTheme="minorEastAsia" w:eastAsiaTheme="minorEastAsia" w:cstheme="minorEastAsia"/>
          <w:b/>
          <w:bCs/>
          <w:sz w:val="28"/>
          <w:szCs w:val="28"/>
        </w:rPr>
        <w:t>本次招标要求投标人具备以下资质：</w:t>
      </w:r>
    </w:p>
    <w:p w14:paraId="6852AB3D">
      <w:pPr>
        <w:pStyle w:val="11"/>
        <w:tabs>
          <w:tab w:val="right" w:leader="dot" w:pos="9474"/>
        </w:tabs>
        <w:spacing w:line="240" w:lineRule="auto"/>
        <w:ind w:firstLine="560" w:firstLineChars="200"/>
        <w:rPr>
          <w:rFonts w:hint="eastAsia" w:asciiTheme="minorEastAsia" w:hAnsiTheme="minorEastAsia" w:eastAsiaTheme="minorEastAsia" w:cstheme="minorEastAsia"/>
          <w:sz w:val="28"/>
          <w:szCs w:val="28"/>
          <w:highlight w:val="none"/>
          <w:lang w:val="en-US" w:eastAsia="zh-CN"/>
        </w:rPr>
      </w:pPr>
      <w:bookmarkStart w:id="10" w:name="_GoBack"/>
      <w:r>
        <w:rPr>
          <w:rFonts w:hint="eastAsia" w:asciiTheme="minorEastAsia" w:hAnsiTheme="minorEastAsia" w:eastAsiaTheme="minorEastAsia" w:cstheme="minorEastAsia"/>
          <w:sz w:val="28"/>
          <w:szCs w:val="28"/>
          <w:highlight w:val="none"/>
          <w:lang w:val="en-US" w:eastAsia="zh-CN"/>
        </w:rPr>
        <w:t>1.质量管理体系认证证书</w:t>
      </w:r>
    </w:p>
    <w:p w14:paraId="53F78126">
      <w:pPr>
        <w:pStyle w:val="11"/>
        <w:tabs>
          <w:tab w:val="right" w:leader="dot" w:pos="9474"/>
        </w:tabs>
        <w:spacing w:line="240" w:lineRule="auto"/>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2.职业健康安全管理体系认证证书</w:t>
      </w:r>
    </w:p>
    <w:p w14:paraId="603F0BD3">
      <w:pPr>
        <w:pStyle w:val="11"/>
        <w:tabs>
          <w:tab w:val="right" w:leader="dot" w:pos="9474"/>
        </w:tabs>
        <w:spacing w:line="240" w:lineRule="auto"/>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3.环境管理体系认证书</w:t>
      </w:r>
    </w:p>
    <w:p w14:paraId="42878FE2">
      <w:pPr>
        <w:pStyle w:val="11"/>
        <w:tabs>
          <w:tab w:val="right" w:leader="dot" w:pos="9474"/>
        </w:tabs>
        <w:spacing w:line="240" w:lineRule="auto"/>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4.轮毂行业业绩：2021年-2023年内有三家以上轮毂厂供应业绩，提供商务合同。</w:t>
      </w:r>
    </w:p>
    <w:p w14:paraId="5536BFE4">
      <w:pPr>
        <w:pStyle w:val="11"/>
        <w:tabs>
          <w:tab w:val="right" w:leader="dot" w:pos="9474"/>
        </w:tabs>
        <w:spacing w:line="240" w:lineRule="auto"/>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通过第三方实验：急性经口毒性试验、完整皮肤刺激试验、密封胶相容性试验、油漆相容性试验或提供权威机构出具的物质安全资料表（MSDS)，MSDS包含毒理学、皮肤粘膜刺激性和环境危害性等方面的内容并且符合安全环保要求。</w:t>
      </w:r>
    </w:p>
    <w:p w14:paraId="31218764">
      <w:pPr>
        <w:pStyle w:val="11"/>
        <w:tabs>
          <w:tab w:val="right" w:leader="dot" w:pos="9474"/>
        </w:tabs>
        <w:spacing w:line="240" w:lineRule="auto"/>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7.营业执照及企业履约能力</w:t>
      </w:r>
    </w:p>
    <w:bookmarkEnd w:id="10"/>
    <w:p w14:paraId="53BBD2C8">
      <w:pPr>
        <w:pStyle w:val="11"/>
        <w:tabs>
          <w:tab w:val="right" w:leader="dot" w:pos="9474"/>
        </w:tabs>
        <w:spacing w:line="24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使用条件</w:t>
      </w:r>
      <w:r>
        <w:rPr>
          <w:rFonts w:hint="eastAsia" w:asciiTheme="minorEastAsia" w:hAnsiTheme="minorEastAsia" w:eastAsiaTheme="minorEastAsia" w:cstheme="minorEastAsia"/>
          <w:b/>
          <w:bCs/>
          <w:sz w:val="28"/>
          <w:szCs w:val="28"/>
          <w:lang w:eastAsia="zh-CN"/>
        </w:rPr>
        <w:t>参数</w:t>
      </w:r>
      <w:r>
        <w:rPr>
          <w:rFonts w:hint="eastAsia" w:asciiTheme="minorEastAsia" w:hAnsiTheme="minorEastAsia" w:eastAsiaTheme="minorEastAsia" w:cstheme="minorEastAsia"/>
          <w:b/>
          <w:bCs/>
          <w:sz w:val="28"/>
          <w:szCs w:val="28"/>
          <w:lang w:val="en-US" w:eastAsia="zh-CN"/>
        </w:rPr>
        <w:t>说明</w:t>
      </w:r>
      <w:r>
        <w:rPr>
          <w:rFonts w:hint="eastAsia" w:asciiTheme="minorEastAsia" w:hAnsiTheme="minorEastAsia" w:eastAsiaTheme="minorEastAsia" w:cstheme="minorEastAsia"/>
          <w:b/>
          <w:bCs/>
          <w:sz w:val="28"/>
          <w:szCs w:val="28"/>
          <w:lang w:eastAsia="zh-CN"/>
        </w:rPr>
        <w:t>：</w:t>
      </w:r>
    </w:p>
    <w:p w14:paraId="05CCE0D4">
      <w:pPr>
        <w:pStyle w:val="11"/>
        <w:tabs>
          <w:tab w:val="right" w:leader="dot" w:pos="9474"/>
        </w:tabs>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使用环境：</w:t>
      </w:r>
    </w:p>
    <w:p w14:paraId="5426DAF0">
      <w:pPr>
        <w:pStyle w:val="11"/>
        <w:tabs>
          <w:tab w:val="right" w:leader="dot" w:pos="9474"/>
        </w:tabs>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工作环境温度：</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～45℃。</w:t>
      </w:r>
    </w:p>
    <w:p w14:paraId="3079B2B0">
      <w:pPr>
        <w:pStyle w:val="11"/>
        <w:tabs>
          <w:tab w:val="right" w:leader="dot" w:pos="9474"/>
        </w:tabs>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最大相对湿度：</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5%。</w:t>
      </w:r>
    </w:p>
    <w:p w14:paraId="17F073F1">
      <w:pPr>
        <w:pStyle w:val="11"/>
        <w:pageBreakBefore w:val="0"/>
        <w:widowControl w:val="0"/>
        <w:tabs>
          <w:tab w:val="right" w:leader="dot" w:pos="9474"/>
        </w:tabs>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2.水源情况：新材料公司生产给水</w:t>
      </w:r>
      <w:r>
        <w:rPr>
          <w:rFonts w:hint="default" w:asciiTheme="minorEastAsia" w:hAnsiTheme="minorEastAsia" w:eastAsiaTheme="minorEastAsia" w:cstheme="minorEastAsia"/>
          <w:kern w:val="2"/>
          <w:sz w:val="28"/>
          <w:szCs w:val="28"/>
          <w:lang w:val="en-US" w:eastAsia="zh-CN" w:bidi="ar-SA"/>
        </w:rPr>
        <w:t>必须满足在以上使用环境条件的范围内连续、正常使用（365 天/ 年、24 小时/天）。</w:t>
      </w:r>
    </w:p>
    <w:p w14:paraId="5689B718">
      <w:pPr>
        <w:pStyle w:val="11"/>
        <w:pageBreakBefore w:val="0"/>
        <w:widowControl w:val="0"/>
        <w:tabs>
          <w:tab w:val="right" w:leader="dot" w:pos="9474"/>
        </w:tabs>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default" w:asciiTheme="minorEastAsia" w:hAnsiTheme="minorEastAsia" w:eastAsiaTheme="minorEastAsia" w:cstheme="minorEastAsia"/>
          <w:sz w:val="28"/>
          <w:szCs w:val="28"/>
          <w:lang w:val="en-US" w:eastAsia="zh-CN"/>
        </w:rPr>
        <w:t>.切削液应具有优良的润滑、冷却、防锈、清洗性能，使用周期长、使用安全。</w:t>
      </w:r>
    </w:p>
    <w:p w14:paraId="6EAA334E">
      <w:pPr>
        <w:pStyle w:val="11"/>
        <w:pageBreakBefore w:val="0"/>
        <w:widowControl w:val="0"/>
        <w:tabs>
          <w:tab w:val="right" w:leader="dot" w:pos="9474"/>
        </w:tabs>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default" w:asciiTheme="minorEastAsia" w:hAnsiTheme="minorEastAsia" w:eastAsiaTheme="minorEastAsia" w:cstheme="minorEastAsia"/>
          <w:sz w:val="28"/>
          <w:szCs w:val="28"/>
          <w:lang w:val="en-US" w:eastAsia="zh-CN"/>
        </w:rPr>
        <w:t>.切削液的生产厂应保证产品自生产之日起保存期在二年以上，在保存期内性能指标应达 到本标准的各项要求。</w:t>
      </w:r>
    </w:p>
    <w:p w14:paraId="68FC7F3A">
      <w:pPr>
        <w:pStyle w:val="11"/>
        <w:pageBreakBefore w:val="0"/>
        <w:widowControl w:val="0"/>
        <w:tabs>
          <w:tab w:val="right" w:leader="dot" w:pos="9474"/>
        </w:tabs>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r>
        <w:rPr>
          <w:rFonts w:hint="default" w:asciiTheme="minorEastAsia" w:hAnsiTheme="minorEastAsia" w:eastAsiaTheme="minorEastAsia" w:cstheme="minorEastAsia"/>
          <w:sz w:val="28"/>
          <w:szCs w:val="28"/>
          <w:lang w:val="en-US" w:eastAsia="zh-CN"/>
        </w:rPr>
        <w:t>.半合成切削液。</w:t>
      </w:r>
    </w:p>
    <w:p w14:paraId="0673C738">
      <w:pPr>
        <w:pStyle w:val="2"/>
        <w:pageBreakBefore w:val="0"/>
        <w:widowControl w:val="0"/>
        <w:numPr>
          <w:ilvl w:val="0"/>
          <w:numId w:val="0"/>
        </w:numPr>
        <w:kinsoku/>
        <w:wordWrap/>
        <w:overflowPunct/>
        <w:topLinePunct w:val="0"/>
        <w:autoSpaceDE/>
        <w:autoSpaceDN/>
        <w:bidi w:val="0"/>
        <w:adjustRightInd/>
        <w:snapToGrid/>
        <w:spacing w:before="0" w:after="0" w:line="460" w:lineRule="exact"/>
        <w:textAlignment w:val="auto"/>
        <w:rPr>
          <w:rFonts w:hint="eastAsia" w:asciiTheme="majorEastAsia" w:hAnsiTheme="majorEastAsia" w:eastAsiaTheme="majorEastAsia" w:cstheme="majorEastAsia"/>
          <w:sz w:val="28"/>
          <w:szCs w:val="28"/>
          <w:lang w:val="en-US" w:eastAsia="zh-CN"/>
        </w:rPr>
      </w:pPr>
      <w:bookmarkStart w:id="4" w:name="_Toc5902"/>
      <w:r>
        <w:rPr>
          <w:rFonts w:hint="eastAsia" w:asciiTheme="majorEastAsia" w:hAnsiTheme="majorEastAsia" w:eastAsiaTheme="majorEastAsia" w:cstheme="majorEastAsia"/>
          <w:sz w:val="28"/>
          <w:szCs w:val="28"/>
          <w:lang w:val="en-US" w:eastAsia="zh-CN"/>
        </w:rPr>
        <w:t>五、供货范围</w:t>
      </w:r>
      <w:bookmarkEnd w:id="4"/>
    </w:p>
    <w:p w14:paraId="147F06D4">
      <w:pPr>
        <w:pStyle w:val="11"/>
        <w:pageBreakBefore w:val="0"/>
        <w:widowControl w:val="0"/>
        <w:tabs>
          <w:tab w:val="right" w:leader="dot" w:pos="9474"/>
        </w:tabs>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1.供货范围：机加用切削液供货及运输</w:t>
      </w:r>
    </w:p>
    <w:p w14:paraId="07F5B868">
      <w:pPr>
        <w:pStyle w:val="11"/>
        <w:pageBreakBefore w:val="0"/>
        <w:widowControl w:val="0"/>
        <w:tabs>
          <w:tab w:val="right" w:leader="dot" w:pos="9474"/>
        </w:tabs>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2.标的有效期：中标日至2026年3月1日；</w:t>
      </w:r>
    </w:p>
    <w:p w14:paraId="1B2A8925">
      <w:pPr>
        <w:pStyle w:val="11"/>
        <w:pageBreakBefore w:val="0"/>
        <w:widowControl w:val="0"/>
        <w:tabs>
          <w:tab w:val="right" w:leader="dot" w:pos="9474"/>
        </w:tabs>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3.供货数量：本项目每个标段选取综合得分最高者为中标人，中标人占年度切削液供应份额100%；</w:t>
      </w:r>
    </w:p>
    <w:p w14:paraId="4401F3B4">
      <w:pPr>
        <w:pStyle w:val="23"/>
        <w:numPr>
          <w:ilvl w:val="0"/>
          <w:numId w:val="0"/>
        </w:numPr>
        <w:tabs>
          <w:tab w:val="left" w:pos="504"/>
        </w:tabs>
        <w:spacing w:line="50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六、技术参数要求</w:t>
      </w:r>
    </w:p>
    <w:tbl>
      <w:tblPr>
        <w:tblStyle w:val="18"/>
        <w:tblW w:w="9428" w:type="dxa"/>
        <w:jc w:val="center"/>
        <w:tblLayout w:type="fixed"/>
        <w:tblCellMar>
          <w:top w:w="0" w:type="dxa"/>
          <w:left w:w="108" w:type="dxa"/>
          <w:bottom w:w="0" w:type="dxa"/>
          <w:right w:w="108" w:type="dxa"/>
        </w:tblCellMar>
      </w:tblPr>
      <w:tblGrid>
        <w:gridCol w:w="648"/>
        <w:gridCol w:w="408"/>
        <w:gridCol w:w="1037"/>
        <w:gridCol w:w="1853"/>
        <w:gridCol w:w="3912"/>
        <w:gridCol w:w="1570"/>
      </w:tblGrid>
      <w:tr w14:paraId="1AED38C1">
        <w:tblPrEx>
          <w:tblCellMar>
            <w:top w:w="0" w:type="dxa"/>
            <w:left w:w="108" w:type="dxa"/>
            <w:bottom w:w="0" w:type="dxa"/>
            <w:right w:w="108" w:type="dxa"/>
          </w:tblCellMar>
        </w:tblPrEx>
        <w:trPr>
          <w:trHeight w:val="350" w:hRule="exact"/>
          <w:jc w:val="center"/>
        </w:trPr>
        <w:tc>
          <w:tcPr>
            <w:tcW w:w="64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5C40DFA0">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序号</w:t>
            </w:r>
          </w:p>
        </w:tc>
        <w:tc>
          <w:tcPr>
            <w:tcW w:w="3298" w:type="dxa"/>
            <w:gridSpan w:val="3"/>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9CDC2E9">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项 日</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31F1235E">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技术要求</w:t>
            </w:r>
          </w:p>
        </w:tc>
        <w:tc>
          <w:tcPr>
            <w:tcW w:w="157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6CD06B43">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试验方法</w:t>
            </w:r>
          </w:p>
        </w:tc>
      </w:tr>
      <w:tr w14:paraId="515B895C">
        <w:tblPrEx>
          <w:tblCellMar>
            <w:top w:w="0" w:type="dxa"/>
            <w:left w:w="108" w:type="dxa"/>
            <w:bottom w:w="0" w:type="dxa"/>
            <w:right w:w="108" w:type="dxa"/>
          </w:tblCellMar>
        </w:tblPrEx>
        <w:trPr>
          <w:trHeight w:val="326" w:hRule="exact"/>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788D923">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3298" w:type="dxa"/>
            <w:gridSpan w:val="3"/>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BB1836E">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733A6678">
            <w:pPr>
              <w:pStyle w:val="31"/>
              <w:shd w:val="clear" w:color="FFFFFF" w:fill="FFFFFF"/>
              <w:tabs>
                <w:tab w:val="left" w:pos="1940"/>
              </w:tabs>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lang w:val="en-US" w:eastAsia="en-US" w:bidi="en-US"/>
              </w:rPr>
              <w:t>MAE</w:t>
            </w:r>
            <w:r>
              <w:rPr>
                <w:rFonts w:hint="eastAsia" w:ascii="微软雅黑" w:hAnsi="微软雅黑" w:eastAsia="微软雅黑" w:cs="微软雅黑"/>
                <w:sz w:val="18"/>
                <w:szCs w:val="18"/>
              </w:rPr>
              <w:tab/>
            </w:r>
            <w:r>
              <w:rPr>
                <w:rFonts w:hint="eastAsia" w:ascii="微软雅黑" w:hAnsi="微软雅黑" w:eastAsia="微软雅黑" w:cs="微软雅黑"/>
                <w:color w:val="000000"/>
                <w:spacing w:val="0"/>
                <w:w w:val="100"/>
                <w:position w:val="0"/>
                <w:sz w:val="18"/>
                <w:szCs w:val="18"/>
                <w:lang w:val="en-US" w:eastAsia="en-US" w:bidi="en-US"/>
              </w:rPr>
              <w:t>MAF</w:t>
            </w:r>
          </w:p>
        </w:tc>
        <w:tc>
          <w:tcPr>
            <w:tcW w:w="1570"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64F4642D">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r>
      <w:tr w14:paraId="616A6D13">
        <w:tblPrEx>
          <w:tblCellMar>
            <w:top w:w="0" w:type="dxa"/>
            <w:left w:w="108" w:type="dxa"/>
            <w:bottom w:w="0" w:type="dxa"/>
            <w:right w:w="108" w:type="dxa"/>
          </w:tblCellMar>
        </w:tblPrEx>
        <w:trPr>
          <w:trHeight w:val="331" w:hRule="exact"/>
          <w:jc w:val="center"/>
        </w:trPr>
        <w:tc>
          <w:tcPr>
            <w:tcW w:w="648" w:type="dxa"/>
            <w:tcBorders>
              <w:top w:val="single" w:color="auto" w:sz="4" w:space="0"/>
              <w:left w:val="single" w:color="auto" w:sz="4" w:space="0"/>
              <w:bottom w:val="single" w:color="auto" w:sz="4" w:space="0"/>
              <w:right w:val="single" w:color="auto" w:sz="4" w:space="0"/>
            </w:tcBorders>
            <w:shd w:val="clear" w:color="FFFFFF" w:fill="FFFFFF"/>
            <w:vAlign w:val="center"/>
          </w:tcPr>
          <w:p w14:paraId="681D9195">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1</w:t>
            </w:r>
          </w:p>
        </w:tc>
        <w:tc>
          <w:tcPr>
            <w:tcW w:w="40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E738376">
            <w:pPr>
              <w:pStyle w:val="31"/>
              <w:shd w:val="clear" w:color="FFFFFF" w:fill="FFFFFF"/>
              <w:spacing w:before="0" w:after="0" w:line="239" w:lineRule="atLeast"/>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浓 缩 物</w:t>
            </w:r>
          </w:p>
        </w:tc>
        <w:tc>
          <w:tcPr>
            <w:tcW w:w="289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275D7D4D">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外观</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547CB535">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均匀液体</w:t>
            </w:r>
          </w:p>
        </w:tc>
        <w:tc>
          <w:tcPr>
            <w:tcW w:w="1570" w:type="dxa"/>
            <w:tcBorders>
              <w:top w:val="single" w:color="auto" w:sz="4" w:space="0"/>
              <w:left w:val="single" w:color="auto" w:sz="4" w:space="0"/>
              <w:bottom w:val="single" w:color="auto" w:sz="4" w:space="0"/>
              <w:right w:val="single" w:color="auto" w:sz="4" w:space="0"/>
            </w:tcBorders>
            <w:shd w:val="clear" w:color="FFFFFF" w:fill="FFFFFF"/>
            <w:vAlign w:val="center"/>
          </w:tcPr>
          <w:p w14:paraId="70592265">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目测</w:t>
            </w:r>
          </w:p>
        </w:tc>
      </w:tr>
      <w:tr w14:paraId="07AF573E">
        <w:tblPrEx>
          <w:tblCellMar>
            <w:top w:w="0" w:type="dxa"/>
            <w:left w:w="108" w:type="dxa"/>
            <w:bottom w:w="0" w:type="dxa"/>
            <w:right w:w="108" w:type="dxa"/>
          </w:tblCellMar>
        </w:tblPrEx>
        <w:trPr>
          <w:trHeight w:val="394" w:hRule="exact"/>
          <w:jc w:val="center"/>
        </w:trPr>
        <w:tc>
          <w:tcPr>
            <w:tcW w:w="648" w:type="dxa"/>
            <w:tcBorders>
              <w:top w:val="single" w:color="auto" w:sz="4" w:space="0"/>
              <w:left w:val="single" w:color="auto" w:sz="4" w:space="0"/>
              <w:bottom w:val="single" w:color="auto" w:sz="4" w:space="0"/>
              <w:right w:val="single" w:color="auto" w:sz="4" w:space="0"/>
            </w:tcBorders>
            <w:shd w:val="clear" w:color="FFFFFF" w:fill="FFFFFF"/>
            <w:vAlign w:val="center"/>
          </w:tcPr>
          <w:p w14:paraId="637F86FE">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2</w:t>
            </w: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15F76369">
            <w:pPr>
              <w:pStyle w:val="31"/>
              <w:shd w:val="clear" w:color="FFFFFF" w:fill="FFFFFF"/>
              <w:spacing w:before="0" w:after="0" w:line="239" w:lineRule="atLeast"/>
              <w:ind w:left="0" w:right="0" w:firstLine="0"/>
              <w:jc w:val="center"/>
              <w:rPr>
                <w:rFonts w:hint="eastAsia" w:ascii="微软雅黑" w:hAnsi="微软雅黑" w:eastAsia="微软雅黑" w:cs="微软雅黑"/>
                <w:sz w:val="18"/>
                <w:szCs w:val="18"/>
              </w:rPr>
            </w:pPr>
          </w:p>
        </w:tc>
        <w:tc>
          <w:tcPr>
            <w:tcW w:w="289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35A06F0F">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储运安定性</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68F2992B">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无变色、无分层，呈均匀液体</w:t>
            </w:r>
          </w:p>
        </w:tc>
        <w:tc>
          <w:tcPr>
            <w:tcW w:w="1570" w:type="dxa"/>
            <w:tcBorders>
              <w:top w:val="single" w:color="auto" w:sz="4" w:space="0"/>
              <w:left w:val="single" w:color="auto" w:sz="4" w:space="0"/>
              <w:bottom w:val="single" w:color="auto" w:sz="4" w:space="0"/>
              <w:right w:val="single" w:color="auto" w:sz="4" w:space="0"/>
            </w:tcBorders>
            <w:shd w:val="clear" w:color="FFFFFF" w:fill="FFFFFF"/>
            <w:vAlign w:val="center"/>
          </w:tcPr>
          <w:p w14:paraId="20C4C917">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GB/T 6144 5.1</w:t>
            </w:r>
          </w:p>
        </w:tc>
      </w:tr>
      <w:tr w14:paraId="271E0B80">
        <w:tblPrEx>
          <w:tblCellMar>
            <w:top w:w="0" w:type="dxa"/>
            <w:left w:w="108" w:type="dxa"/>
            <w:bottom w:w="0" w:type="dxa"/>
            <w:right w:w="108" w:type="dxa"/>
          </w:tblCellMar>
        </w:tblPrEx>
        <w:trPr>
          <w:trHeight w:val="322" w:hRule="exact"/>
          <w:jc w:val="center"/>
        </w:trPr>
        <w:tc>
          <w:tcPr>
            <w:tcW w:w="648" w:type="dxa"/>
            <w:tcBorders>
              <w:top w:val="single" w:color="auto" w:sz="4" w:space="0"/>
              <w:left w:val="single" w:color="auto" w:sz="4" w:space="0"/>
              <w:bottom w:val="single" w:color="auto" w:sz="4" w:space="0"/>
              <w:right w:val="single" w:color="auto" w:sz="4" w:space="0"/>
            </w:tcBorders>
            <w:shd w:val="clear" w:color="FFFFFF" w:fill="FFFFFF"/>
            <w:vAlign w:val="center"/>
          </w:tcPr>
          <w:p w14:paraId="1B3A88D9">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3</w:t>
            </w:r>
          </w:p>
        </w:tc>
        <w:tc>
          <w:tcPr>
            <w:tcW w:w="40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66487CCF">
            <w:pPr>
              <w:pStyle w:val="31"/>
              <w:shd w:val="clear" w:color="FFFFFF" w:fill="FFFFFF"/>
              <w:spacing w:before="0" w:after="74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稀</w:t>
            </w:r>
          </w:p>
          <w:p w14:paraId="46797E01">
            <w:pPr>
              <w:pStyle w:val="31"/>
              <w:shd w:val="clear" w:color="FFFFFF" w:fill="FFFFFF"/>
              <w:spacing w:before="0" w:after="74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释</w:t>
            </w:r>
          </w:p>
          <w:p w14:paraId="01526F84">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液</w:t>
            </w:r>
          </w:p>
        </w:tc>
        <w:tc>
          <w:tcPr>
            <w:tcW w:w="289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09EC348B">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相态</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0D98291D">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1570" w:type="dxa"/>
            <w:tcBorders>
              <w:top w:val="single" w:color="auto" w:sz="4" w:space="0"/>
              <w:left w:val="single" w:color="auto" w:sz="4" w:space="0"/>
              <w:bottom w:val="single" w:color="auto" w:sz="4" w:space="0"/>
              <w:right w:val="single" w:color="auto" w:sz="4" w:space="0"/>
            </w:tcBorders>
            <w:shd w:val="clear" w:color="FFFFFF" w:fill="FFFFFF"/>
            <w:vAlign w:val="center"/>
          </w:tcPr>
          <w:p w14:paraId="41D5E1CB">
            <w:pPr>
              <w:pStyle w:val="31"/>
              <w:shd w:val="clear" w:color="FFFFFF" w:fill="FFFFFF"/>
              <w:spacing w:before="0" w:after="0" w:line="240" w:lineRule="auto"/>
              <w:ind w:left="0" w:right="0" w:firstLine="48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目测</w:t>
            </w:r>
          </w:p>
        </w:tc>
      </w:tr>
      <w:tr w14:paraId="121FD170">
        <w:tblPrEx>
          <w:tblCellMar>
            <w:top w:w="0" w:type="dxa"/>
            <w:left w:w="108" w:type="dxa"/>
            <w:bottom w:w="0" w:type="dxa"/>
            <w:right w:w="108" w:type="dxa"/>
          </w:tblCellMar>
        </w:tblPrEx>
        <w:trPr>
          <w:trHeight w:val="326" w:hRule="exact"/>
          <w:jc w:val="center"/>
        </w:trPr>
        <w:tc>
          <w:tcPr>
            <w:tcW w:w="648" w:type="dxa"/>
            <w:tcBorders>
              <w:top w:val="single" w:color="auto" w:sz="4" w:space="0"/>
              <w:left w:val="single" w:color="auto" w:sz="4" w:space="0"/>
              <w:bottom w:val="single" w:color="auto" w:sz="4" w:space="0"/>
              <w:right w:val="single" w:color="auto" w:sz="4" w:space="0"/>
            </w:tcBorders>
            <w:shd w:val="clear" w:color="FFFFFF" w:fill="FFFFFF"/>
            <w:vAlign w:val="center"/>
          </w:tcPr>
          <w:p w14:paraId="0514DB2E">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4</w:t>
            </w: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997F411">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289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5BF89AC1">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lang w:val="en-US" w:eastAsia="en-US" w:bidi="en-US"/>
              </w:rPr>
              <w:t>pH</w:t>
            </w:r>
            <w:r>
              <w:rPr>
                <w:rFonts w:hint="eastAsia" w:ascii="微软雅黑" w:hAnsi="微软雅黑" w:eastAsia="微软雅黑" w:cs="微软雅黑"/>
                <w:color w:val="000000"/>
                <w:spacing w:val="0"/>
                <w:w w:val="100"/>
                <w:position w:val="0"/>
                <w:sz w:val="18"/>
                <w:szCs w:val="18"/>
              </w:rPr>
              <w:t>值</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7755B825">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lang w:val="en-US" w:eastAsia="en-US" w:bidi="en-US"/>
              </w:rPr>
              <w:t>8.0-9.5</w:t>
            </w:r>
          </w:p>
        </w:tc>
        <w:tc>
          <w:tcPr>
            <w:tcW w:w="1570" w:type="dxa"/>
            <w:tcBorders>
              <w:top w:val="single" w:color="auto" w:sz="4" w:space="0"/>
              <w:left w:val="single" w:color="auto" w:sz="4" w:space="0"/>
              <w:bottom w:val="single" w:color="auto" w:sz="4" w:space="0"/>
              <w:right w:val="single" w:color="auto" w:sz="4" w:space="0"/>
            </w:tcBorders>
            <w:shd w:val="clear" w:color="FFFFFF" w:fill="FFFFFF"/>
            <w:vAlign w:val="center"/>
          </w:tcPr>
          <w:p w14:paraId="50B70D74">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GB/T6144 5.3</w:t>
            </w:r>
          </w:p>
        </w:tc>
      </w:tr>
      <w:tr w14:paraId="708A5B16">
        <w:tblPrEx>
          <w:tblCellMar>
            <w:top w:w="0" w:type="dxa"/>
            <w:left w:w="108" w:type="dxa"/>
            <w:bottom w:w="0" w:type="dxa"/>
            <w:right w:w="108" w:type="dxa"/>
          </w:tblCellMar>
        </w:tblPrEx>
        <w:trPr>
          <w:trHeight w:val="283" w:hRule="exact"/>
          <w:jc w:val="center"/>
        </w:trPr>
        <w:tc>
          <w:tcPr>
            <w:tcW w:w="648" w:type="dxa"/>
            <w:tcBorders>
              <w:top w:val="single" w:color="auto" w:sz="4" w:space="0"/>
              <w:left w:val="single" w:color="auto" w:sz="4" w:space="0"/>
              <w:bottom w:val="single" w:color="auto" w:sz="4" w:space="0"/>
              <w:right w:val="single" w:color="auto" w:sz="4" w:space="0"/>
            </w:tcBorders>
            <w:shd w:val="clear" w:color="FFFFFF" w:fill="FFFFFF"/>
            <w:vAlign w:val="center"/>
          </w:tcPr>
          <w:p w14:paraId="61ADD4ED">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5</w:t>
            </w: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1C3DF9B">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289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49DCCCC6">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消泡性</w:t>
            </w:r>
            <w:r>
              <w:rPr>
                <w:rFonts w:hint="eastAsia" w:ascii="微软雅黑" w:hAnsi="微软雅黑" w:eastAsia="微软雅黑" w:cs="微软雅黑"/>
                <w:color w:val="000000"/>
                <w:spacing w:val="0"/>
                <w:w w:val="100"/>
                <w:position w:val="0"/>
                <w:sz w:val="18"/>
                <w:szCs w:val="18"/>
                <w:lang w:val="en-US" w:eastAsia="en-US" w:bidi="en-US"/>
              </w:rPr>
              <w:t>mL/10 min</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4905750B">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lang w:val="en-US" w:eastAsia="zh-CN" w:bidi="en-US"/>
              </w:rPr>
              <w:t>≤</w:t>
            </w:r>
            <w:r>
              <w:rPr>
                <w:rFonts w:hint="eastAsia" w:ascii="微软雅黑" w:hAnsi="微软雅黑" w:eastAsia="微软雅黑" w:cs="微软雅黑"/>
                <w:color w:val="000000"/>
                <w:spacing w:val="0"/>
                <w:w w:val="100"/>
                <w:position w:val="0"/>
                <w:sz w:val="18"/>
                <w:szCs w:val="18"/>
                <w:lang w:val="en-US" w:eastAsia="en-US" w:bidi="en-US"/>
              </w:rPr>
              <w:t>2</w:t>
            </w:r>
          </w:p>
        </w:tc>
        <w:tc>
          <w:tcPr>
            <w:tcW w:w="1570" w:type="dxa"/>
            <w:tcBorders>
              <w:top w:val="single" w:color="auto" w:sz="4" w:space="0"/>
              <w:left w:val="single" w:color="auto" w:sz="4" w:space="0"/>
              <w:bottom w:val="single" w:color="auto" w:sz="4" w:space="0"/>
              <w:right w:val="single" w:color="auto" w:sz="4" w:space="0"/>
            </w:tcBorders>
            <w:shd w:val="clear" w:color="FFFFFF" w:fill="FFFFFF"/>
            <w:vAlign w:val="center"/>
          </w:tcPr>
          <w:p w14:paraId="5D775707">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SH/T 6144 5.4</w:t>
            </w:r>
          </w:p>
        </w:tc>
      </w:tr>
      <w:tr w14:paraId="71178856">
        <w:tblPrEx>
          <w:tblCellMar>
            <w:top w:w="0" w:type="dxa"/>
            <w:left w:w="108" w:type="dxa"/>
            <w:bottom w:w="0" w:type="dxa"/>
            <w:right w:w="108" w:type="dxa"/>
          </w:tblCellMar>
        </w:tblPrEx>
        <w:trPr>
          <w:trHeight w:val="393" w:hRule="exact"/>
          <w:jc w:val="center"/>
        </w:trPr>
        <w:tc>
          <w:tcPr>
            <w:tcW w:w="648" w:type="dxa"/>
            <w:tcBorders>
              <w:top w:val="single" w:color="auto" w:sz="4" w:space="0"/>
              <w:left w:val="single" w:color="auto" w:sz="4" w:space="0"/>
              <w:bottom w:val="single" w:color="auto" w:sz="4" w:space="0"/>
              <w:right w:val="single" w:color="auto" w:sz="4" w:space="0"/>
            </w:tcBorders>
            <w:shd w:val="clear" w:color="FFFFFF" w:fill="FFFFFF"/>
            <w:vAlign w:val="center"/>
          </w:tcPr>
          <w:p w14:paraId="32CCD2A3">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6</w:t>
            </w: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6815849C">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289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0A817D7A">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表面张力</w:t>
            </w:r>
            <w:r>
              <w:rPr>
                <w:rFonts w:hint="eastAsia" w:ascii="微软雅黑" w:hAnsi="微软雅黑" w:eastAsia="微软雅黑" w:cs="微软雅黑"/>
                <w:color w:val="000000"/>
                <w:spacing w:val="0"/>
                <w:w w:val="100"/>
                <w:position w:val="0"/>
                <w:sz w:val="18"/>
                <w:szCs w:val="18"/>
                <w:lang w:val="en-US" w:eastAsia="en-US" w:bidi="en-US"/>
              </w:rPr>
              <w:t>mN/m</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75D98BC0">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&lt;40</w:t>
            </w:r>
          </w:p>
        </w:tc>
        <w:tc>
          <w:tcPr>
            <w:tcW w:w="1570" w:type="dxa"/>
            <w:tcBorders>
              <w:top w:val="single" w:color="auto" w:sz="4" w:space="0"/>
              <w:left w:val="single" w:color="auto" w:sz="4" w:space="0"/>
              <w:bottom w:val="single" w:color="auto" w:sz="4" w:space="0"/>
              <w:right w:val="single" w:color="auto" w:sz="4" w:space="0"/>
            </w:tcBorders>
            <w:shd w:val="clear" w:color="FFFFFF" w:fill="FFFFFF"/>
            <w:vAlign w:val="center"/>
          </w:tcPr>
          <w:p w14:paraId="3984333F">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GB/T 6144 5.5</w:t>
            </w:r>
          </w:p>
        </w:tc>
      </w:tr>
      <w:tr w14:paraId="0FF757DC">
        <w:tblPrEx>
          <w:tblCellMar>
            <w:top w:w="0" w:type="dxa"/>
            <w:left w:w="108" w:type="dxa"/>
            <w:bottom w:w="0" w:type="dxa"/>
            <w:right w:w="108" w:type="dxa"/>
          </w:tblCellMar>
        </w:tblPrEx>
        <w:trPr>
          <w:trHeight w:val="326" w:hRule="exact"/>
          <w:jc w:val="center"/>
        </w:trPr>
        <w:tc>
          <w:tcPr>
            <w:tcW w:w="64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F6498EC">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7</w:t>
            </w: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31A23BE4">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1037"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5BBECAC5">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腐蚀试验</w:t>
            </w:r>
          </w:p>
        </w:tc>
        <w:tc>
          <w:tcPr>
            <w:tcW w:w="1853" w:type="dxa"/>
            <w:tcBorders>
              <w:top w:val="single" w:color="auto" w:sz="4" w:space="0"/>
              <w:left w:val="single" w:color="auto" w:sz="4" w:space="0"/>
              <w:bottom w:val="single" w:color="auto" w:sz="4" w:space="0"/>
              <w:right w:val="single" w:color="auto" w:sz="4" w:space="0"/>
            </w:tcBorders>
            <w:shd w:val="clear" w:color="FFFFFF" w:fill="FFFFFF"/>
            <w:vAlign w:val="center"/>
          </w:tcPr>
          <w:p w14:paraId="638DF3A7">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lang w:val="en-US" w:eastAsia="en-US" w:bidi="en-US"/>
              </w:rPr>
              <w:t xml:space="preserve">HT </w:t>
            </w:r>
            <w:r>
              <w:rPr>
                <w:rFonts w:hint="eastAsia" w:ascii="微软雅黑" w:hAnsi="微软雅黑" w:eastAsia="微软雅黑" w:cs="微软雅黑"/>
                <w:color w:val="000000"/>
                <w:spacing w:val="0"/>
                <w:w w:val="100"/>
                <w:position w:val="0"/>
                <w:sz w:val="18"/>
                <w:szCs w:val="18"/>
              </w:rPr>
              <w:t>300灰铸铁</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2328C2E8">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 xml:space="preserve">24 </w:t>
            </w:r>
            <w:r>
              <w:rPr>
                <w:rFonts w:hint="eastAsia" w:ascii="微软雅黑" w:hAnsi="微软雅黑" w:eastAsia="微软雅黑" w:cs="微软雅黑"/>
                <w:color w:val="000000"/>
                <w:spacing w:val="0"/>
                <w:w w:val="100"/>
                <w:position w:val="0"/>
                <w:sz w:val="18"/>
                <w:szCs w:val="18"/>
                <w:lang w:val="en-US" w:eastAsia="en-US" w:bidi="en-US"/>
              </w:rPr>
              <w:t>h</w:t>
            </w:r>
            <w:r>
              <w:rPr>
                <w:rFonts w:hint="eastAsia" w:ascii="微软雅黑" w:hAnsi="微软雅黑" w:eastAsia="微软雅黑" w:cs="微软雅黑"/>
                <w:color w:val="000000"/>
                <w:spacing w:val="0"/>
                <w:w w:val="100"/>
                <w:position w:val="0"/>
                <w:sz w:val="18"/>
                <w:szCs w:val="18"/>
              </w:rPr>
              <w:t>试验后，检验合格</w:t>
            </w:r>
          </w:p>
        </w:tc>
        <w:tc>
          <w:tcPr>
            <w:tcW w:w="157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5759B335">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GB/T6144 5.6</w:t>
            </w:r>
          </w:p>
        </w:tc>
      </w:tr>
      <w:tr w14:paraId="58E3F201">
        <w:tblPrEx>
          <w:tblCellMar>
            <w:top w:w="0" w:type="dxa"/>
            <w:left w:w="108" w:type="dxa"/>
            <w:bottom w:w="0" w:type="dxa"/>
            <w:right w:w="108" w:type="dxa"/>
          </w:tblCellMar>
        </w:tblPrEx>
        <w:trPr>
          <w:trHeight w:val="326" w:hRule="exact"/>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037341B">
            <w:pPr>
              <w:pStyle w:val="31"/>
              <w:shd w:val="clear" w:color="FFFFFF" w:fill="FFFFFF"/>
              <w:spacing w:before="0" w:after="0" w:line="240" w:lineRule="auto"/>
              <w:ind w:left="0" w:right="0" w:firstLine="240"/>
              <w:jc w:val="center"/>
              <w:rPr>
                <w:rFonts w:hint="eastAsia" w:ascii="微软雅黑" w:hAnsi="微软雅黑" w:eastAsia="微软雅黑" w:cs="微软雅黑"/>
                <w:sz w:val="18"/>
                <w:szCs w:val="18"/>
              </w:rPr>
            </w:pP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09143245">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1037"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6D2BE4D8">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1853" w:type="dxa"/>
            <w:tcBorders>
              <w:top w:val="single" w:color="auto" w:sz="4" w:space="0"/>
              <w:left w:val="single" w:color="auto" w:sz="4" w:space="0"/>
              <w:bottom w:val="single" w:color="auto" w:sz="4" w:space="0"/>
              <w:right w:val="single" w:color="auto" w:sz="4" w:space="0"/>
            </w:tcBorders>
            <w:shd w:val="clear" w:color="FFFFFF" w:fill="FFFFFF"/>
            <w:vAlign w:val="center"/>
          </w:tcPr>
          <w:p w14:paraId="2870C6E3">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lang w:val="en-US" w:eastAsia="en-US" w:bidi="en-US"/>
              </w:rPr>
              <w:t>T2</w:t>
            </w:r>
            <w:r>
              <w:rPr>
                <w:rFonts w:hint="eastAsia" w:ascii="微软雅黑" w:hAnsi="微软雅黑" w:eastAsia="微软雅黑" w:cs="微软雅黑"/>
                <w:color w:val="000000"/>
                <w:spacing w:val="0"/>
                <w:w w:val="100"/>
                <w:position w:val="0"/>
                <w:sz w:val="18"/>
                <w:szCs w:val="18"/>
              </w:rPr>
              <w:t>紫铜</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6653A943">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 xml:space="preserve">8 </w:t>
            </w:r>
            <w:r>
              <w:rPr>
                <w:rFonts w:hint="eastAsia" w:ascii="微软雅黑" w:hAnsi="微软雅黑" w:eastAsia="微软雅黑" w:cs="微软雅黑"/>
                <w:color w:val="000000"/>
                <w:spacing w:val="0"/>
                <w:w w:val="100"/>
                <w:position w:val="0"/>
                <w:sz w:val="18"/>
                <w:szCs w:val="18"/>
                <w:lang w:val="en-US" w:eastAsia="en-US" w:bidi="en-US"/>
              </w:rPr>
              <w:t>h</w:t>
            </w:r>
            <w:r>
              <w:rPr>
                <w:rFonts w:hint="eastAsia" w:ascii="微软雅黑" w:hAnsi="微软雅黑" w:eastAsia="微软雅黑" w:cs="微软雅黑"/>
                <w:color w:val="000000"/>
                <w:spacing w:val="0"/>
                <w:w w:val="100"/>
                <w:position w:val="0"/>
                <w:sz w:val="18"/>
                <w:szCs w:val="18"/>
              </w:rPr>
              <w:t>试验后，检验合格</w:t>
            </w:r>
          </w:p>
        </w:tc>
        <w:tc>
          <w:tcPr>
            <w:tcW w:w="1570"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315FB30D">
            <w:pPr>
              <w:pStyle w:val="31"/>
              <w:shd w:val="clear" w:color="FFFFFF" w:fill="FFFFFF"/>
              <w:spacing w:before="0" w:after="0" w:line="240" w:lineRule="auto"/>
              <w:ind w:left="0" w:right="0" w:firstLine="480"/>
              <w:jc w:val="center"/>
              <w:rPr>
                <w:rFonts w:hint="eastAsia" w:ascii="微软雅黑" w:hAnsi="微软雅黑" w:eastAsia="微软雅黑" w:cs="微软雅黑"/>
                <w:sz w:val="18"/>
                <w:szCs w:val="18"/>
              </w:rPr>
            </w:pPr>
          </w:p>
        </w:tc>
      </w:tr>
      <w:tr w14:paraId="58E0B600">
        <w:tblPrEx>
          <w:tblCellMar>
            <w:top w:w="0" w:type="dxa"/>
            <w:left w:w="108" w:type="dxa"/>
            <w:bottom w:w="0" w:type="dxa"/>
            <w:right w:w="108" w:type="dxa"/>
          </w:tblCellMar>
        </w:tblPrEx>
        <w:trPr>
          <w:trHeight w:val="322" w:hRule="exact"/>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00AFB228">
            <w:pPr>
              <w:pStyle w:val="31"/>
              <w:shd w:val="clear" w:color="FFFFFF" w:fill="FFFFFF"/>
              <w:spacing w:before="0" w:after="0" w:line="240" w:lineRule="auto"/>
              <w:ind w:left="0" w:right="0" w:firstLine="240"/>
              <w:jc w:val="center"/>
              <w:rPr>
                <w:rFonts w:hint="eastAsia" w:ascii="微软雅黑" w:hAnsi="微软雅黑" w:eastAsia="微软雅黑" w:cs="微软雅黑"/>
                <w:sz w:val="18"/>
                <w:szCs w:val="18"/>
              </w:rPr>
            </w:pP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E082F00">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1037"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3153BD9">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1853" w:type="dxa"/>
            <w:tcBorders>
              <w:top w:val="single" w:color="auto" w:sz="4" w:space="0"/>
              <w:left w:val="single" w:color="auto" w:sz="4" w:space="0"/>
              <w:bottom w:val="single" w:color="auto" w:sz="4" w:space="0"/>
              <w:right w:val="single" w:color="auto" w:sz="4" w:space="0"/>
            </w:tcBorders>
            <w:shd w:val="clear" w:color="FFFFFF" w:fill="FFFFFF"/>
            <w:vAlign w:val="center"/>
          </w:tcPr>
          <w:p w14:paraId="35005D97">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lang w:val="en-US" w:eastAsia="en-US" w:bidi="en-US"/>
              </w:rPr>
              <w:t xml:space="preserve">2A12 </w:t>
            </w:r>
            <w:r>
              <w:rPr>
                <w:rFonts w:hint="eastAsia" w:ascii="微软雅黑" w:hAnsi="微软雅黑" w:eastAsia="微软雅黑" w:cs="微软雅黑"/>
                <w:color w:val="000000"/>
                <w:spacing w:val="0"/>
                <w:w w:val="100"/>
                <w:position w:val="0"/>
                <w:sz w:val="18"/>
                <w:szCs w:val="18"/>
              </w:rPr>
              <w:t>铝</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5442A93C">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 xml:space="preserve">8 </w:t>
            </w:r>
            <w:r>
              <w:rPr>
                <w:rFonts w:hint="eastAsia" w:ascii="微软雅黑" w:hAnsi="微软雅黑" w:eastAsia="微软雅黑" w:cs="微软雅黑"/>
                <w:color w:val="000000"/>
                <w:spacing w:val="0"/>
                <w:w w:val="100"/>
                <w:position w:val="0"/>
                <w:sz w:val="18"/>
                <w:szCs w:val="18"/>
                <w:lang w:val="en-US" w:eastAsia="en-US" w:bidi="en-US"/>
              </w:rPr>
              <w:t>h</w:t>
            </w:r>
            <w:r>
              <w:rPr>
                <w:rFonts w:hint="eastAsia" w:ascii="微软雅黑" w:hAnsi="微软雅黑" w:eastAsia="微软雅黑" w:cs="微软雅黑"/>
                <w:color w:val="000000"/>
                <w:spacing w:val="0"/>
                <w:w w:val="100"/>
                <w:position w:val="0"/>
                <w:sz w:val="18"/>
                <w:szCs w:val="18"/>
              </w:rPr>
              <w:t>试验后，检验含格</w:t>
            </w:r>
          </w:p>
        </w:tc>
        <w:tc>
          <w:tcPr>
            <w:tcW w:w="1570"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081DBB1F">
            <w:pPr>
              <w:pStyle w:val="31"/>
              <w:shd w:val="clear" w:color="FFFFFF" w:fill="FFFFFF"/>
              <w:spacing w:before="0" w:after="0" w:line="240" w:lineRule="auto"/>
              <w:ind w:left="0" w:right="0" w:firstLine="480"/>
              <w:jc w:val="center"/>
              <w:rPr>
                <w:rFonts w:hint="eastAsia" w:ascii="微软雅黑" w:hAnsi="微软雅黑" w:eastAsia="微软雅黑" w:cs="微软雅黑"/>
                <w:sz w:val="18"/>
                <w:szCs w:val="18"/>
              </w:rPr>
            </w:pPr>
          </w:p>
        </w:tc>
      </w:tr>
      <w:tr w14:paraId="3D54917A">
        <w:tblPrEx>
          <w:tblCellMar>
            <w:top w:w="0" w:type="dxa"/>
            <w:left w:w="108" w:type="dxa"/>
            <w:bottom w:w="0" w:type="dxa"/>
            <w:right w:w="108" w:type="dxa"/>
          </w:tblCellMar>
        </w:tblPrEx>
        <w:trPr>
          <w:trHeight w:val="326" w:hRule="exact"/>
          <w:jc w:val="center"/>
        </w:trPr>
        <w:tc>
          <w:tcPr>
            <w:tcW w:w="64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00FE18D3">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8</w:t>
            </w: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3210C212">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1037"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979BE85">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防锈试验</w:t>
            </w:r>
          </w:p>
        </w:tc>
        <w:tc>
          <w:tcPr>
            <w:tcW w:w="1853" w:type="dxa"/>
            <w:tcBorders>
              <w:top w:val="single" w:color="auto" w:sz="4" w:space="0"/>
              <w:left w:val="single" w:color="auto" w:sz="4" w:space="0"/>
              <w:bottom w:val="single" w:color="auto" w:sz="4" w:space="0"/>
              <w:right w:val="single" w:color="auto" w:sz="4" w:space="0"/>
            </w:tcBorders>
            <w:shd w:val="clear" w:color="FFFFFF" w:fill="FFFFFF"/>
            <w:vAlign w:val="center"/>
          </w:tcPr>
          <w:p w14:paraId="78CCEE17">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lang w:val="en-US" w:eastAsia="en-US" w:bidi="en-US"/>
              </w:rPr>
              <w:t>HT300</w:t>
            </w:r>
            <w:r>
              <w:rPr>
                <w:rFonts w:hint="eastAsia" w:ascii="微软雅黑" w:hAnsi="微软雅黑" w:eastAsia="微软雅黑" w:cs="微软雅黑"/>
                <w:color w:val="000000"/>
                <w:spacing w:val="0"/>
                <w:w w:val="100"/>
                <w:position w:val="0"/>
                <w:sz w:val="18"/>
                <w:szCs w:val="18"/>
              </w:rPr>
              <w:t>灰铸铁单片</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79580039">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 xml:space="preserve">24 </w:t>
            </w:r>
            <w:r>
              <w:rPr>
                <w:rFonts w:hint="eastAsia" w:ascii="微软雅黑" w:hAnsi="微软雅黑" w:eastAsia="微软雅黑" w:cs="微软雅黑"/>
                <w:color w:val="000000"/>
                <w:spacing w:val="0"/>
                <w:w w:val="100"/>
                <w:position w:val="0"/>
                <w:sz w:val="18"/>
                <w:szCs w:val="18"/>
                <w:lang w:val="en-US" w:eastAsia="en-US" w:bidi="en-US"/>
              </w:rPr>
              <w:t>h</w:t>
            </w:r>
            <w:r>
              <w:rPr>
                <w:rFonts w:hint="eastAsia" w:ascii="微软雅黑" w:hAnsi="微软雅黑" w:eastAsia="微软雅黑" w:cs="微软雅黑"/>
                <w:color w:val="000000"/>
                <w:spacing w:val="0"/>
                <w:w w:val="100"/>
                <w:position w:val="0"/>
                <w:sz w:val="18"/>
                <w:szCs w:val="18"/>
              </w:rPr>
              <w:t>试验后，检验合格</w:t>
            </w:r>
          </w:p>
        </w:tc>
        <w:tc>
          <w:tcPr>
            <w:tcW w:w="157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099AE509">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GB/T6144 5.7</w:t>
            </w:r>
          </w:p>
        </w:tc>
      </w:tr>
      <w:tr w14:paraId="7CE6AB94">
        <w:tblPrEx>
          <w:tblCellMar>
            <w:top w:w="0" w:type="dxa"/>
            <w:left w:w="108" w:type="dxa"/>
            <w:bottom w:w="0" w:type="dxa"/>
            <w:right w:w="108" w:type="dxa"/>
          </w:tblCellMar>
        </w:tblPrEx>
        <w:trPr>
          <w:trHeight w:val="322" w:hRule="exact"/>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B20E29F">
            <w:pPr>
              <w:pStyle w:val="31"/>
              <w:shd w:val="clear" w:color="FFFFFF" w:fill="FFFFFF"/>
              <w:spacing w:before="0" w:after="0" w:line="240" w:lineRule="auto"/>
              <w:ind w:left="0" w:right="0" w:firstLine="240"/>
              <w:jc w:val="center"/>
              <w:rPr>
                <w:rFonts w:hint="eastAsia" w:ascii="微软雅黑" w:hAnsi="微软雅黑" w:eastAsia="微软雅黑" w:cs="微软雅黑"/>
                <w:sz w:val="18"/>
                <w:szCs w:val="18"/>
              </w:rPr>
            </w:pP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335EF8A9">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1037"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52120A9">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1853" w:type="dxa"/>
            <w:tcBorders>
              <w:top w:val="single" w:color="auto" w:sz="4" w:space="0"/>
              <w:left w:val="single" w:color="auto" w:sz="4" w:space="0"/>
              <w:bottom w:val="single" w:color="auto" w:sz="4" w:space="0"/>
              <w:right w:val="single" w:color="auto" w:sz="4" w:space="0"/>
            </w:tcBorders>
            <w:shd w:val="clear" w:color="FFFFFF" w:fill="FFFFFF"/>
            <w:vAlign w:val="center"/>
          </w:tcPr>
          <w:p w14:paraId="5410F942">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lang w:val="en-US" w:eastAsia="en-US" w:bidi="en-US"/>
              </w:rPr>
              <w:t>HT300</w:t>
            </w:r>
            <w:r>
              <w:rPr>
                <w:rFonts w:hint="eastAsia" w:ascii="微软雅黑" w:hAnsi="微软雅黑" w:eastAsia="微软雅黑" w:cs="微软雅黑"/>
                <w:color w:val="000000"/>
                <w:spacing w:val="0"/>
                <w:w w:val="100"/>
                <w:position w:val="0"/>
                <w:sz w:val="18"/>
                <w:szCs w:val="18"/>
              </w:rPr>
              <w:t>灰铸铁叠片</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4F378261">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 xml:space="preserve">8 </w:t>
            </w:r>
            <w:r>
              <w:rPr>
                <w:rFonts w:hint="eastAsia" w:ascii="微软雅黑" w:hAnsi="微软雅黑" w:eastAsia="微软雅黑" w:cs="微软雅黑"/>
                <w:color w:val="000000"/>
                <w:spacing w:val="0"/>
                <w:w w:val="100"/>
                <w:position w:val="0"/>
                <w:sz w:val="18"/>
                <w:szCs w:val="18"/>
                <w:lang w:val="en-US" w:eastAsia="en-US" w:bidi="en-US"/>
              </w:rPr>
              <w:t>h</w:t>
            </w:r>
            <w:r>
              <w:rPr>
                <w:rFonts w:hint="eastAsia" w:ascii="微软雅黑" w:hAnsi="微软雅黑" w:eastAsia="微软雅黑" w:cs="微软雅黑"/>
                <w:color w:val="000000"/>
                <w:spacing w:val="0"/>
                <w:w w:val="100"/>
                <w:position w:val="0"/>
                <w:sz w:val="18"/>
                <w:szCs w:val="18"/>
              </w:rPr>
              <w:t>试验后，检验合格</w:t>
            </w:r>
          </w:p>
        </w:tc>
        <w:tc>
          <w:tcPr>
            <w:tcW w:w="1570"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71ABE476">
            <w:pPr>
              <w:pStyle w:val="31"/>
              <w:shd w:val="clear" w:color="FFFFFF" w:fill="FFFFFF"/>
              <w:spacing w:before="0" w:after="0" w:line="240" w:lineRule="auto"/>
              <w:ind w:left="0" w:right="0" w:firstLine="480"/>
              <w:jc w:val="center"/>
              <w:rPr>
                <w:rFonts w:hint="eastAsia" w:ascii="微软雅黑" w:hAnsi="微软雅黑" w:eastAsia="微软雅黑" w:cs="微软雅黑"/>
                <w:sz w:val="18"/>
                <w:szCs w:val="18"/>
              </w:rPr>
            </w:pPr>
          </w:p>
        </w:tc>
      </w:tr>
      <w:tr w14:paraId="6D227406">
        <w:tblPrEx>
          <w:tblCellMar>
            <w:top w:w="0" w:type="dxa"/>
            <w:left w:w="108" w:type="dxa"/>
            <w:bottom w:w="0" w:type="dxa"/>
            <w:right w:w="108" w:type="dxa"/>
          </w:tblCellMar>
        </w:tblPrEx>
        <w:trPr>
          <w:trHeight w:val="326" w:hRule="exact"/>
          <w:jc w:val="center"/>
        </w:trPr>
        <w:tc>
          <w:tcPr>
            <w:tcW w:w="64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3386CB1B">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9</w:t>
            </w: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022435AE">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1037"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43A00A50">
            <w:pPr>
              <w:pStyle w:val="31"/>
              <w:shd w:val="clear" w:color="FFFFFF" w:fill="FFFFFF"/>
              <w:spacing w:before="0" w:after="0" w:line="312" w:lineRule="atLeast"/>
              <w:ind w:left="220" w:right="0" w:firstLine="2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稀释液 安定性</w:t>
            </w:r>
          </w:p>
        </w:tc>
        <w:tc>
          <w:tcPr>
            <w:tcW w:w="1853" w:type="dxa"/>
            <w:tcBorders>
              <w:top w:val="single" w:color="auto" w:sz="4" w:space="0"/>
              <w:left w:val="single" w:color="auto" w:sz="4" w:space="0"/>
              <w:bottom w:val="single" w:color="auto" w:sz="4" w:space="0"/>
              <w:right w:val="single" w:color="auto" w:sz="4" w:space="0"/>
            </w:tcBorders>
            <w:shd w:val="clear" w:color="FFFFFF" w:fill="FFFFFF"/>
            <w:vAlign w:val="center"/>
          </w:tcPr>
          <w:p w14:paraId="5FA0D59F">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油</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425D156D">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无</w:t>
            </w:r>
          </w:p>
        </w:tc>
        <w:tc>
          <w:tcPr>
            <w:tcW w:w="157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64DE93FA">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r>
      <w:tr w14:paraId="5E9BB060">
        <w:tblPrEx>
          <w:tblCellMar>
            <w:top w:w="0" w:type="dxa"/>
            <w:left w:w="108" w:type="dxa"/>
            <w:bottom w:w="0" w:type="dxa"/>
            <w:right w:w="108" w:type="dxa"/>
          </w:tblCellMar>
        </w:tblPrEx>
        <w:trPr>
          <w:trHeight w:val="322" w:hRule="exact"/>
          <w:jc w:val="center"/>
        </w:trPr>
        <w:tc>
          <w:tcPr>
            <w:tcW w:w="64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39029B2E">
            <w:pPr>
              <w:pStyle w:val="31"/>
              <w:shd w:val="clear" w:color="FFFFFF" w:fill="FFFFFF"/>
              <w:spacing w:before="0" w:after="0" w:line="240" w:lineRule="auto"/>
              <w:ind w:left="0" w:right="0" w:firstLine="240"/>
              <w:jc w:val="center"/>
              <w:rPr>
                <w:rFonts w:hint="eastAsia" w:ascii="微软雅黑" w:hAnsi="微软雅黑" w:eastAsia="微软雅黑" w:cs="微软雅黑"/>
                <w:sz w:val="18"/>
                <w:szCs w:val="18"/>
              </w:rPr>
            </w:pP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26EB57DA">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1037"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4404E8B">
            <w:pPr>
              <w:pStyle w:val="31"/>
              <w:shd w:val="clear" w:color="FFFFFF" w:fill="FFFFFF"/>
              <w:spacing w:before="0" w:after="0" w:line="312" w:lineRule="atLeast"/>
              <w:ind w:left="220" w:right="0" w:firstLine="20"/>
              <w:jc w:val="center"/>
              <w:rPr>
                <w:rFonts w:hint="eastAsia" w:ascii="微软雅黑" w:hAnsi="微软雅黑" w:eastAsia="微软雅黑" w:cs="微软雅黑"/>
                <w:sz w:val="18"/>
                <w:szCs w:val="18"/>
              </w:rPr>
            </w:pPr>
          </w:p>
        </w:tc>
        <w:tc>
          <w:tcPr>
            <w:tcW w:w="1853" w:type="dxa"/>
            <w:tcBorders>
              <w:top w:val="single" w:color="auto" w:sz="4" w:space="0"/>
              <w:left w:val="single" w:color="auto" w:sz="4" w:space="0"/>
              <w:bottom w:val="single" w:color="auto" w:sz="4" w:space="0"/>
              <w:right w:val="single" w:color="auto" w:sz="4" w:space="0"/>
            </w:tcBorders>
            <w:shd w:val="clear" w:color="FFFFFF" w:fill="FFFFFF"/>
            <w:vAlign w:val="center"/>
          </w:tcPr>
          <w:p w14:paraId="45AEB7CC">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皂</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44C66BF0">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无</w:t>
            </w:r>
          </w:p>
        </w:tc>
        <w:tc>
          <w:tcPr>
            <w:tcW w:w="1570"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71F511F">
            <w:pPr>
              <w:pStyle w:val="31"/>
              <w:shd w:val="clear" w:color="FFFFFF" w:fill="FFFFFF"/>
              <w:spacing w:before="0" w:after="0" w:line="240" w:lineRule="auto"/>
              <w:ind w:left="0" w:right="0" w:firstLine="480"/>
              <w:jc w:val="center"/>
              <w:rPr>
                <w:rFonts w:hint="eastAsia" w:ascii="微软雅黑" w:hAnsi="微软雅黑" w:eastAsia="微软雅黑" w:cs="微软雅黑"/>
                <w:sz w:val="18"/>
                <w:szCs w:val="18"/>
              </w:rPr>
            </w:pPr>
          </w:p>
        </w:tc>
      </w:tr>
      <w:tr w14:paraId="6E8579BC">
        <w:tblPrEx>
          <w:tblCellMar>
            <w:top w:w="0" w:type="dxa"/>
            <w:left w:w="108" w:type="dxa"/>
            <w:bottom w:w="0" w:type="dxa"/>
            <w:right w:w="108" w:type="dxa"/>
          </w:tblCellMar>
        </w:tblPrEx>
        <w:trPr>
          <w:trHeight w:val="326" w:hRule="exact"/>
          <w:jc w:val="center"/>
        </w:trPr>
        <w:tc>
          <w:tcPr>
            <w:tcW w:w="648" w:type="dxa"/>
            <w:tcBorders>
              <w:top w:val="single" w:color="auto" w:sz="4" w:space="0"/>
              <w:left w:val="single" w:color="auto" w:sz="4" w:space="0"/>
              <w:bottom w:val="single" w:color="auto" w:sz="4" w:space="0"/>
              <w:right w:val="single" w:color="auto" w:sz="4" w:space="0"/>
            </w:tcBorders>
            <w:shd w:val="clear" w:color="FFFFFF" w:fill="FFFFFF"/>
            <w:vAlign w:val="center"/>
          </w:tcPr>
          <w:p w14:paraId="330104CC">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lang w:val="en-US" w:eastAsia="zh-CN"/>
              </w:rPr>
              <w:t>10</w:t>
            </w: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48FC8BC">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289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3AB7F0D8">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食盐允许量</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2B822168">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无相分离</w:t>
            </w:r>
          </w:p>
        </w:tc>
        <w:tc>
          <w:tcPr>
            <w:tcW w:w="1570" w:type="dxa"/>
            <w:tcBorders>
              <w:top w:val="single" w:color="auto" w:sz="4" w:space="0"/>
              <w:left w:val="single" w:color="auto" w:sz="4" w:space="0"/>
              <w:bottom w:val="single" w:color="auto" w:sz="4" w:space="0"/>
              <w:right w:val="single" w:color="auto" w:sz="4" w:space="0"/>
            </w:tcBorders>
            <w:shd w:val="clear" w:color="FFFFFF" w:fill="FFFFFF"/>
            <w:vAlign w:val="center"/>
          </w:tcPr>
          <w:p w14:paraId="4A036A71">
            <w:pPr>
              <w:pStyle w:val="31"/>
              <w:shd w:val="clear" w:color="FFFFFF" w:fill="FFFFFF"/>
              <w:spacing w:before="0" w:after="0" w:line="240" w:lineRule="auto"/>
              <w:ind w:left="0" w:right="0" w:firstLine="480"/>
              <w:jc w:val="center"/>
              <w:rPr>
                <w:rFonts w:hint="eastAsia" w:ascii="微软雅黑" w:hAnsi="微软雅黑" w:eastAsia="微软雅黑" w:cs="微软雅黑"/>
                <w:sz w:val="18"/>
                <w:szCs w:val="18"/>
              </w:rPr>
            </w:pPr>
          </w:p>
        </w:tc>
      </w:tr>
      <w:tr w14:paraId="2F06DC4C">
        <w:tblPrEx>
          <w:tblCellMar>
            <w:top w:w="0" w:type="dxa"/>
            <w:left w:w="108" w:type="dxa"/>
            <w:bottom w:w="0" w:type="dxa"/>
            <w:right w:w="108" w:type="dxa"/>
          </w:tblCellMar>
        </w:tblPrEx>
        <w:trPr>
          <w:trHeight w:val="326" w:hRule="exact"/>
          <w:jc w:val="center"/>
        </w:trPr>
        <w:tc>
          <w:tcPr>
            <w:tcW w:w="648" w:type="dxa"/>
            <w:tcBorders>
              <w:top w:val="single" w:color="auto" w:sz="4" w:space="0"/>
              <w:left w:val="single" w:color="auto" w:sz="4" w:space="0"/>
              <w:bottom w:val="single" w:color="auto" w:sz="4" w:space="0"/>
              <w:right w:val="single" w:color="auto" w:sz="4" w:space="0"/>
            </w:tcBorders>
            <w:shd w:val="clear" w:color="FFFFFF" w:fill="FFFFFF"/>
            <w:vAlign w:val="center"/>
          </w:tcPr>
          <w:p w14:paraId="43E3994B">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11</w:t>
            </w: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70FDDCC9">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289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030505BE">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硬水适应性</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5206CB37">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未见絮状物或析出物</w:t>
            </w:r>
          </w:p>
        </w:tc>
        <w:tc>
          <w:tcPr>
            <w:tcW w:w="1570" w:type="dxa"/>
            <w:tcBorders>
              <w:top w:val="single" w:color="auto" w:sz="4" w:space="0"/>
              <w:left w:val="single" w:color="auto" w:sz="4" w:space="0"/>
              <w:bottom w:val="single" w:color="auto" w:sz="4" w:space="0"/>
              <w:right w:val="single" w:color="auto" w:sz="4" w:space="0"/>
            </w:tcBorders>
            <w:shd w:val="clear" w:color="FFFFFF" w:fill="FFFFFF"/>
            <w:vAlign w:val="center"/>
          </w:tcPr>
          <w:p w14:paraId="627009F1">
            <w:pPr>
              <w:pStyle w:val="31"/>
              <w:shd w:val="clear" w:color="FFFFFF" w:fill="FFFFFF"/>
              <w:spacing w:before="0" w:after="0" w:line="240" w:lineRule="auto"/>
              <w:ind w:left="0" w:right="0" w:firstLine="480"/>
              <w:jc w:val="center"/>
              <w:rPr>
                <w:rFonts w:hint="eastAsia" w:ascii="微软雅黑" w:hAnsi="微软雅黑" w:eastAsia="微软雅黑" w:cs="微软雅黑"/>
                <w:sz w:val="18"/>
                <w:szCs w:val="18"/>
              </w:rPr>
            </w:pPr>
          </w:p>
        </w:tc>
      </w:tr>
      <w:tr w14:paraId="244C7E58">
        <w:tblPrEx>
          <w:tblCellMar>
            <w:top w:w="0" w:type="dxa"/>
            <w:left w:w="108" w:type="dxa"/>
            <w:bottom w:w="0" w:type="dxa"/>
            <w:right w:w="108" w:type="dxa"/>
          </w:tblCellMar>
        </w:tblPrEx>
        <w:trPr>
          <w:trHeight w:val="363" w:hRule="exact"/>
          <w:jc w:val="center"/>
        </w:trPr>
        <w:tc>
          <w:tcPr>
            <w:tcW w:w="648" w:type="dxa"/>
            <w:tcBorders>
              <w:top w:val="single" w:color="auto" w:sz="4" w:space="0"/>
              <w:left w:val="single" w:color="auto" w:sz="4" w:space="0"/>
              <w:bottom w:val="single" w:color="auto" w:sz="4" w:space="0"/>
              <w:right w:val="single" w:color="auto" w:sz="4" w:space="0"/>
            </w:tcBorders>
            <w:shd w:val="clear" w:color="FFFFFF" w:fill="FFFFFF"/>
            <w:vAlign w:val="center"/>
          </w:tcPr>
          <w:p w14:paraId="1EEAA4E9">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12</w:t>
            </w: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0000FDBE">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289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72659486">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PB</w:t>
            </w:r>
            <w:r>
              <w:rPr>
                <w:rFonts w:hint="eastAsia" w:ascii="微软雅黑" w:hAnsi="微软雅黑" w:eastAsia="微软雅黑" w:cs="微软雅黑"/>
                <w:sz w:val="18"/>
                <w:szCs w:val="18"/>
                <w:lang w:val="en-US" w:eastAsia="zh-CN"/>
              </w:rPr>
              <w:t>值(N)</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6B4DDF6B">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970N</w:t>
            </w:r>
          </w:p>
        </w:tc>
        <w:tc>
          <w:tcPr>
            <w:tcW w:w="1570" w:type="dxa"/>
            <w:tcBorders>
              <w:top w:val="single" w:color="auto" w:sz="4" w:space="0"/>
              <w:left w:val="single" w:color="auto" w:sz="4" w:space="0"/>
              <w:bottom w:val="single" w:color="auto" w:sz="4" w:space="0"/>
              <w:right w:val="single" w:color="auto" w:sz="4" w:space="0"/>
            </w:tcBorders>
            <w:shd w:val="clear" w:color="FFFFFF" w:fill="FFFFFF"/>
            <w:vAlign w:val="center"/>
          </w:tcPr>
          <w:p w14:paraId="67F9170E">
            <w:pPr>
              <w:pStyle w:val="31"/>
              <w:shd w:val="clear" w:color="FFFFFF" w:fill="FFFFFF"/>
              <w:spacing w:before="0" w:after="0" w:line="240" w:lineRule="auto"/>
              <w:ind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GB/T 3142</w:t>
            </w:r>
          </w:p>
        </w:tc>
      </w:tr>
      <w:tr w14:paraId="1D329EF4">
        <w:tblPrEx>
          <w:tblCellMar>
            <w:top w:w="0" w:type="dxa"/>
            <w:left w:w="108" w:type="dxa"/>
            <w:bottom w:w="0" w:type="dxa"/>
            <w:right w:w="108" w:type="dxa"/>
          </w:tblCellMar>
        </w:tblPrEx>
        <w:trPr>
          <w:trHeight w:val="393" w:hRule="atLeast"/>
          <w:jc w:val="center"/>
        </w:trPr>
        <w:tc>
          <w:tcPr>
            <w:tcW w:w="648" w:type="dxa"/>
            <w:tcBorders>
              <w:top w:val="single" w:color="auto" w:sz="4" w:space="0"/>
              <w:left w:val="single" w:color="auto" w:sz="4" w:space="0"/>
              <w:bottom w:val="single" w:color="auto" w:sz="4" w:space="0"/>
              <w:right w:val="single" w:color="auto" w:sz="4" w:space="0"/>
            </w:tcBorders>
            <w:shd w:val="clear" w:color="FFFFFF" w:fill="FFFFFF"/>
            <w:vAlign w:val="center"/>
          </w:tcPr>
          <w:p w14:paraId="0454EA22">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13</w:t>
            </w: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64183D0D">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289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7C02B7F7">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PD</w:t>
            </w:r>
            <w:r>
              <w:rPr>
                <w:rFonts w:hint="eastAsia" w:ascii="微软雅黑" w:hAnsi="微软雅黑" w:eastAsia="微软雅黑" w:cs="微软雅黑"/>
                <w:sz w:val="18"/>
                <w:szCs w:val="18"/>
                <w:lang w:val="en-US" w:eastAsia="zh-CN"/>
              </w:rPr>
              <w:t>值(N)</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61A0E8EA">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1550N</w:t>
            </w:r>
          </w:p>
        </w:tc>
        <w:tc>
          <w:tcPr>
            <w:tcW w:w="1570" w:type="dxa"/>
            <w:tcBorders>
              <w:top w:val="single" w:color="auto" w:sz="4" w:space="0"/>
              <w:left w:val="single" w:color="auto" w:sz="4" w:space="0"/>
              <w:bottom w:val="single" w:color="auto" w:sz="4" w:space="0"/>
              <w:right w:val="single" w:color="auto" w:sz="4" w:space="0"/>
            </w:tcBorders>
            <w:shd w:val="clear" w:color="FFFFFF" w:fill="FFFFFF"/>
            <w:vAlign w:val="center"/>
          </w:tcPr>
          <w:p w14:paraId="0D00F138">
            <w:pPr>
              <w:pStyle w:val="31"/>
              <w:shd w:val="clear" w:color="FFFFFF" w:fill="FFFFFF"/>
              <w:spacing w:before="0" w:after="0" w:line="240" w:lineRule="auto"/>
              <w:ind w:right="0"/>
              <w:jc w:val="both"/>
              <w:rPr>
                <w:rFonts w:hint="eastAsia" w:ascii="微软雅黑" w:hAnsi="微软雅黑" w:eastAsia="微软雅黑" w:cs="微软雅黑"/>
                <w:b w:val="0"/>
                <w:bCs w:val="0"/>
                <w:i w:val="0"/>
                <w:iCs w:val="0"/>
                <w:smallCaps w:val="0"/>
                <w:color w:val="000000"/>
                <w:spacing w:val="0"/>
                <w:w w:val="100"/>
                <w:position w:val="0"/>
                <w:sz w:val="18"/>
                <w:szCs w:val="18"/>
                <w:u w:val="none"/>
                <w:lang w:val="en-US" w:eastAsia="zh-TW" w:bidi="zh-TW"/>
              </w:rPr>
            </w:pPr>
            <w:r>
              <w:rPr>
                <w:rFonts w:hint="eastAsia" w:ascii="微软雅黑" w:hAnsi="微软雅黑" w:eastAsia="微软雅黑" w:cs="微软雅黑"/>
                <w:sz w:val="18"/>
                <w:szCs w:val="18"/>
                <w:lang w:val="en-US"/>
              </w:rPr>
              <w:t>G</w:t>
            </w:r>
            <w:r>
              <w:rPr>
                <w:rFonts w:hint="eastAsia" w:ascii="微软雅黑" w:hAnsi="微软雅黑" w:eastAsia="微软雅黑" w:cs="微软雅黑"/>
                <w:b w:val="0"/>
                <w:bCs w:val="0"/>
                <w:i w:val="0"/>
                <w:iCs w:val="0"/>
                <w:smallCaps w:val="0"/>
                <w:color w:val="000000"/>
                <w:spacing w:val="0"/>
                <w:w w:val="100"/>
                <w:position w:val="0"/>
                <w:sz w:val="18"/>
                <w:szCs w:val="18"/>
                <w:u w:val="none"/>
                <w:lang w:val="en-US" w:eastAsia="zh-TW" w:bidi="zh-TW"/>
              </w:rPr>
              <w:t>B/T 3142</w:t>
            </w:r>
          </w:p>
        </w:tc>
      </w:tr>
      <w:tr w14:paraId="4D0205D4">
        <w:tblPrEx>
          <w:tblCellMar>
            <w:top w:w="0" w:type="dxa"/>
            <w:left w:w="108" w:type="dxa"/>
            <w:bottom w:w="0" w:type="dxa"/>
            <w:right w:w="108" w:type="dxa"/>
          </w:tblCellMar>
        </w:tblPrEx>
        <w:trPr>
          <w:trHeight w:val="638" w:hRule="exact"/>
          <w:jc w:val="center"/>
        </w:trPr>
        <w:tc>
          <w:tcPr>
            <w:tcW w:w="648" w:type="dxa"/>
            <w:tcBorders>
              <w:top w:val="single" w:color="auto" w:sz="4" w:space="0"/>
              <w:left w:val="single" w:color="auto" w:sz="4" w:space="0"/>
              <w:bottom w:val="single" w:color="auto" w:sz="4" w:space="0"/>
              <w:right w:val="single" w:color="auto" w:sz="4" w:space="0"/>
            </w:tcBorders>
            <w:shd w:val="clear" w:color="FFFFFF" w:fill="FFFFFF"/>
            <w:vAlign w:val="center"/>
          </w:tcPr>
          <w:p w14:paraId="6B815396">
            <w:pPr>
              <w:pStyle w:val="31"/>
              <w:shd w:val="clear" w:color="FFFFFF" w:fill="FFFFFF"/>
              <w:spacing w:before="0" w:after="0" w:line="240" w:lineRule="auto"/>
              <w:ind w:left="0" w:leftChars="0" w:right="0" w:firstLine="0" w:firstLineChars="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14</w:t>
            </w:r>
          </w:p>
        </w:tc>
        <w:tc>
          <w:tcPr>
            <w:tcW w:w="40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C3F2858">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p>
        </w:tc>
        <w:tc>
          <w:tcPr>
            <w:tcW w:w="289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14:paraId="647FCFF8">
            <w:pPr>
              <w:pStyle w:val="31"/>
              <w:shd w:val="clear" w:color="FFFFFF" w:fill="FFFFFF"/>
              <w:spacing w:before="0" w:after="0" w:line="240" w:lineRule="auto"/>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对机床油漆的适应性</w:t>
            </w:r>
          </w:p>
        </w:tc>
        <w:tc>
          <w:tcPr>
            <w:tcW w:w="3912" w:type="dxa"/>
            <w:tcBorders>
              <w:top w:val="single" w:color="auto" w:sz="4" w:space="0"/>
              <w:left w:val="single" w:color="auto" w:sz="4" w:space="0"/>
              <w:bottom w:val="single" w:color="auto" w:sz="4" w:space="0"/>
              <w:right w:val="single" w:color="auto" w:sz="4" w:space="0"/>
            </w:tcBorders>
            <w:shd w:val="clear" w:color="FFFFFF" w:fill="FFFFFF"/>
            <w:vAlign w:val="center"/>
          </w:tcPr>
          <w:p w14:paraId="60F88231">
            <w:pPr>
              <w:pStyle w:val="31"/>
              <w:shd w:val="clear" w:color="FFFFFF" w:fill="FFFFFF"/>
              <w:spacing w:before="0" w:after="0" w:line="314" w:lineRule="atLeast"/>
              <w:ind w:left="0" w:right="0" w:firstLine="26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允许轻微失光和变色，但不允许起泡、发粘、 开裂、脱落等不良影响</w:t>
            </w:r>
          </w:p>
        </w:tc>
        <w:tc>
          <w:tcPr>
            <w:tcW w:w="1570" w:type="dxa"/>
            <w:tcBorders>
              <w:top w:val="single" w:color="auto" w:sz="4" w:space="0"/>
              <w:left w:val="single" w:color="auto" w:sz="4" w:space="0"/>
              <w:bottom w:val="single" w:color="auto" w:sz="4" w:space="0"/>
              <w:right w:val="single" w:color="auto" w:sz="4" w:space="0"/>
            </w:tcBorders>
            <w:shd w:val="clear" w:color="FFFFFF" w:fill="FFFFFF"/>
            <w:vAlign w:val="center"/>
          </w:tcPr>
          <w:p w14:paraId="5BAC7FED">
            <w:pPr>
              <w:pStyle w:val="31"/>
              <w:shd w:val="clear" w:color="FFFFFF" w:fill="FFFFFF"/>
              <w:spacing w:before="0" w:after="0" w:line="240" w:lineRule="auto"/>
              <w:ind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GB/T 6144</w:t>
            </w:r>
          </w:p>
        </w:tc>
      </w:tr>
      <w:tr w14:paraId="2CC26CEF">
        <w:tblPrEx>
          <w:tblCellMar>
            <w:top w:w="0" w:type="dxa"/>
            <w:left w:w="108" w:type="dxa"/>
            <w:bottom w:w="0" w:type="dxa"/>
            <w:right w:w="108" w:type="dxa"/>
          </w:tblCellMar>
        </w:tblPrEx>
        <w:trPr>
          <w:trHeight w:val="326" w:hRule="exact"/>
          <w:jc w:val="center"/>
        </w:trPr>
        <w:tc>
          <w:tcPr>
            <w:tcW w:w="9428" w:type="dxa"/>
            <w:gridSpan w:val="6"/>
            <w:tcBorders>
              <w:top w:val="single" w:color="auto" w:sz="4" w:space="0"/>
              <w:left w:val="single" w:color="auto" w:sz="4" w:space="0"/>
              <w:bottom w:val="single" w:color="auto" w:sz="4" w:space="0"/>
              <w:right w:val="single" w:color="auto" w:sz="4" w:space="0"/>
            </w:tcBorders>
            <w:shd w:val="clear" w:color="FFFFFF" w:fill="FFFFFF"/>
            <w:vAlign w:val="center"/>
          </w:tcPr>
          <w:p w14:paraId="4FCEBB2D">
            <w:pPr>
              <w:pStyle w:val="31"/>
              <w:shd w:val="clear" w:color="FFFFFF" w:fill="FFFFFF"/>
              <w:spacing w:before="0" w:after="0" w:line="240" w:lineRule="auto"/>
              <w:ind w:left="0" w:right="0" w:firstLine="480"/>
              <w:jc w:val="left"/>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切削液不应使用含氯的添加剂和亚硝酸盐。</w:t>
            </w:r>
          </w:p>
        </w:tc>
      </w:tr>
      <w:tr w14:paraId="7D2CA4A3">
        <w:tblPrEx>
          <w:tblCellMar>
            <w:top w:w="0" w:type="dxa"/>
            <w:left w:w="108" w:type="dxa"/>
            <w:bottom w:w="0" w:type="dxa"/>
            <w:right w:w="108" w:type="dxa"/>
          </w:tblCellMar>
        </w:tblPrEx>
        <w:trPr>
          <w:trHeight w:val="432" w:hRule="exact"/>
          <w:jc w:val="center"/>
        </w:trPr>
        <w:tc>
          <w:tcPr>
            <w:tcW w:w="9428" w:type="dxa"/>
            <w:gridSpan w:val="6"/>
            <w:tcBorders>
              <w:top w:val="single" w:color="auto" w:sz="4" w:space="0"/>
              <w:left w:val="single" w:color="auto" w:sz="4" w:space="0"/>
              <w:bottom w:val="single" w:color="auto" w:sz="4" w:space="0"/>
              <w:right w:val="single" w:color="auto" w:sz="4" w:space="0"/>
            </w:tcBorders>
            <w:shd w:val="clear" w:color="FFFFFF" w:fill="FFFFFF"/>
            <w:vAlign w:val="center"/>
          </w:tcPr>
          <w:p w14:paraId="26E926E9">
            <w:pPr>
              <w:pStyle w:val="31"/>
              <w:shd w:val="clear" w:color="FFFFFF" w:fill="FFFFFF"/>
              <w:spacing w:before="0" w:after="0" w:line="240" w:lineRule="auto"/>
              <w:ind w:left="0" w:right="0" w:firstLine="480"/>
              <w:jc w:val="left"/>
              <w:rPr>
                <w:rFonts w:hint="eastAsia" w:ascii="微软雅黑" w:hAnsi="微软雅黑" w:eastAsia="微软雅黑" w:cs="微软雅黑"/>
                <w:sz w:val="18"/>
                <w:szCs w:val="18"/>
              </w:rPr>
            </w:pPr>
            <w:r>
              <w:rPr>
                <w:rFonts w:hint="eastAsia" w:ascii="微软雅黑" w:hAnsi="微软雅黑" w:eastAsia="微软雅黑" w:cs="微软雅黑"/>
                <w:color w:val="000000"/>
                <w:spacing w:val="0"/>
                <w:w w:val="100"/>
                <w:position w:val="0"/>
                <w:sz w:val="18"/>
                <w:szCs w:val="18"/>
              </w:rPr>
              <w:t>注：稀释液试样用蒸馄水按5%浓度配制。</w:t>
            </w:r>
          </w:p>
        </w:tc>
      </w:tr>
    </w:tbl>
    <w:p w14:paraId="3389A01C">
      <w:pPr>
        <w:pStyle w:val="23"/>
        <w:keepNext w:val="0"/>
        <w:keepLines w:val="0"/>
        <w:pageBreakBefore w:val="0"/>
        <w:widowControl w:val="0"/>
        <w:numPr>
          <w:ilvl w:val="0"/>
          <w:numId w:val="0"/>
        </w:numPr>
        <w:tabs>
          <w:tab w:val="left" w:pos="504"/>
        </w:tabs>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七、评判标准：</w:t>
      </w:r>
    </w:p>
    <w:p w14:paraId="4453B733">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bookmarkStart w:id="5" w:name="_Toc466467463"/>
      <w:bookmarkStart w:id="6" w:name="_Toc356656943"/>
      <w:bookmarkStart w:id="7" w:name="_Toc447029976"/>
      <w:bookmarkStart w:id="8" w:name="_Toc466463642"/>
      <w:bookmarkStart w:id="9" w:name="_Toc466462926"/>
      <w:r>
        <w:rPr>
          <w:rFonts w:hint="eastAsia" w:asciiTheme="minorEastAsia" w:hAnsiTheme="minorEastAsia" w:eastAsiaTheme="minorEastAsia" w:cstheme="minorEastAsia"/>
          <w:sz w:val="28"/>
          <w:szCs w:val="28"/>
          <w:lang w:val="en-US" w:eastAsia="zh-CN"/>
        </w:rPr>
        <w:t>加工性能要求：</w:t>
      </w:r>
    </w:p>
    <w:p w14:paraId="66002F7F">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依据甲方的工艺参数（毛坯情况、切削参数）等，乙方需要满足以下具体加工要求</w:t>
      </w:r>
    </w:p>
    <w:p w14:paraId="30DFF691">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 润滑性能：保证正常的轮毂切削润滑性能，不允许非设备因素出现以下质量缺陷：</w:t>
      </w:r>
    </w:p>
    <w:p w14:paraId="7044C896">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机械划伤、轮辋打伤、粘刀等（判定标准依据新材料质保部门制定的标准、标样）。</w:t>
      </w:r>
    </w:p>
    <w:p w14:paraId="69BCC31B">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 冷却性能：切削液应保证良好的冷却性能，保证加工后工件不会出现因加工温度过高而导致出现加工表面变色发黑等现象。</w:t>
      </w:r>
    </w:p>
    <w:p w14:paraId="61A7BE75">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 工件防护要求：切削液应具备一定的对所加工工件表面的防护性能，可以满足 48小时的表面防护。</w:t>
      </w:r>
    </w:p>
    <w:p w14:paraId="76CCFD64">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 对设备的防锈性能：在正常的参数控制范围内，对机床、刀具等设备提供一定的防锈功能，不允许因切削液本身引起设备锈蚀等异常现象。</w:t>
      </w:r>
    </w:p>
    <w:p w14:paraId="5C0CE302">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 切削液的稳定性能：在正常的参数控制范围内，不允许出现乳液分离、破乳、积皂等影响正常机加工操作的异常现象。</w:t>
      </w:r>
    </w:p>
    <w:p w14:paraId="2361093C">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 气味：温和，在正常的参数控制范围内不应出现刺激性及异味等现象。</w:t>
      </w:r>
    </w:p>
    <w:p w14:paraId="34948624">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 微生物控制：高温季节及假日集中期间，可以酌情使用杀菌剂，但应注意杜绝因使用杀菌剂带来的人员过敏等现象。5-10月免费提供2次/月的ph调整剂、杀菌剂的调整维护药剂及现场作业服务，其余月份免费提供1次/月，如槽液指标正常符合要求可共同协商免除当次维护。</w:t>
      </w:r>
    </w:p>
    <w:p w14:paraId="205D8510">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 泡沫控制：在正常的参数控制范围及正常的设备运行条件下，不允许出现泡沫过度泛滥而影响正常的机加工设备正常运行操作（因泡沫原因引起水箱液位检测灵敏度失效及溢出箱体外部时，需免费提供消泡剂进行调整，提供的消泡剂需提前进行喷涂工艺试验经甲方同意后才能使用添加）。</w:t>
      </w:r>
    </w:p>
    <w:p w14:paraId="270E42DF">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9.烟雾/工作环境等：保证现场工作环境清洁，满足清洁加工需求。</w:t>
      </w:r>
    </w:p>
    <w:p w14:paraId="0216ED0D">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10.换液周期：根据液体性能指标情况协商解决（厂家提供换液时的条件后再补充）</w:t>
      </w:r>
    </w:p>
    <w:p w14:paraId="209E12CA">
      <w:pPr>
        <w:pStyle w:val="23"/>
        <w:keepNext w:val="0"/>
        <w:keepLines w:val="0"/>
        <w:pageBreakBefore w:val="0"/>
        <w:widowControl w:val="0"/>
        <w:numPr>
          <w:ilvl w:val="0"/>
          <w:numId w:val="0"/>
        </w:numPr>
        <w:tabs>
          <w:tab w:val="left" w:pos="504"/>
        </w:tabs>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八、切削</w:t>
      </w:r>
      <w:r>
        <w:rPr>
          <w:rFonts w:hint="eastAsia" w:asciiTheme="minorEastAsia" w:hAnsiTheme="minorEastAsia" w:eastAsiaTheme="minorEastAsia" w:cstheme="minorEastAsia"/>
          <w:b/>
          <w:bCs/>
          <w:sz w:val="28"/>
          <w:szCs w:val="28"/>
          <w:lang w:val="zh-CN" w:eastAsia="zh-CN"/>
        </w:rPr>
        <w:t>质量保证及售后服务</w:t>
      </w:r>
      <w:bookmarkEnd w:id="5"/>
      <w:bookmarkEnd w:id="6"/>
      <w:bookmarkEnd w:id="7"/>
      <w:bookmarkEnd w:id="8"/>
      <w:bookmarkEnd w:id="9"/>
    </w:p>
    <w:p w14:paraId="7957C043">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1.人员配置：乙方安排经过培训合格的技术工程师进行技术支持与服务工作，所安排的现场服务人员应具备一定的经验资质及异常处理能力。</w:t>
      </w:r>
    </w:p>
    <w:p w14:paraId="21AA9EA8">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安全及健康：现场服务人员必须严格遵守甲方现场各项安全规章制度，并在甲方安全规章制度允许的前提下进行工作（如违反甲方规章制度造成的人身损害后果自负并必须接受甲方的处理）。承诺乙方使用的所有用于切削液生产制造原材料、辅助药剂及提供甲方的购置材料清单等必须满足国际、国家法律法规要求及行业规范环保对人身无害。</w:t>
      </w:r>
    </w:p>
    <w:p w14:paraId="2FAB007F">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3.切削液监测：乙方协助甲方进行现场切削液参数监控，并提供相应的技术指导。现场工作液监测项目包括：折光读数、pH 值、每天加水量、每天加入原液量；其余控制参数须乙方定期取样回总部检测中心综合分析并需每两周向甲方出具书面检测报告。</w:t>
      </w:r>
    </w:p>
    <w:p w14:paraId="37E77110">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甲方需安排专人负责现场工作液监控检测和记录，并根据工作液监测结果合理添加原液并进行切削液的正常保养维护，乙方有责任协助指导甲方相关人员进行原液添加并作好相关记录，甲方定期进行相关设备检查及维护工作，保证除渣屑系统及循环、过滤、加料系统设备正常工作。</w:t>
      </w:r>
    </w:p>
    <w:p w14:paraId="212D4763">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对于设备运行中的故障及潜在隐患，乙方有责任及时指出并协助提出改进方案，交由甲方及时整改。由于现场采用集中供液系统，机械杂油及其无机、有机杂质混入都有可能导致工作液状况恶化，偏离正常参数管控范围，乙方有义务将监测结果及时反馈给甲方，并对工作液维护提出建议方案，协助甲方管控切削液。</w:t>
      </w:r>
    </w:p>
    <w:p w14:paraId="698E4162">
      <w:pPr>
        <w:pStyle w:val="23"/>
        <w:keepNext w:val="0"/>
        <w:keepLines w:val="0"/>
        <w:pageBreakBefore w:val="0"/>
        <w:widowControl w:val="0"/>
        <w:numPr>
          <w:ilvl w:val="0"/>
          <w:numId w:val="0"/>
        </w:numPr>
        <w:tabs>
          <w:tab w:val="left" w:pos="504"/>
        </w:tabs>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九、供货周期要求：</w:t>
      </w:r>
    </w:p>
    <w:p w14:paraId="3C7E55C2">
      <w:pPr>
        <w:pStyle w:val="2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kern w:val="2"/>
          <w:sz w:val="28"/>
          <w:szCs w:val="28"/>
          <w:highlight w:val="yellow"/>
          <w:lang w:val="en-US" w:eastAsia="zh-CN" w:bidi="ar-SA"/>
        </w:rPr>
      </w:pPr>
      <w:r>
        <w:rPr>
          <w:rFonts w:hint="eastAsia" w:asciiTheme="minorEastAsia" w:hAnsiTheme="minorEastAsia" w:eastAsiaTheme="minorEastAsia" w:cstheme="minorEastAsia"/>
          <w:kern w:val="2"/>
          <w:sz w:val="28"/>
          <w:szCs w:val="28"/>
          <w:highlight w:val="yellow"/>
          <w:lang w:val="en-US" w:eastAsia="zh-CN" w:bidi="ar-SA"/>
        </w:rPr>
        <w:t>1.切削液交货周期为10天，周期为到货时间含运输时间。</w:t>
      </w:r>
    </w:p>
    <w:p w14:paraId="32C32CF1">
      <w:pPr>
        <w:pStyle w:val="23"/>
        <w:keepNext w:val="0"/>
        <w:keepLines w:val="0"/>
        <w:pageBreakBefore w:val="0"/>
        <w:widowControl w:val="0"/>
        <w:numPr>
          <w:ilvl w:val="0"/>
          <w:numId w:val="0"/>
        </w:numPr>
        <w:tabs>
          <w:tab w:val="left" w:pos="504"/>
        </w:tabs>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十、订货</w:t>
      </w:r>
    </w:p>
    <w:p w14:paraId="4CFE87FA">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48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8"/>
          <w:szCs w:val="28"/>
          <w:lang w:val="en-US" w:eastAsia="zh-CN"/>
        </w:rPr>
        <w:t>需求方与供货属长期合作关系，具体如下</w:t>
      </w:r>
    </w:p>
    <w:p w14:paraId="20A828B8">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1.需求方根据每月生产计划向供货方下达订货通知（包括品种、数量、交货期、交货地点），并提供下月预测计划给供货方，以便供货方控制原材料及成品库存。</w:t>
      </w:r>
    </w:p>
    <w:p w14:paraId="36A25E35">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因情况紧急或需求方认定需要变动规格等时，需求方可以要求供货方改变以上订货。但需求方改变订货时，应避免给供货方造成损失，确已造成损失的（如供货方已为需求方变更前的订单采购了专用原材料等），双方友好协商解决。</w:t>
      </w:r>
    </w:p>
    <w:p w14:paraId="6D7C3AA6">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3.供货方必须在接到需求方订货通知后 1 日内对订货通知进行确认。</w:t>
      </w:r>
    </w:p>
    <w:p w14:paraId="13632668">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4.对订货内容有异议时，供货方必须在接到订货通知后  1  日内向需求方反馈，否则视供货方接受订货。</w:t>
      </w:r>
    </w:p>
    <w:p w14:paraId="77720AF6">
      <w:pPr>
        <w:pStyle w:val="23"/>
        <w:keepNext w:val="0"/>
        <w:keepLines w:val="0"/>
        <w:pageBreakBefore w:val="0"/>
        <w:widowControl w:val="0"/>
        <w:numPr>
          <w:ilvl w:val="0"/>
          <w:numId w:val="0"/>
        </w:numPr>
        <w:tabs>
          <w:tab w:val="left" w:pos="504"/>
        </w:tabs>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十一、 交货</w:t>
      </w:r>
    </w:p>
    <w:p w14:paraId="657D541E">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1.供货方按需求方指定的人员、交货地点、数量和交货手续（包括送货单）按时交货。供货方在保证需求方正常生产的情况下，应尽量增加送货频次、减少每次送货数量，以减少需求方现场库存。</w:t>
      </w:r>
    </w:p>
    <w:p w14:paraId="007FCDE5">
      <w:pPr>
        <w:pStyle w:val="11"/>
        <w:keepNext w:val="0"/>
        <w:keepLines w:val="0"/>
        <w:pageBreakBefore w:val="0"/>
        <w:widowControl w:val="0"/>
        <w:tabs>
          <w:tab w:val="right" w:leader="dot" w:pos="9474"/>
        </w:tabs>
        <w:kinsoku/>
        <w:wordWrap/>
        <w:overflowPunct/>
        <w:topLinePunct w:val="0"/>
        <w:autoSpaceDE/>
        <w:autoSpaceDN/>
        <w:bidi w:val="0"/>
        <w:adjustRightInd/>
        <w:snapToGrid/>
        <w:spacing w:line="46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2.除需求方责任以外，按上款使需求方遭受损失时，供货方应负责任。责任范围包括需求方因不能按时交货而受到第三方索赔的实际损失、延期交货造成退货或终止合同的货物及利益损失等。</w:t>
      </w:r>
    </w:p>
    <w:p w14:paraId="7B90F72C">
      <w:pPr>
        <w:pStyle w:val="11"/>
        <w:tabs>
          <w:tab w:val="right" w:leader="dot" w:pos="9474"/>
        </w:tabs>
        <w:spacing w:line="240" w:lineRule="auto"/>
        <w:ind w:firstLine="560" w:firstLineChars="200"/>
        <w:rPr>
          <w:rFonts w:hint="eastAsia" w:asciiTheme="minorEastAsia" w:hAnsiTheme="minorEastAsia" w:eastAsiaTheme="minorEastAsia" w:cstheme="minorEastAsia"/>
          <w:sz w:val="28"/>
          <w:szCs w:val="28"/>
          <w:lang w:val="en-US" w:eastAsia="zh-CN"/>
        </w:rPr>
      </w:pPr>
    </w:p>
    <w:p w14:paraId="0F62C884">
      <w:pPr>
        <w:pStyle w:val="11"/>
        <w:tabs>
          <w:tab w:val="right" w:leader="dot" w:pos="9474"/>
        </w:tabs>
        <w:spacing w:line="240" w:lineRule="auto"/>
        <w:ind w:firstLine="560" w:firstLineChars="200"/>
        <w:rPr>
          <w:rFonts w:hint="eastAsia" w:asciiTheme="minorEastAsia" w:hAnsiTheme="minorEastAsia" w:eastAsiaTheme="minorEastAsia" w:cstheme="minorEastAsia"/>
          <w:sz w:val="28"/>
          <w:szCs w:val="28"/>
          <w:lang w:val="zh-CN" w:eastAsia="zh-CN"/>
        </w:rPr>
      </w:pPr>
    </w:p>
    <w:p w14:paraId="0B513CA8">
      <w:pPr>
        <w:pStyle w:val="20"/>
        <w:keepNext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kern w:val="0"/>
          <w:sz w:val="24"/>
          <w:szCs w:val="24"/>
          <w:lang w:val="zh-CN"/>
        </w:rPr>
      </w:pPr>
    </w:p>
    <w:p w14:paraId="06C4B64E">
      <w:pPr>
        <w:pStyle w:val="23"/>
        <w:numPr>
          <w:ilvl w:val="0"/>
          <w:numId w:val="0"/>
        </w:numPr>
        <w:tabs>
          <w:tab w:val="left" w:pos="504"/>
        </w:tabs>
        <w:spacing w:line="500" w:lineRule="exact"/>
        <w:rPr>
          <w:rFonts w:hint="eastAsia" w:asciiTheme="minorEastAsia" w:hAnsiTheme="minorEastAsia" w:eastAsiaTheme="minorEastAsia" w:cstheme="minorEastAsia"/>
          <w:sz w:val="28"/>
          <w:szCs w:val="28"/>
          <w:lang w:eastAsia="zh-CN"/>
        </w:rPr>
      </w:pPr>
    </w:p>
    <w:p w14:paraId="441E5FB6">
      <w:pPr>
        <w:pStyle w:val="20"/>
        <w:spacing w:line="360" w:lineRule="auto"/>
        <w:rPr>
          <w:rFonts w:hint="eastAsia" w:asciiTheme="majorEastAsia" w:hAnsiTheme="majorEastAsia" w:eastAsiaTheme="majorEastAsia" w:cstheme="majorEastAsia"/>
          <w:b/>
          <w:bCs/>
          <w:sz w:val="28"/>
          <w:szCs w:val="28"/>
          <w:lang w:val="en-US" w:eastAsia="zh-CN"/>
        </w:rPr>
      </w:pP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Sim Sun+ 2">
    <w:altName w:val="微软雅黑"/>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17D5">
    <w:pPr>
      <w:pStyle w:val="9"/>
      <w:spacing w:before="120"/>
      <w:ind w:firstLine="560"/>
      <w:jc w:val="center"/>
      <w:rPr>
        <w:color w:val="FFFFFF"/>
      </w:rPr>
    </w:pPr>
    <w:r>
      <w:fldChar w:fldCharType="begin"/>
    </w:r>
    <w:r>
      <w:instrText xml:space="preserve">PAGE   \* MERGEFORMAT</w:instrText>
    </w:r>
    <w:r>
      <w:fldChar w:fldCharType="separate"/>
    </w:r>
    <w:r>
      <w:rPr>
        <w:lang w:val="zh-CN"/>
      </w:rPr>
      <w:t>79</w:t>
    </w:r>
    <w:r>
      <w:fldChar w:fldCharType="end"/>
    </w:r>
    <w:r>
      <w:rPr>
        <w:color w:val="FFFFFF"/>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76CBF"/>
    <w:multiLevelType w:val="multilevel"/>
    <w:tmpl w:val="63476CBF"/>
    <w:lvl w:ilvl="0" w:tentative="0">
      <w:start w:val="1"/>
      <w:numFmt w:val="decimal"/>
      <w:isLgl/>
      <w:lvlText w:val="%1"/>
      <w:lvlJc w:val="left"/>
      <w:pPr>
        <w:tabs>
          <w:tab w:val="left" w:pos="0"/>
        </w:tabs>
        <w:ind w:left="432" w:hanging="432"/>
      </w:pPr>
      <w:rPr>
        <w:rFonts w:hint="default" w:ascii="Times New Roman" w:hAnsi="Times New Roman" w:eastAsia="仿宋_GB2312"/>
        <w:b/>
        <w:i/>
        <w:sz w:val="21"/>
      </w:rPr>
    </w:lvl>
    <w:lvl w:ilvl="1" w:tentative="0">
      <w:start w:val="1"/>
      <w:numFmt w:val="decimal"/>
      <w:lvlText w:val="%1.%2"/>
      <w:lvlJc w:val="left"/>
      <w:pPr>
        <w:tabs>
          <w:tab w:val="left" w:pos="1144"/>
        </w:tabs>
        <w:ind w:left="1144" w:hanging="576"/>
      </w:pPr>
      <w:rPr>
        <w:rFonts w:hint="default" w:ascii="Times New Roman" w:hAnsi="Times New Roman" w:eastAsia="仿宋_GB2312"/>
        <w:b/>
        <w:i/>
        <w:sz w:val="21"/>
      </w:rPr>
    </w:lvl>
    <w:lvl w:ilvl="2" w:tentative="0">
      <w:start w:val="1"/>
      <w:numFmt w:val="decimal"/>
      <w:pStyle w:val="3"/>
      <w:lvlText w:val="%1.%2.%3"/>
      <w:lvlJc w:val="left"/>
      <w:pPr>
        <w:tabs>
          <w:tab w:val="left" w:pos="914"/>
        </w:tabs>
        <w:ind w:left="914" w:hanging="720"/>
      </w:pPr>
      <w:rPr>
        <w:rFonts w:hint="default" w:ascii="Times New Roman" w:hAnsi="Times New Roman" w:eastAsia="仿宋_GB2312"/>
        <w:b/>
        <w:i/>
        <w:sz w:val="21"/>
        <w:lang w:eastAsia="zh-CN"/>
      </w:rPr>
    </w:lvl>
    <w:lvl w:ilvl="3" w:tentative="0">
      <w:start w:val="1"/>
      <w:numFmt w:val="decimal"/>
      <w:lvlText w:val="%1.%2.%3.%4"/>
      <w:lvlJc w:val="left"/>
      <w:pPr>
        <w:tabs>
          <w:tab w:val="left" w:pos="9370"/>
        </w:tabs>
        <w:ind w:left="9370" w:hanging="864"/>
      </w:pPr>
      <w:rPr>
        <w:rFonts w:hint="default" w:ascii="Times New Roman" w:hAnsi="Times New Roman" w:eastAsia="仿宋_GB2312"/>
        <w:b/>
        <w:i/>
        <w:sz w:val="21"/>
      </w:rPr>
    </w:lvl>
    <w:lvl w:ilvl="4" w:tentative="0">
      <w:start w:val="1"/>
      <w:numFmt w:val="decimal"/>
      <w:lvlText w:val="%1.%2.%3.%4.%5"/>
      <w:lvlJc w:val="left"/>
      <w:pPr>
        <w:tabs>
          <w:tab w:val="left" w:pos="1008"/>
        </w:tabs>
        <w:ind w:left="1008" w:hanging="1008"/>
      </w:pPr>
      <w:rPr>
        <w:rFonts w:hint="default" w:ascii="Times New Roman" w:hAnsi="Times New Roman" w:eastAsia="仿宋_GB2312"/>
        <w:b/>
        <w:i/>
        <w:sz w:val="21"/>
      </w:rPr>
    </w:lvl>
    <w:lvl w:ilvl="5" w:tentative="0">
      <w:start w:val="1"/>
      <w:numFmt w:val="decimal"/>
      <w:lvlText w:val="%1.%2.%3.%4.%5.%6"/>
      <w:lvlJc w:val="left"/>
      <w:pPr>
        <w:tabs>
          <w:tab w:val="left" w:pos="1152"/>
        </w:tabs>
        <w:ind w:left="1152" w:hanging="1152"/>
      </w:pPr>
      <w:rPr>
        <w:rFonts w:hint="default" w:ascii="Times New Roman" w:hAnsi="Times New Roman" w:eastAsia="仿宋_GB2312"/>
        <w:b/>
        <w:i/>
        <w:sz w:val="24"/>
      </w:rPr>
    </w:lvl>
    <w:lvl w:ilvl="6" w:tentative="0">
      <w:start w:val="1"/>
      <w:numFmt w:val="decimal"/>
      <w:lvlText w:val="%1.%2.%3.%4.%5.%6.%7"/>
      <w:lvlJc w:val="left"/>
      <w:pPr>
        <w:tabs>
          <w:tab w:val="left" w:pos="1296"/>
        </w:tabs>
        <w:ind w:left="1296" w:hanging="1296"/>
      </w:pPr>
      <w:rPr>
        <w:rFonts w:hint="default" w:ascii="Times New Roman" w:hAnsi="Times New Roman" w:eastAsia="仿宋_GB2312"/>
        <w:b/>
        <w:i/>
        <w:sz w:val="24"/>
      </w:rPr>
    </w:lvl>
    <w:lvl w:ilvl="7" w:tentative="0">
      <w:start w:val="1"/>
      <w:numFmt w:val="decimal"/>
      <w:lvlText w:val="%1.%2.%3.%4.%5.%6.%7.%8"/>
      <w:lvlJc w:val="left"/>
      <w:pPr>
        <w:tabs>
          <w:tab w:val="left" w:pos="1440"/>
        </w:tabs>
        <w:ind w:left="1440" w:hanging="1440"/>
      </w:pPr>
      <w:rPr>
        <w:rFonts w:hint="default" w:ascii="Times New Roman" w:hAnsi="Times New Roman" w:eastAsia="仿宋_GB2312"/>
        <w:b/>
        <w:i/>
        <w:sz w:val="24"/>
      </w:rPr>
    </w:lvl>
    <w:lvl w:ilvl="8" w:tentative="0">
      <w:start w:val="1"/>
      <w:numFmt w:val="decimal"/>
      <w:lvlText w:val="%1.%2.%3.%4.%5.%6.%7.%8.%9"/>
      <w:lvlJc w:val="left"/>
      <w:pPr>
        <w:tabs>
          <w:tab w:val="left" w:pos="1584"/>
        </w:tabs>
        <w:ind w:left="1584" w:hanging="1584"/>
      </w:pPr>
      <w:rPr>
        <w:rFonts w:hint="default" w:ascii="Times New Roman" w:hAnsi="Times New Roman" w:eastAsia="仿宋_GB2312"/>
        <w:b/>
        <w:i/>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NDM3NzgyNWE1N2I2ZDAxOWFkZGVjMDQ1Yzk1OWIifQ=="/>
  </w:docVars>
  <w:rsids>
    <w:rsidRoot w:val="00172A27"/>
    <w:rsid w:val="00190622"/>
    <w:rsid w:val="02B91733"/>
    <w:rsid w:val="080B2B96"/>
    <w:rsid w:val="081B1D86"/>
    <w:rsid w:val="08393C02"/>
    <w:rsid w:val="08717ECD"/>
    <w:rsid w:val="0ACD27A5"/>
    <w:rsid w:val="0BEB01B3"/>
    <w:rsid w:val="0DC53FC7"/>
    <w:rsid w:val="0ED975FB"/>
    <w:rsid w:val="10BD1A68"/>
    <w:rsid w:val="10DD3CAC"/>
    <w:rsid w:val="115777AD"/>
    <w:rsid w:val="11CD0EAD"/>
    <w:rsid w:val="130927DD"/>
    <w:rsid w:val="14782F0C"/>
    <w:rsid w:val="161D4EE0"/>
    <w:rsid w:val="181A3069"/>
    <w:rsid w:val="18DE232D"/>
    <w:rsid w:val="190E058C"/>
    <w:rsid w:val="1A06610D"/>
    <w:rsid w:val="1C8B629E"/>
    <w:rsid w:val="1CB204A2"/>
    <w:rsid w:val="1D22146B"/>
    <w:rsid w:val="1D2D6232"/>
    <w:rsid w:val="1DF4737A"/>
    <w:rsid w:val="1EB938DE"/>
    <w:rsid w:val="1F610F34"/>
    <w:rsid w:val="20377530"/>
    <w:rsid w:val="23C80DFD"/>
    <w:rsid w:val="23EA5708"/>
    <w:rsid w:val="25893DAA"/>
    <w:rsid w:val="281A407B"/>
    <w:rsid w:val="29251FA8"/>
    <w:rsid w:val="29741BCD"/>
    <w:rsid w:val="2FA77B31"/>
    <w:rsid w:val="30333691"/>
    <w:rsid w:val="3122042E"/>
    <w:rsid w:val="32925BE3"/>
    <w:rsid w:val="33483730"/>
    <w:rsid w:val="33C61E45"/>
    <w:rsid w:val="343D4E27"/>
    <w:rsid w:val="35456103"/>
    <w:rsid w:val="36F03900"/>
    <w:rsid w:val="3B3275FD"/>
    <w:rsid w:val="3B343F0D"/>
    <w:rsid w:val="3C605A88"/>
    <w:rsid w:val="3FC157A3"/>
    <w:rsid w:val="401516C7"/>
    <w:rsid w:val="445D6D91"/>
    <w:rsid w:val="45E33E10"/>
    <w:rsid w:val="47262DC0"/>
    <w:rsid w:val="4EC62411"/>
    <w:rsid w:val="50437F3A"/>
    <w:rsid w:val="51B035A3"/>
    <w:rsid w:val="526766AE"/>
    <w:rsid w:val="534305CA"/>
    <w:rsid w:val="541E42CD"/>
    <w:rsid w:val="55AB23E3"/>
    <w:rsid w:val="5BE30729"/>
    <w:rsid w:val="5D643C45"/>
    <w:rsid w:val="5F502961"/>
    <w:rsid w:val="6259435E"/>
    <w:rsid w:val="63ED0AA5"/>
    <w:rsid w:val="646C70AB"/>
    <w:rsid w:val="65D8688C"/>
    <w:rsid w:val="666C24C7"/>
    <w:rsid w:val="667153FA"/>
    <w:rsid w:val="67667DDF"/>
    <w:rsid w:val="72590C69"/>
    <w:rsid w:val="728C2333"/>
    <w:rsid w:val="73094A36"/>
    <w:rsid w:val="74FF2BBC"/>
    <w:rsid w:val="7645592C"/>
    <w:rsid w:val="768A56E1"/>
    <w:rsid w:val="76DA65F5"/>
    <w:rsid w:val="7DF7780A"/>
    <w:rsid w:val="7E064EA1"/>
    <w:rsid w:val="7F66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adjustRightInd w:val="0"/>
      <w:spacing w:line="360" w:lineRule="atLeast"/>
      <w:ind w:firstLine="709"/>
      <w:jc w:val="left"/>
      <w:textAlignment w:val="baseline"/>
    </w:pPr>
    <w:rPr>
      <w:kern w:val="0"/>
      <w:sz w:val="24"/>
    </w:rPr>
  </w:style>
  <w:style w:type="paragraph" w:styleId="5">
    <w:name w:val="Body Text"/>
    <w:basedOn w:val="1"/>
    <w:autoRedefine/>
    <w:qFormat/>
    <w:uiPriority w:val="99"/>
    <w:pPr>
      <w:spacing w:line="360" w:lineRule="auto"/>
    </w:pPr>
    <w:rPr>
      <w:sz w:val="24"/>
    </w:rPr>
  </w:style>
  <w:style w:type="paragraph" w:styleId="6">
    <w:name w:val="Body Text Indent"/>
    <w:basedOn w:val="1"/>
    <w:autoRedefine/>
    <w:qFormat/>
    <w:uiPriority w:val="99"/>
    <w:pPr>
      <w:spacing w:line="360" w:lineRule="auto"/>
    </w:pPr>
    <w:rPr>
      <w:rFonts w:ascii="宋体"/>
    </w:rPr>
  </w:style>
  <w:style w:type="paragraph" w:styleId="7">
    <w:name w:val="Plain Text"/>
    <w:basedOn w:val="1"/>
    <w:autoRedefine/>
    <w:qFormat/>
    <w:uiPriority w:val="99"/>
    <w:rPr>
      <w:rFonts w:ascii="宋体" w:hAnsi="Courier New" w:cs="Century"/>
      <w:szCs w:val="21"/>
    </w:rPr>
  </w:style>
  <w:style w:type="paragraph" w:styleId="8">
    <w:name w:val="Date"/>
    <w:basedOn w:val="1"/>
    <w:next w:val="1"/>
    <w:autoRedefine/>
    <w:qFormat/>
    <w:uiPriority w:val="0"/>
    <w:pPr>
      <w:autoSpaceDE w:val="0"/>
      <w:autoSpaceDN w:val="0"/>
      <w:adjustRightInd w:val="0"/>
      <w:textAlignment w:val="baseline"/>
    </w:pPr>
    <w:rPr>
      <w:rFonts w:eastAsia="楷体_GB2312"/>
      <w:sz w:val="30"/>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rPr>
      <w:sz w:val="24"/>
    </w:rPr>
  </w:style>
  <w:style w:type="paragraph" w:styleId="12">
    <w:name w:val="index heading"/>
    <w:basedOn w:val="1"/>
    <w:next w:val="13"/>
    <w:autoRedefine/>
    <w:qFormat/>
    <w:uiPriority w:val="99"/>
    <w:rPr>
      <w:szCs w:val="24"/>
    </w:rPr>
  </w:style>
  <w:style w:type="paragraph" w:styleId="13">
    <w:name w:val="index 1"/>
    <w:basedOn w:val="1"/>
    <w:next w:val="1"/>
    <w:autoRedefine/>
    <w:qFormat/>
    <w:uiPriority w:val="99"/>
    <w:pPr>
      <w:spacing w:line="360" w:lineRule="auto"/>
      <w:ind w:left="1149" w:leftChars="547"/>
    </w:pPr>
  </w:style>
  <w:style w:type="paragraph" w:styleId="14">
    <w:name w:val="footnote text"/>
    <w:basedOn w:val="1"/>
    <w:autoRedefine/>
    <w:qFormat/>
    <w:uiPriority w:val="99"/>
    <w:pPr>
      <w:adjustRightInd w:val="0"/>
      <w:spacing w:line="312" w:lineRule="atLeast"/>
      <w:jc w:val="left"/>
      <w:textAlignment w:val="baseline"/>
    </w:pPr>
    <w:rPr>
      <w:kern w:val="0"/>
      <w:sz w:val="18"/>
    </w:rPr>
  </w:style>
  <w:style w:type="paragraph" w:styleId="15">
    <w:name w:val="Body Text Indent 3"/>
    <w:basedOn w:val="1"/>
    <w:autoRedefine/>
    <w:qFormat/>
    <w:uiPriority w:val="0"/>
    <w:pPr>
      <w:spacing w:line="360" w:lineRule="exact"/>
      <w:ind w:firstLine="562" w:firstLineChars="200"/>
    </w:pPr>
    <w:rPr>
      <w:rFonts w:ascii="宋体"/>
      <w:sz w:val="28"/>
    </w:rPr>
  </w:style>
  <w:style w:type="paragraph" w:styleId="16">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7">
    <w:name w:val="Title"/>
    <w:basedOn w:val="1"/>
    <w:next w:val="1"/>
    <w:autoRedefine/>
    <w:qFormat/>
    <w:uiPriority w:val="0"/>
    <w:pPr>
      <w:spacing w:before="240" w:after="60"/>
      <w:jc w:val="center"/>
      <w:outlineLvl w:val="0"/>
    </w:pPr>
    <w:rPr>
      <w:rFonts w:ascii="微软雅黑" w:hAnsi="微软雅黑" w:eastAsia="微软雅黑"/>
      <w:b/>
      <w:bCs/>
      <w:sz w:val="44"/>
      <w:szCs w:val="32"/>
    </w:rPr>
  </w:style>
  <w:style w:type="paragraph" w:customStyle="1" w:styleId="20">
    <w:name w:val="Default"/>
    <w:next w:val="21"/>
    <w:autoRedefine/>
    <w:qFormat/>
    <w:uiPriority w:val="99"/>
    <w:pPr>
      <w:widowControl w:val="0"/>
      <w:autoSpaceDE w:val="0"/>
      <w:autoSpaceDN w:val="0"/>
      <w:adjustRightInd w:val="0"/>
    </w:pPr>
    <w:rPr>
      <w:rFonts w:ascii="Sim Sun+ 2" w:hAnsi="Times New Roman" w:eastAsia="Sim Sun+ 2" w:cs="Sim Sun+ 2"/>
      <w:color w:val="000000"/>
      <w:sz w:val="24"/>
      <w:szCs w:val="24"/>
      <w:lang w:val="en-US" w:eastAsia="zh-CN" w:bidi="ar-SA"/>
    </w:rPr>
  </w:style>
  <w:style w:type="paragraph" w:customStyle="1" w:styleId="21">
    <w:name w:val="样式1"/>
    <w:basedOn w:val="17"/>
    <w:next w:val="1"/>
    <w:autoRedefine/>
    <w:qFormat/>
    <w:uiPriority w:val="0"/>
    <w:rPr>
      <w:color w:val="538135"/>
      <w:sz w:val="28"/>
    </w:rPr>
  </w:style>
  <w:style w:type="paragraph" w:customStyle="1" w:styleId="22">
    <w:name w:val="_Style 4"/>
    <w:basedOn w:val="1"/>
    <w:autoRedefine/>
    <w:qFormat/>
    <w:uiPriority w:val="99"/>
    <w:pPr>
      <w:widowControl w:val="0"/>
      <w:ind w:firstLine="420" w:firstLineChars="200"/>
      <w:jc w:val="both"/>
    </w:pPr>
    <w:rPr>
      <w:rFonts w:ascii="Times New Roman" w:hAnsi="Times New Roman" w:cs="Times New Roman"/>
      <w:kern w:val="2"/>
      <w:sz w:val="21"/>
    </w:rPr>
  </w:style>
  <w:style w:type="paragraph" w:customStyle="1" w:styleId="23">
    <w:name w:val="List Paragraph"/>
    <w:basedOn w:val="1"/>
    <w:autoRedefine/>
    <w:qFormat/>
    <w:uiPriority w:val="0"/>
    <w:pPr>
      <w:ind w:firstLine="420" w:firstLineChars="200"/>
    </w:pPr>
  </w:style>
  <w:style w:type="character" w:customStyle="1" w:styleId="24">
    <w:name w:val="font71"/>
    <w:basedOn w:val="19"/>
    <w:autoRedefine/>
    <w:qFormat/>
    <w:uiPriority w:val="0"/>
    <w:rPr>
      <w:rFonts w:hint="eastAsia" w:ascii="宋体" w:hAnsi="宋体" w:eastAsia="宋体" w:cs="宋体"/>
      <w:color w:val="000000"/>
      <w:sz w:val="22"/>
      <w:szCs w:val="22"/>
      <w:u w:val="none"/>
    </w:rPr>
  </w:style>
  <w:style w:type="character" w:customStyle="1" w:styleId="25">
    <w:name w:val="font91"/>
    <w:basedOn w:val="19"/>
    <w:autoRedefine/>
    <w:qFormat/>
    <w:uiPriority w:val="0"/>
    <w:rPr>
      <w:rFonts w:hint="eastAsia" w:ascii="宋体" w:hAnsi="宋体" w:eastAsia="宋体" w:cs="宋体"/>
      <w:color w:val="000000"/>
      <w:sz w:val="22"/>
      <w:szCs w:val="22"/>
      <w:u w:val="none"/>
    </w:rPr>
  </w:style>
  <w:style w:type="character" w:customStyle="1" w:styleId="26">
    <w:name w:val="font31"/>
    <w:basedOn w:val="19"/>
    <w:autoRedefine/>
    <w:qFormat/>
    <w:uiPriority w:val="0"/>
    <w:rPr>
      <w:rFonts w:hint="default" w:ascii="Arial" w:hAnsi="Arial" w:cs="Arial"/>
      <w:color w:val="000000"/>
      <w:sz w:val="22"/>
      <w:szCs w:val="22"/>
      <w:u w:val="none"/>
    </w:rPr>
  </w:style>
  <w:style w:type="character" w:customStyle="1" w:styleId="27">
    <w:name w:val="font51"/>
    <w:basedOn w:val="19"/>
    <w:autoRedefine/>
    <w:qFormat/>
    <w:uiPriority w:val="0"/>
    <w:rPr>
      <w:rFonts w:hint="eastAsia" w:ascii="宋体" w:hAnsi="宋体" w:eastAsia="宋体" w:cs="宋体"/>
      <w:color w:val="000000"/>
      <w:sz w:val="22"/>
      <w:szCs w:val="22"/>
      <w:u w:val="none"/>
    </w:rPr>
  </w:style>
  <w:style w:type="character" w:customStyle="1" w:styleId="28">
    <w:name w:val="font81"/>
    <w:basedOn w:val="19"/>
    <w:autoRedefine/>
    <w:qFormat/>
    <w:uiPriority w:val="0"/>
    <w:rPr>
      <w:rFonts w:hint="eastAsia" w:ascii="宋体" w:hAnsi="宋体" w:eastAsia="宋体" w:cs="宋体"/>
      <w:color w:val="000000"/>
      <w:sz w:val="22"/>
      <w:szCs w:val="22"/>
      <w:u w:val="none"/>
    </w:rPr>
  </w:style>
  <w:style w:type="character" w:customStyle="1" w:styleId="29">
    <w:name w:val="font41"/>
    <w:basedOn w:val="19"/>
    <w:autoRedefine/>
    <w:qFormat/>
    <w:uiPriority w:val="0"/>
    <w:rPr>
      <w:rFonts w:hint="default" w:ascii="Arial" w:hAnsi="Arial" w:cs="Arial"/>
      <w:color w:val="000000"/>
      <w:sz w:val="22"/>
      <w:szCs w:val="22"/>
      <w:u w:val="none"/>
    </w:rPr>
  </w:style>
  <w:style w:type="character" w:customStyle="1" w:styleId="30">
    <w:name w:val="font01"/>
    <w:basedOn w:val="19"/>
    <w:autoRedefine/>
    <w:qFormat/>
    <w:uiPriority w:val="0"/>
    <w:rPr>
      <w:rFonts w:hint="eastAsia" w:ascii="宋体" w:hAnsi="宋体" w:eastAsia="宋体" w:cs="宋体"/>
      <w:color w:val="000000"/>
      <w:sz w:val="22"/>
      <w:szCs w:val="22"/>
      <w:u w:val="none"/>
    </w:rPr>
  </w:style>
  <w:style w:type="paragraph" w:customStyle="1" w:styleId="31">
    <w:name w:val="&quot;Other|1&quot;"/>
    <w:basedOn w:val="1"/>
    <w:autoRedefine/>
    <w:qFormat/>
    <w:uiPriority w:val="0"/>
    <w:pPr>
      <w:widowControl w:val="0"/>
      <w:shd w:val="clear" w:color="FFFFFF" w:fill="FFFFFF"/>
      <w:spacing w:before="0" w:after="40" w:line="331" w:lineRule="auto"/>
      <w:ind w:left="0" w:right="0" w:firstLine="400"/>
      <w:jc w:val="left"/>
    </w:pPr>
    <w:rPr>
      <w:rFonts w:ascii="宋体" w:hAnsi="宋体" w:eastAsia="宋体" w:cs="宋体"/>
      <w:color w:val="000000"/>
      <w:spacing w:val="0"/>
      <w:w w:val="100"/>
      <w:position w:val="0"/>
      <w:sz w:val="20"/>
      <w:szCs w:val="20"/>
      <w:u w:val="none"/>
      <w:lang w:val="zh-TW" w:eastAsia="zh-TW" w:bidi="zh-TW"/>
    </w:rPr>
  </w:style>
  <w:style w:type="paragraph" w:customStyle="1" w:styleId="32">
    <w:name w:val="&quot;Body text|1&quot;"/>
    <w:basedOn w:val="1"/>
    <w:autoRedefine/>
    <w:qFormat/>
    <w:uiPriority w:val="0"/>
    <w:pPr>
      <w:widowControl w:val="0"/>
      <w:shd w:val="clear" w:color="FFFFFF" w:fill="FFFFFF"/>
      <w:spacing w:before="0" w:after="40" w:line="331" w:lineRule="auto"/>
      <w:ind w:left="0" w:right="0" w:firstLine="400"/>
      <w:jc w:val="left"/>
    </w:pPr>
    <w:rPr>
      <w:rFonts w:ascii="宋体" w:hAnsi="宋体" w:eastAsia="宋体" w:cs="宋体"/>
      <w:color w:val="000000"/>
      <w:spacing w:val="0"/>
      <w:w w:val="100"/>
      <w:position w:val="0"/>
      <w:sz w:val="20"/>
      <w:szCs w:val="20"/>
      <w:u w:val="none"/>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2725</Words>
  <Characters>2931</Characters>
  <Lines>0</Lines>
  <Paragraphs>0</Paragraphs>
  <TotalTime>6</TotalTime>
  <ScaleCrop>false</ScaleCrop>
  <LinksUpToDate>false</LinksUpToDate>
  <CharactersWithSpaces>3044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2020-07-24T00:23:00Z</dcterms:created>
  <dc:creator>Administrator</dc:creator>
  <cp:lastModifiedBy>合子</cp:lastModifiedBy>
  <cp:lastPrinted>2025-01-14T07:04:00Z</cp:lastPrinted>
  <dcterms:modified xsi:type="dcterms:W3CDTF">2025-03-05T11:32:44Z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eyJoZGlkIjoiYTkwZTdjNDk4YTZkNTI1Yjk1OWM1MzE0MTEzODM5MzMiLCJ1c2VySWQiOiI3MTM5Mjc5MjcifQ==</vt:lpwstr>
  </property>
  <property fmtid="{D5CDD505-2E9C-101B-9397-08002B2CF9AE}" pid="4" name="ICV">
    <vt:lpwstr>FBCAF3460A824C45BAAF456AAFA22D3D_13</vt:lpwstr>
  </property>
</Properties>
</file>