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吉利百矿矿机公司202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月份（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245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吨钢材）采购项目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吉利百矿矿机公司202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月份（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245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吉利百矿矿机公司202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月份（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245</w:t>
      </w:r>
      <w:r>
        <w:rPr>
          <w:rFonts w:hint="eastAsia" w:ascii="宋体" w:hAnsi="宋体" w:eastAsia="宋体" w:cs="宋体"/>
          <w:sz w:val="21"/>
          <w:szCs w:val="21"/>
          <w:u w:val="single"/>
        </w:rPr>
        <w:t>吨钢材）采购项目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jc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  <w:lang w:val="en-US" w:eastAsia="zh-CN"/>
        </w:rPr>
        <w:t>2025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4YzUzNDE2MGQ2YmNhZTE5ODFhODg5YzNjODM0ZGY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0F4F5569"/>
    <w:rsid w:val="1109429B"/>
    <w:rsid w:val="113A610C"/>
    <w:rsid w:val="1323176D"/>
    <w:rsid w:val="136B5FB3"/>
    <w:rsid w:val="13934C8A"/>
    <w:rsid w:val="139B2695"/>
    <w:rsid w:val="15C95650"/>
    <w:rsid w:val="162B5BD5"/>
    <w:rsid w:val="17073614"/>
    <w:rsid w:val="17722F1B"/>
    <w:rsid w:val="18C56ABE"/>
    <w:rsid w:val="18C740FB"/>
    <w:rsid w:val="1A0D2A1F"/>
    <w:rsid w:val="1B0E6548"/>
    <w:rsid w:val="1C00316C"/>
    <w:rsid w:val="1C0B4FDF"/>
    <w:rsid w:val="1C16479A"/>
    <w:rsid w:val="1C4170A8"/>
    <w:rsid w:val="1C5B2F04"/>
    <w:rsid w:val="1CF1772C"/>
    <w:rsid w:val="1D4B23BC"/>
    <w:rsid w:val="1EA413BD"/>
    <w:rsid w:val="1F2F4D5A"/>
    <w:rsid w:val="20EE2F4F"/>
    <w:rsid w:val="21A03A3E"/>
    <w:rsid w:val="21D3760E"/>
    <w:rsid w:val="2275009E"/>
    <w:rsid w:val="22B86521"/>
    <w:rsid w:val="23EA7692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13451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1CC6E09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D704C29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5065F3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0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   </cp:lastModifiedBy>
  <dcterms:modified xsi:type="dcterms:W3CDTF">2025-03-28T07:26:30Z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  <property fmtid="{D5CDD505-2E9C-101B-9397-08002B2CF9AE}" pid="4" name="EagleCloud">
    <vt:lpwstr>61676334b4e8422151e43967553014381f5e06876ebe2bbce66cedec39aecaacf4853be976adcc648e709e91f0cef3a53657f9a2a66ae7740b15c415f702124e0319171d27fbf8f4fcbf89b406e7305e3c148f52e07303e0f1d6d9a465296df8ec1b83a6fb7763d1f99c2575b226367974f638e4954916f9aa64583819b9992</vt:lpwstr>
  </property>
  <property fmtid="{D5CDD505-2E9C-101B-9397-08002B2CF9AE}" pid="5" name="EagleCloud1">
    <vt:lpwstr>198e21d1fee3407e084cf55a7d916f176e74b1bdbc2d4e5ba82b0e624b1273400d70d62adad509f569fa9ce81e9d5a67afca3d1b6f613110d81d06256d957939bfaa2b11d5c4318b084111b16426a481f0dc8aaa42089648d63fcde9e2638abfd7ceb22f5704e7c1f2ad75253bb975beb7cdb364b4915021746e6845aca8e20</vt:lpwstr>
  </property>
  <property fmtid="{D5CDD505-2E9C-101B-9397-08002B2CF9AE}" pid="6" name="EagleCloud2">
    <vt:lpwstr>0538aa0a0f6e65f1b3737f51bef72254dfd2cd38966bcbea18e9d6a914585e1c652161be7fd511a37316c72bb9cdc49851e8fc8fb381a2754bdb1b4dcd747b177af92990fed2b31b167e241f463c0a35f8788c0eeccc33f76b203bad89d664208c95432f1f9e01db7993333923dcdad6b8bf06133f140a831489f380dc66dba</vt:lpwstr>
  </property>
  <property fmtid="{D5CDD505-2E9C-101B-9397-08002B2CF9AE}" pid="7" name="EagleCloud3">
    <vt:lpwstr>9f6ff496e19c8255bbefcb52988338d79997a4708314e989db467b53fff772df264</vt:lpwstr>
  </property>
</Properties>
</file>