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7D16">
      <w:pPr>
        <w:spacing w:before="156" w:beforeLines="50" w:after="156" w:afterLines="50" w:line="360" w:lineRule="auto"/>
        <w:jc w:val="center"/>
        <w:outlineLvl w:val="0"/>
        <w:rPr>
          <w:rFonts w:hint="default" w:ascii="宋体" w:hAnsi="宋体" w:eastAsia="宋体" w:cs="Times New Roman"/>
          <w:b/>
          <w:kern w:val="10"/>
          <w:sz w:val="32"/>
          <w:szCs w:val="32"/>
          <w:lang w:val="en-US" w:eastAsia="zh-CN"/>
        </w:rPr>
      </w:pPr>
      <w:bookmarkStart w:id="0" w:name="_Toc8246"/>
      <w:bookmarkStart w:id="1" w:name="_Toc27290"/>
      <w:r>
        <w:rPr>
          <w:rFonts w:hint="eastAsia" w:ascii="宋体" w:hAnsi="宋体" w:eastAsia="宋体" w:cs="Times New Roman"/>
          <w:b/>
          <w:kern w:val="10"/>
          <w:sz w:val="32"/>
          <w:szCs w:val="32"/>
          <w:lang w:val="en-US" w:eastAsia="zh-CN"/>
        </w:rPr>
        <w:t>氟化钙</w:t>
      </w:r>
      <w:bookmarkEnd w:id="0"/>
      <w:bookmarkEnd w:id="1"/>
      <w:r>
        <w:rPr>
          <w:rFonts w:hint="eastAsia" w:ascii="宋体" w:hAnsi="宋体" w:cs="Times New Roman"/>
          <w:b/>
          <w:kern w:val="10"/>
          <w:sz w:val="32"/>
          <w:szCs w:val="32"/>
          <w:lang w:val="en-US" w:eastAsia="zh-CN"/>
        </w:rPr>
        <w:t>质量技术要求</w:t>
      </w:r>
    </w:p>
    <w:p w14:paraId="20E1CB57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2" w:name="_Toc24870"/>
      <w:bookmarkStart w:id="3" w:name="_Toc14610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1 范围</w:t>
      </w:r>
      <w:bookmarkEnd w:id="2"/>
      <w:bookmarkEnd w:id="3"/>
    </w:p>
    <w:p w14:paraId="074DC944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zh-CN"/>
        </w:rPr>
      </w:pP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本细则依据GB/T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27804—2011《氟化钙》标准，结合电解铝业务部实际生产运行情况编制，规定了氟化钙的外观质量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、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化学成分和物理性能、检验频次及取样方法、质量细则等要求。适用于电解铝业务部下属各铝厂采购氟化钙的质量检验及质量验证。</w:t>
      </w:r>
    </w:p>
    <w:p w14:paraId="13C2FB8E">
      <w:pPr>
        <w:spacing w:before="156" w:beforeLines="50" w:after="156" w:afterLines="50" w:line="360" w:lineRule="auto"/>
        <w:outlineLvl w:val="1"/>
        <w:rPr>
          <w:rFonts w:hint="eastAsia"/>
          <w:b/>
          <w:kern w:val="10"/>
          <w:sz w:val="24"/>
        </w:rPr>
      </w:pPr>
      <w:bookmarkStart w:id="4" w:name="_Toc21966"/>
      <w:bookmarkStart w:id="5" w:name="_Toc2271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2</w:t>
      </w:r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 xml:space="preserve"> </w:t>
      </w:r>
      <w:r>
        <w:rPr>
          <w:rFonts w:hint="eastAsia"/>
          <w:b/>
          <w:kern w:val="10"/>
          <w:sz w:val="24"/>
        </w:rPr>
        <w:t>外观质量</w:t>
      </w:r>
      <w:bookmarkEnd w:id="4"/>
      <w:bookmarkEnd w:id="5"/>
    </w:p>
    <w:p w14:paraId="72C456D2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10"/>
          <w:sz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10"/>
          <w:sz w:val="24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b w:val="0"/>
          <w:bCs/>
          <w:kern w:val="10"/>
          <w:sz w:val="24"/>
        </w:rPr>
        <w:t>氟化</w:t>
      </w:r>
      <w:r>
        <w:rPr>
          <w:rFonts w:hint="eastAsia" w:ascii="宋体" w:hAnsi="宋体" w:eastAsia="宋体" w:cs="宋体"/>
          <w:b w:val="0"/>
          <w:bCs/>
          <w:kern w:val="10"/>
          <w:sz w:val="24"/>
          <w:lang w:eastAsia="zh-CN"/>
        </w:rPr>
        <w:t>钙</w:t>
      </w:r>
      <w:r>
        <w:rPr>
          <w:rFonts w:hint="eastAsia" w:ascii="宋体" w:hAnsi="宋体" w:eastAsia="宋体" w:cs="宋体"/>
          <w:b w:val="0"/>
          <w:bCs/>
          <w:kern w:val="10"/>
          <w:sz w:val="24"/>
        </w:rPr>
        <w:t>为白色粉末，产品中允许有直径为4～10mm的颗粒或结块，其重量不得超过5%</w:t>
      </w:r>
      <w:r>
        <w:rPr>
          <w:rFonts w:hint="eastAsia" w:ascii="宋体" w:hAnsi="宋体" w:eastAsia="宋体" w:cs="宋体"/>
          <w:b w:val="0"/>
          <w:bCs/>
          <w:kern w:val="10"/>
          <w:sz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kern w:val="10"/>
          <w:sz w:val="24"/>
        </w:rPr>
        <w:t>氟化</w:t>
      </w:r>
      <w:r>
        <w:rPr>
          <w:rFonts w:hint="eastAsia" w:ascii="宋体" w:hAnsi="宋体" w:eastAsia="宋体" w:cs="宋体"/>
          <w:b w:val="0"/>
          <w:bCs/>
          <w:kern w:val="10"/>
          <w:sz w:val="24"/>
          <w:lang w:eastAsia="zh-CN"/>
        </w:rPr>
        <w:t>钙不应含有其它杂质。</w:t>
      </w:r>
    </w:p>
    <w:p w14:paraId="0B8DB5EC"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kern w:val="10"/>
          <w:sz w:val="24"/>
        </w:rPr>
      </w:pPr>
      <w:r>
        <w:rPr>
          <w:rFonts w:hint="eastAsia" w:ascii="宋体" w:hAnsi="宋体" w:eastAsia="宋体" w:cs="宋体"/>
          <w:b w:val="0"/>
          <w:bCs/>
          <w:kern w:val="10"/>
          <w:sz w:val="24"/>
          <w:lang w:val="en-US" w:eastAsia="zh-CN"/>
        </w:rPr>
        <w:t xml:space="preserve">2.2 </w:t>
      </w:r>
      <w:r>
        <w:rPr>
          <w:rFonts w:hint="eastAsia" w:ascii="宋体" w:hAnsi="宋体" w:eastAsia="宋体" w:cs="宋体"/>
          <w:b w:val="0"/>
          <w:bCs/>
          <w:kern w:val="10"/>
          <w:sz w:val="24"/>
        </w:rPr>
        <w:t>氟化</w:t>
      </w:r>
      <w:r>
        <w:rPr>
          <w:rFonts w:hint="eastAsia" w:ascii="宋体" w:hAnsi="宋体" w:eastAsia="宋体" w:cs="宋体"/>
          <w:b w:val="0"/>
          <w:bCs/>
          <w:kern w:val="10"/>
          <w:sz w:val="24"/>
          <w:lang w:eastAsia="zh-CN"/>
        </w:rPr>
        <w:t>钙</w:t>
      </w:r>
      <w:r>
        <w:rPr>
          <w:rFonts w:hint="eastAsia" w:ascii="宋体" w:hAnsi="宋体" w:eastAsia="宋体" w:cs="宋体"/>
          <w:b w:val="0"/>
          <w:bCs/>
          <w:kern w:val="10"/>
          <w:sz w:val="24"/>
        </w:rPr>
        <w:t>的外观质量采用目视检查,产品中的结块尺寸采用相应精度的测量工具进行。</w:t>
      </w:r>
    </w:p>
    <w:p w14:paraId="57C4739F">
      <w:pPr>
        <w:spacing w:before="156" w:beforeLines="50" w:after="156" w:afterLines="50" w:line="360" w:lineRule="auto"/>
        <w:outlineLvl w:val="1"/>
        <w:rPr>
          <w:rFonts w:hint="eastAsia"/>
          <w:b/>
          <w:kern w:val="10"/>
          <w:sz w:val="24"/>
        </w:rPr>
      </w:pPr>
      <w:bookmarkStart w:id="6" w:name="_Toc4939"/>
      <w:bookmarkStart w:id="7" w:name="_Toc32088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3</w:t>
      </w:r>
      <w:r>
        <w:rPr>
          <w:rFonts w:hint="eastAsia"/>
          <w:b/>
          <w:kern w:val="10"/>
          <w:sz w:val="24"/>
          <w:lang w:val="en-US" w:eastAsia="zh-CN"/>
        </w:rPr>
        <w:t xml:space="preserve"> </w:t>
      </w:r>
      <w:r>
        <w:rPr>
          <w:rFonts w:hint="eastAsia"/>
          <w:b/>
          <w:kern w:val="10"/>
          <w:sz w:val="24"/>
        </w:rPr>
        <w:t>化学成分和物理性能</w:t>
      </w:r>
      <w:bookmarkEnd w:id="6"/>
      <w:bookmarkEnd w:id="7"/>
    </w:p>
    <w:p w14:paraId="1D496288">
      <w:pPr>
        <w:spacing w:line="360" w:lineRule="auto"/>
        <w:ind w:firstLine="480" w:firstLineChars="200"/>
        <w:rPr>
          <w:rFonts w:hint="default" w:ascii="宋体" w:hAnsi="宋体" w:eastAsia="宋体" w:cs="Times New Roman"/>
          <w:kern w:val="10"/>
          <w:sz w:val="24"/>
          <w:lang w:val="en-US"/>
        </w:rPr>
      </w:pPr>
      <w:r>
        <w:rPr>
          <w:rFonts w:hint="eastAsia"/>
          <w:kern w:val="10"/>
          <w:sz w:val="24"/>
          <w:lang w:val="en-US" w:eastAsia="zh-CN"/>
        </w:rPr>
        <w:t>电解铝业务部使用</w:t>
      </w:r>
      <w:r>
        <w:rPr>
          <w:rFonts w:hint="eastAsia"/>
          <w:kern w:val="10"/>
          <w:sz w:val="24"/>
        </w:rPr>
        <w:t>氟化</w:t>
      </w:r>
      <w:r>
        <w:rPr>
          <w:rFonts w:hint="eastAsia"/>
          <w:kern w:val="10"/>
          <w:sz w:val="24"/>
          <w:lang w:eastAsia="zh-CN"/>
        </w:rPr>
        <w:t>钙</w:t>
      </w:r>
      <w:r>
        <w:rPr>
          <w:rFonts w:hint="eastAsia"/>
          <w:kern w:val="10"/>
          <w:sz w:val="24"/>
        </w:rPr>
        <w:t>化学成分和物理性能应符合</w:t>
      </w:r>
      <w:r>
        <w:rPr>
          <w:rFonts w:hint="eastAsia" w:ascii="宋体" w:hAnsi="宋体" w:eastAsia="宋体" w:cs="Times New Roman"/>
          <w:kern w:val="10"/>
          <w:sz w:val="24"/>
        </w:rPr>
        <w:t>Ⅱ类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合格品</w:t>
      </w:r>
      <w:r>
        <w:rPr>
          <w:rFonts w:hint="eastAsia" w:ascii="宋体" w:hAnsi="宋体" w:eastAsia="宋体" w:cs="Times New Roman"/>
          <w:kern w:val="10"/>
          <w:sz w:val="24"/>
          <w:lang w:eastAsia="zh-CN"/>
        </w:rPr>
        <w:t>及以上品级</w:t>
      </w:r>
      <w:r>
        <w:rPr>
          <w:rFonts w:hint="eastAsia" w:ascii="宋体" w:hAnsi="宋体" w:cs="Times New Roman"/>
          <w:kern w:val="10"/>
          <w:sz w:val="24"/>
          <w:lang w:val="en-US" w:eastAsia="zh-CN"/>
        </w:rPr>
        <w:t>要求。</w:t>
      </w:r>
    </w:p>
    <w:tbl>
      <w:tblPr>
        <w:tblStyle w:val="2"/>
        <w:tblpPr w:leftFromText="180" w:rightFromText="180" w:vertAnchor="text" w:horzAnchor="page" w:tblpX="1294" w:tblpY="235"/>
        <w:tblOverlap w:val="never"/>
        <w:tblW w:w="10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2"/>
        <w:gridCol w:w="2051"/>
        <w:gridCol w:w="2277"/>
        <w:gridCol w:w="1984"/>
      </w:tblGrid>
      <w:tr w14:paraId="5E21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42" w:type="dxa"/>
            <w:vMerge w:val="restart"/>
            <w:shd w:val="clear" w:color="auto" w:fill="auto"/>
            <w:vAlign w:val="center"/>
          </w:tcPr>
          <w:p w14:paraId="3D33F5D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14:paraId="7FB28DFF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І 类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DA7CEAE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Ⅱ类</w:t>
            </w:r>
          </w:p>
        </w:tc>
      </w:tr>
      <w:tr w14:paraId="7212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42" w:type="dxa"/>
            <w:vMerge w:val="continue"/>
            <w:shd w:val="clear" w:color="auto" w:fill="auto"/>
            <w:vAlign w:val="center"/>
          </w:tcPr>
          <w:p w14:paraId="71908A9D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51" w:type="dxa"/>
            <w:vMerge w:val="continue"/>
            <w:shd w:val="clear" w:color="auto" w:fill="auto"/>
            <w:vAlign w:val="center"/>
          </w:tcPr>
          <w:p w14:paraId="481CDF03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372B67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一等品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061EDE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合格品</w:t>
            </w:r>
          </w:p>
        </w:tc>
      </w:tr>
      <w:tr w14:paraId="2FC5A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842" w:type="dxa"/>
            <w:shd w:val="clear" w:color="auto" w:fill="auto"/>
            <w:vAlign w:val="center"/>
          </w:tcPr>
          <w:p w14:paraId="251B9038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氟化钙，%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1468B61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99.0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0E8BD4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98.5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B06F1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97.5</w:t>
            </w:r>
          </w:p>
        </w:tc>
      </w:tr>
      <w:tr w14:paraId="58BC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842" w:type="dxa"/>
            <w:shd w:val="clear" w:color="auto" w:fill="auto"/>
            <w:vAlign w:val="center"/>
          </w:tcPr>
          <w:p w14:paraId="19939C76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游离酸（以HF计），%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4AE4B08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F40E86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505C7D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</w:tr>
      <w:tr w14:paraId="6BBC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3842" w:type="dxa"/>
            <w:shd w:val="clear" w:color="auto" w:fill="auto"/>
            <w:vAlign w:val="center"/>
          </w:tcPr>
          <w:p w14:paraId="028AF85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二氧化硅（SiO2），%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79ACA33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F347E2D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89A92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1E6A3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42" w:type="dxa"/>
            <w:shd w:val="clear" w:color="auto" w:fill="auto"/>
            <w:vAlign w:val="center"/>
          </w:tcPr>
          <w:p w14:paraId="7DA63432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铁（以Fe2O3计），%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5FD6FB1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63B6655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44EB8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</w:tr>
      <w:tr w14:paraId="5B38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42" w:type="dxa"/>
            <w:shd w:val="clear" w:color="auto" w:fill="auto"/>
            <w:vAlign w:val="center"/>
          </w:tcPr>
          <w:p w14:paraId="750CF56F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氯化物（Cl），%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A38101A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9DDAC2A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DF09B4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</w:tr>
      <w:tr w14:paraId="6B39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42" w:type="dxa"/>
            <w:shd w:val="clear" w:color="auto" w:fill="auto"/>
            <w:vAlign w:val="center"/>
          </w:tcPr>
          <w:p w14:paraId="4CFEAABB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磷酸盐（P2O5），%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4FFEF2FE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0.005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4621E5D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A65D4F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14BFA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842" w:type="dxa"/>
            <w:shd w:val="clear" w:color="auto" w:fill="auto"/>
            <w:vAlign w:val="center"/>
          </w:tcPr>
          <w:p w14:paraId="79BF7739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水分，%        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98ACA5A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0.10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77001D2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8BABF6">
            <w:pPr>
              <w:tabs>
                <w:tab w:val="left" w:pos="3805"/>
              </w:tabs>
              <w:adjustRightInd w:val="0"/>
              <w:snapToGrid w:val="0"/>
              <w:spacing w:line="3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51A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154" w:type="dxa"/>
            <w:gridSpan w:val="4"/>
            <w:shd w:val="clear" w:color="auto" w:fill="auto"/>
            <w:vAlign w:val="center"/>
          </w:tcPr>
          <w:p w14:paraId="5165A6EA"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注：1、对表中CaF2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%、SiO2%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规定为常规分析项目。</w:t>
            </w:r>
          </w:p>
          <w:p w14:paraId="36A15596">
            <w:pPr>
              <w:ind w:left="630" w:leftChars="200" w:hanging="210" w:hanging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2、对表中游离酸（以HF计），%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铁（以Fe2O3计），%氯化物（Cl），%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磷酸盐（P2O5），%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水分，% 的检测，如果需方有要求，供方应提供检测数据。</w:t>
            </w:r>
          </w:p>
          <w:p w14:paraId="546E0D23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、表中规定的各指标，需方有特殊要求，可由供需双方另行商定，并在合同中注明。</w:t>
            </w:r>
          </w:p>
          <w:p w14:paraId="5B4083FC">
            <w:pPr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如有争议，数值修约比较按GB/T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8170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规定进行，修约数位与表中所列极限数位一致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0262537">
      <w:pPr>
        <w:pStyle w:val="5"/>
        <w:rPr>
          <w:rFonts w:hint="eastAsia" w:ascii="宋体" w:hAnsi="宋体" w:eastAsia="宋体" w:cs="Times New Roman"/>
          <w:kern w:val="10"/>
          <w:sz w:val="24"/>
        </w:rPr>
      </w:pPr>
    </w:p>
    <w:p w14:paraId="5C337648">
      <w:pPr>
        <w:spacing w:before="156" w:beforeLines="50" w:after="156" w:afterLines="50" w:line="360" w:lineRule="auto"/>
        <w:outlineLvl w:val="1"/>
        <w:rPr>
          <w:rFonts w:hint="eastAsia"/>
          <w:b/>
          <w:sz w:val="24"/>
          <w:lang w:eastAsia="zh-CN"/>
        </w:rPr>
      </w:pPr>
      <w:bookmarkStart w:id="8" w:name="_Toc12904"/>
      <w:bookmarkStart w:id="9" w:name="_Toc17468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4</w:t>
      </w:r>
      <w:r>
        <w:rPr>
          <w:rFonts w:hint="eastAsia" w:ascii="宋体" w:hAnsi="宋体" w:cs="Times New Roman"/>
          <w:b/>
          <w:kern w:val="10"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检验频次</w:t>
      </w:r>
      <w:r>
        <w:rPr>
          <w:rFonts w:hint="eastAsia"/>
          <w:b/>
          <w:sz w:val="24"/>
          <w:lang w:eastAsia="zh-CN"/>
        </w:rPr>
        <w:t>及取样方法</w:t>
      </w:r>
      <w:bookmarkEnd w:id="8"/>
      <w:bookmarkEnd w:id="9"/>
    </w:p>
    <w:p w14:paraId="41C90715"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10"/>
          <w:sz w:val="24"/>
          <w:lang w:val="en-US" w:eastAsia="en-US"/>
        </w:rPr>
      </w:pPr>
      <w:r>
        <w:rPr>
          <w:rFonts w:hint="eastAsia" w:ascii="宋体" w:hAnsi="宋体" w:eastAsia="宋体" w:cs="Times New Roman"/>
          <w:b w:val="0"/>
          <w:bCs/>
          <w:kern w:val="10"/>
          <w:sz w:val="24"/>
          <w:lang w:val="en-US" w:eastAsia="zh-CN"/>
        </w:rPr>
        <w:t>4.1</w:t>
      </w:r>
      <w:r>
        <w:rPr>
          <w:rFonts w:hint="eastAsia"/>
          <w:sz w:val="24"/>
        </w:rPr>
        <w:t>氟化</w:t>
      </w:r>
      <w:r>
        <w:rPr>
          <w:rFonts w:hint="eastAsia"/>
          <w:sz w:val="24"/>
          <w:lang w:eastAsia="zh-CN"/>
        </w:rPr>
        <w:t>钙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应成批提交检验，每批应由同一牌号的产品组成，按不同供方分别以不大于20吨组批抽检1次，当日到货量不足20吨的同样组批抽检1次</w:t>
      </w:r>
      <w:r>
        <w:rPr>
          <w:rFonts w:hint="eastAsia" w:ascii="宋体" w:hAnsi="宋体" w:eastAsia="宋体" w:cs="Times New Roman"/>
          <w:kern w:val="10"/>
          <w:sz w:val="24"/>
          <w:lang w:val="en-US" w:eastAsia="en-US"/>
        </w:rPr>
        <w:t>。每批产品都应进行化学成分和物理性能、外观质量的检验</w:t>
      </w:r>
      <w:r>
        <w:rPr>
          <w:rFonts w:hint="eastAsia" w:ascii="宋体" w:hAnsi="宋体" w:eastAsia="宋体" w:cs="Times New Roman"/>
          <w:kern w:val="10"/>
          <w:sz w:val="24"/>
          <w:lang w:val="en-US" w:eastAsia="zh-CN"/>
        </w:rPr>
        <w:t>，外观质量每车次随机抽检5袋</w:t>
      </w:r>
      <w:r>
        <w:rPr>
          <w:rFonts w:hint="eastAsia" w:ascii="宋体" w:hAnsi="宋体" w:eastAsia="宋体" w:cs="Times New Roman"/>
          <w:kern w:val="10"/>
          <w:sz w:val="24"/>
          <w:lang w:val="en-US" w:eastAsia="en-US"/>
        </w:rPr>
        <w:t>。</w:t>
      </w:r>
    </w:p>
    <w:p w14:paraId="5C8403B1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4.2 氟化钙的化学成分取样每组批内随机抽取5袋，在所选取的每个样品袋中，用直径为19 </w:t>
      </w:r>
      <w:r>
        <w:rPr>
          <w:rFonts w:hint="eastAsia" w:ascii="宋体" w:hAnsi="宋体" w:eastAsia="宋体" w:cs="宋体"/>
          <w:sz w:val="24"/>
          <w:lang w:val="en-US" w:eastAsia="zh-CN"/>
        </w:rPr>
        <w:t>mm〜25 mm</w:t>
      </w:r>
      <w:r>
        <w:rPr>
          <w:rFonts w:hint="eastAsia" w:ascii="宋体" w:hAnsi="宋体" w:eastAsia="宋体" w:cs="Times New Roman"/>
          <w:sz w:val="24"/>
          <w:lang w:val="en-US" w:eastAsia="zh-CN"/>
        </w:rPr>
        <w:t>的铜管探针,沿样袋对角线插入其深度的3/4处取等量试样，试样总量不少于2 kg。</w:t>
      </w:r>
    </w:p>
    <w:p w14:paraId="1054AF25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4.3 外观质量采用目视检查，产品结块尺寸采用精度相应的工具测量。</w:t>
      </w:r>
    </w:p>
    <w:p w14:paraId="3747403C">
      <w:pPr>
        <w:spacing w:line="360" w:lineRule="auto"/>
        <w:ind w:firstLine="480" w:firstLineChars="200"/>
        <w:rPr>
          <w:rFonts w:hint="default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 xml:space="preserve">4.4 </w:t>
      </w: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>1</w:t>
      </w:r>
      <w:r>
        <w:rPr>
          <w:rFonts w:hint="eastAsia" w:ascii="宋体" w:hAnsi="宋体" w:cs="宋体"/>
          <w:kern w:val="1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10"/>
          <w:sz w:val="24"/>
          <w:lang w:val="en-US" w:eastAsia="zh-CN"/>
        </w:rPr>
        <w:t>.4</w:t>
      </w:r>
      <w:r>
        <w:rPr>
          <w:rFonts w:hint="eastAsia" w:ascii="宋体" w:hAnsi="宋体" w:eastAsia="宋体" w:cs="宋体"/>
          <w:kern w:val="10"/>
          <w:sz w:val="24"/>
        </w:rPr>
        <w:t>.3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供需双方在验收过程中就质量问题发生争议时，由双方共同抽样（在原取样袋取样点取样）、封样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并共同委托双方认可权威机构进行仲裁检验，以仲裁结果为最终结果进行结算，检验费用由责任方承担。</w:t>
      </w:r>
    </w:p>
    <w:p w14:paraId="1395683F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</w:pPr>
      <w:bookmarkStart w:id="10" w:name="_Toc18364"/>
      <w:bookmarkStart w:id="11" w:name="_Toc7076"/>
      <w:r>
        <w:rPr>
          <w:rFonts w:hint="eastAsia" w:ascii="宋体" w:hAnsi="宋体" w:eastAsia="宋体" w:cs="Times New Roman"/>
          <w:b/>
          <w:kern w:val="10"/>
          <w:sz w:val="24"/>
          <w:lang w:val="en-US" w:eastAsia="zh-CN"/>
        </w:rPr>
        <w:t>5 质量细则</w:t>
      </w:r>
      <w:bookmarkEnd w:id="10"/>
      <w:bookmarkEnd w:id="11"/>
    </w:p>
    <w:tbl>
      <w:tblPr>
        <w:tblStyle w:val="3"/>
        <w:tblpPr w:leftFromText="180" w:rightFromText="180" w:vertAnchor="text" w:horzAnchor="page" w:tblpX="1275" w:tblpY="239"/>
        <w:tblOverlap w:val="never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72"/>
        <w:gridCol w:w="1616"/>
        <w:gridCol w:w="1096"/>
        <w:gridCol w:w="1602"/>
        <w:gridCol w:w="3804"/>
      </w:tblGrid>
      <w:tr w14:paraId="4FB5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964" w:type="dxa"/>
            <w:gridSpan w:val="6"/>
            <w:vAlign w:val="center"/>
          </w:tcPr>
          <w:p w14:paraId="2634BD95">
            <w:pPr>
              <w:spacing w:line="360" w:lineRule="auto"/>
              <w:ind w:firstLine="4080" w:firstLineChars="1700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1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氟化钙质量细则</w:t>
            </w:r>
          </w:p>
        </w:tc>
      </w:tr>
      <w:tr w14:paraId="322C1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4" w:type="dxa"/>
            <w:vAlign w:val="center"/>
          </w:tcPr>
          <w:p w14:paraId="29F6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72" w:type="dxa"/>
            <w:vAlign w:val="center"/>
          </w:tcPr>
          <w:p w14:paraId="4B48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子项</w:t>
            </w:r>
          </w:p>
        </w:tc>
        <w:tc>
          <w:tcPr>
            <w:tcW w:w="1616" w:type="dxa"/>
            <w:vAlign w:val="center"/>
          </w:tcPr>
          <w:p w14:paraId="35E1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指标要求</w:t>
            </w:r>
          </w:p>
        </w:tc>
        <w:tc>
          <w:tcPr>
            <w:tcW w:w="1096" w:type="dxa"/>
            <w:vAlign w:val="center"/>
          </w:tcPr>
          <w:p w14:paraId="6244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处理类别</w:t>
            </w:r>
          </w:p>
        </w:tc>
        <w:tc>
          <w:tcPr>
            <w:tcW w:w="5406" w:type="dxa"/>
            <w:gridSpan w:val="2"/>
            <w:vAlign w:val="center"/>
          </w:tcPr>
          <w:p w14:paraId="58468952"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处理措施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（x为对应的控制子项）</w:t>
            </w:r>
          </w:p>
        </w:tc>
      </w:tr>
      <w:tr w14:paraId="211C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4" w:type="dxa"/>
            <w:vAlign w:val="center"/>
          </w:tcPr>
          <w:p w14:paraId="04561D0B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72" w:type="dxa"/>
            <w:vAlign w:val="center"/>
          </w:tcPr>
          <w:p w14:paraId="07B822A7"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氟化钙</w:t>
            </w:r>
          </w:p>
        </w:tc>
        <w:tc>
          <w:tcPr>
            <w:tcW w:w="1616" w:type="dxa"/>
            <w:vAlign w:val="center"/>
          </w:tcPr>
          <w:p w14:paraId="6054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</w:p>
        </w:tc>
        <w:tc>
          <w:tcPr>
            <w:tcW w:w="1096" w:type="dxa"/>
            <w:vAlign w:val="center"/>
          </w:tcPr>
          <w:p w14:paraId="6D11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4134B45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4" w:type="dxa"/>
            <w:vAlign w:val="center"/>
          </w:tcPr>
          <w:p w14:paraId="67599D1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 w14:paraId="6987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74" w:type="dxa"/>
            <w:vAlign w:val="center"/>
          </w:tcPr>
          <w:p w14:paraId="5A52E011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2" w:type="dxa"/>
            <w:vAlign w:val="center"/>
          </w:tcPr>
          <w:p w14:paraId="655AF6E8">
            <w:pPr>
              <w:widowControl w:val="0"/>
              <w:autoSpaceDE w:val="0"/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铁（以Fe2O3计）</w:t>
            </w:r>
          </w:p>
        </w:tc>
        <w:tc>
          <w:tcPr>
            <w:tcW w:w="1616" w:type="dxa"/>
            <w:vAlign w:val="center"/>
          </w:tcPr>
          <w:p w14:paraId="0D6DA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096" w:type="dxa"/>
            <w:vAlign w:val="center"/>
          </w:tcPr>
          <w:p w14:paraId="6387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1DDE452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0.015</w:t>
            </w:r>
          </w:p>
        </w:tc>
        <w:tc>
          <w:tcPr>
            <w:tcW w:w="3804" w:type="dxa"/>
            <w:vAlign w:val="center"/>
          </w:tcPr>
          <w:p w14:paraId="2CF78E9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 w14:paraId="017B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4" w:type="dxa"/>
            <w:vAlign w:val="center"/>
          </w:tcPr>
          <w:p w14:paraId="74661C2F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2" w:type="dxa"/>
            <w:vAlign w:val="center"/>
          </w:tcPr>
          <w:p w14:paraId="7D3153EC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游离酸</w:t>
            </w:r>
          </w:p>
        </w:tc>
        <w:tc>
          <w:tcPr>
            <w:tcW w:w="1616" w:type="dxa"/>
            <w:vAlign w:val="center"/>
          </w:tcPr>
          <w:p w14:paraId="72E5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6" w:type="dxa"/>
            <w:vAlign w:val="center"/>
          </w:tcPr>
          <w:p w14:paraId="0336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4BE4DC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04" w:type="dxa"/>
            <w:vAlign w:val="center"/>
          </w:tcPr>
          <w:p w14:paraId="5F908F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 w14:paraId="66C9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4" w:type="dxa"/>
            <w:vAlign w:val="center"/>
          </w:tcPr>
          <w:p w14:paraId="12B46A52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2" w:type="dxa"/>
            <w:vAlign w:val="center"/>
          </w:tcPr>
          <w:p w14:paraId="5716E1C5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氯化物</w:t>
            </w:r>
          </w:p>
        </w:tc>
        <w:tc>
          <w:tcPr>
            <w:tcW w:w="1616" w:type="dxa"/>
            <w:vAlign w:val="center"/>
          </w:tcPr>
          <w:p w14:paraId="4AD1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96" w:type="dxa"/>
            <w:vAlign w:val="center"/>
          </w:tcPr>
          <w:p w14:paraId="63D8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1D5C4DF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804" w:type="dxa"/>
            <w:vAlign w:val="center"/>
          </w:tcPr>
          <w:p w14:paraId="00AD12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 w14:paraId="6BB2E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4" w:type="dxa"/>
            <w:vAlign w:val="center"/>
          </w:tcPr>
          <w:p w14:paraId="5D46FC9D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2" w:type="dxa"/>
            <w:vAlign w:val="center"/>
          </w:tcPr>
          <w:p w14:paraId="34812E05">
            <w:pPr>
              <w:widowControl w:val="0"/>
              <w:autoSpaceDE w:val="0"/>
              <w:autoSpaceDN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外观质量</w:t>
            </w:r>
          </w:p>
        </w:tc>
        <w:tc>
          <w:tcPr>
            <w:tcW w:w="1616" w:type="dxa"/>
            <w:vAlign w:val="center"/>
          </w:tcPr>
          <w:p w14:paraId="79F3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不得有杂质</w:t>
            </w:r>
          </w:p>
        </w:tc>
        <w:tc>
          <w:tcPr>
            <w:tcW w:w="1096" w:type="dxa"/>
            <w:vAlign w:val="center"/>
          </w:tcPr>
          <w:p w14:paraId="05F5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00598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含有杂质</w:t>
            </w:r>
          </w:p>
        </w:tc>
        <w:tc>
          <w:tcPr>
            <w:tcW w:w="3804" w:type="dxa"/>
            <w:vAlign w:val="center"/>
          </w:tcPr>
          <w:p w14:paraId="2303D4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  <w:tr w14:paraId="1CBE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74" w:type="dxa"/>
            <w:vAlign w:val="center"/>
          </w:tcPr>
          <w:p w14:paraId="339BE6CE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2" w:type="dxa"/>
            <w:vAlign w:val="center"/>
          </w:tcPr>
          <w:p w14:paraId="344F9CD3">
            <w:pPr>
              <w:widowControl w:val="0"/>
              <w:autoSpaceDE w:val="0"/>
              <w:autoSpaceDN w:val="0"/>
              <w:ind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粒度</w:t>
            </w:r>
          </w:p>
        </w:tc>
        <w:tc>
          <w:tcPr>
            <w:tcW w:w="1616" w:type="dxa"/>
            <w:vAlign w:val="center"/>
          </w:tcPr>
          <w:p w14:paraId="2A05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 w:val="0"/>
                <w:color w:val="000000" w:themeColor="text1"/>
                <w:kern w:val="1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4～10mm的颗粒或结块，其重量不得超过5%。</w:t>
            </w:r>
          </w:p>
        </w:tc>
        <w:tc>
          <w:tcPr>
            <w:tcW w:w="1096" w:type="dxa"/>
            <w:vAlign w:val="center"/>
          </w:tcPr>
          <w:p w14:paraId="1F13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退货处理</w:t>
            </w:r>
          </w:p>
        </w:tc>
        <w:tc>
          <w:tcPr>
            <w:tcW w:w="1602" w:type="dxa"/>
            <w:vAlign w:val="center"/>
          </w:tcPr>
          <w:p w14:paraId="41C030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1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4～10mm的颗粒或结块，其重量占比超过5%。</w:t>
            </w:r>
          </w:p>
        </w:tc>
        <w:tc>
          <w:tcPr>
            <w:tcW w:w="3804" w:type="dxa"/>
            <w:vAlign w:val="center"/>
          </w:tcPr>
          <w:p w14:paraId="7378A7A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10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退货处理，七日内不及时运走的，将由我公司自行处理。</w:t>
            </w:r>
          </w:p>
        </w:tc>
      </w:tr>
    </w:tbl>
    <w:p w14:paraId="4C1D62D1">
      <w:pPr>
        <w:spacing w:before="156" w:beforeLines="50" w:after="156" w:afterLines="50" w:line="360" w:lineRule="auto"/>
        <w:outlineLvl w:val="1"/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</w:pPr>
      <w:bookmarkStart w:id="12" w:name="_Toc25693"/>
      <w:bookmarkStart w:id="13" w:name="_GoBack"/>
      <w:bookmarkEnd w:id="13"/>
      <w:r>
        <w:rPr>
          <w:rFonts w:hint="eastAsia" w:ascii="宋体" w:hAnsi="宋体" w:cs="Times New Roman"/>
          <w:b/>
          <w:color w:val="auto"/>
          <w:kern w:val="10"/>
          <w:sz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Times New Roman"/>
          <w:b/>
          <w:color w:val="auto"/>
          <w:kern w:val="10"/>
          <w:sz w:val="24"/>
          <w:highlight w:val="none"/>
          <w:lang w:val="en-US" w:eastAsia="zh-CN"/>
        </w:rPr>
        <w:t xml:space="preserve"> 封存试样的保存期限</w:t>
      </w:r>
      <w:bookmarkEnd w:id="12"/>
    </w:p>
    <w:p w14:paraId="797F9F8B">
      <w:pPr>
        <w:spacing w:before="156" w:beforeLines="50" w:after="156" w:afterLines="50" w:line="360" w:lineRule="auto"/>
        <w:ind w:firstLine="480" w:firstLineChars="200"/>
        <w:jc w:val="both"/>
        <w:outlineLvl w:val="9"/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kern w:val="10"/>
          <w:sz w:val="24"/>
          <w:highlight w:val="none"/>
          <w:lang w:val="en-US" w:eastAsia="zh-CN"/>
        </w:rPr>
        <w:t>氟化钙封存试样保存期限为6个月。</w:t>
      </w:r>
    </w:p>
    <w:p w14:paraId="0938B4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"/>
    <w:basedOn w:val="6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纯文本1"/>
    <w:basedOn w:val="1"/>
    <w:autoRedefine/>
    <w:qFormat/>
    <w:uiPriority w:val="0"/>
    <w:pPr>
      <w:suppressAutoHyphens/>
    </w:pPr>
    <w:rPr>
      <w:rFonts w:ascii="宋体" w:hAnsi="宋体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2025-04-16T03:06:08Z</dcterms:created>
  <dc:creator>Administrator</dc:creator>
  <cp:lastModifiedBy>Lan</cp:lastModifiedBy>
  <dcterms:modified xsi:type="dcterms:W3CDTF">2025-04-16T03:11:33Z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eyJoZGlkIjoiZTNhYTIxNDFiMzFjM2ZhMDg5NTk0NmEzYjUyYmMyOGMiLCJ1c2VySWQiOiIxMDE0MjMzODg0In0=</vt:lpwstr>
  </property>
  <property fmtid="{D5CDD505-2E9C-101B-9397-08002B2CF9AE}" pid="4" name="ICV">
    <vt:lpwstr>669302D92B2F41AE89B2B2E77074BD9A_12</vt:lpwstr>
  </property>
</Properties>
</file>