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C8C13">
      <w:pPr>
        <w:spacing w:before="156" w:beforeLines="50" w:after="156" w:afterLines="50" w:line="360" w:lineRule="auto"/>
        <w:jc w:val="center"/>
        <w:outlineLvl w:val="0"/>
        <w:rPr>
          <w:rFonts w:hint="eastAsia" w:ascii="宋体" w:hAnsi="宋体" w:eastAsia="宋体" w:cs="Times New Roman"/>
          <w:b/>
          <w:kern w:val="10"/>
          <w:sz w:val="32"/>
          <w:szCs w:val="32"/>
        </w:rPr>
      </w:pPr>
      <w:bookmarkStart w:id="0" w:name="_Toc31890"/>
      <w:bookmarkStart w:id="1" w:name="_Toc797"/>
      <w:r>
        <w:rPr>
          <w:rFonts w:hint="eastAsia"/>
          <w:b/>
          <w:bCs/>
          <w:kern w:val="10"/>
          <w:sz w:val="32"/>
          <w:szCs w:val="32"/>
        </w:rPr>
        <w:t>工业碳酸钠（纯碱）</w:t>
      </w:r>
      <w:bookmarkEnd w:id="0"/>
      <w:bookmarkEnd w:id="1"/>
    </w:p>
    <w:p w14:paraId="14046346">
      <w:pPr>
        <w:spacing w:before="156" w:beforeLines="50" w:after="156" w:afterLines="50" w:line="360" w:lineRule="auto"/>
        <w:outlineLvl w:val="1"/>
        <w:rPr>
          <w:rFonts w:hint="eastAsia" w:ascii="宋体" w:hAnsi="宋体" w:eastAsia="宋体" w:cs="Times New Roman"/>
          <w:b/>
          <w:kern w:val="10"/>
          <w:sz w:val="24"/>
          <w:lang w:val="en-US" w:eastAsia="zh-CN"/>
        </w:rPr>
      </w:pPr>
      <w:bookmarkStart w:id="2" w:name="_Toc25732"/>
      <w:bookmarkStart w:id="3" w:name="_Toc11085"/>
      <w:r>
        <w:rPr>
          <w:rFonts w:hint="eastAsia" w:ascii="宋体" w:hAnsi="宋体" w:eastAsia="宋体" w:cs="Times New Roman"/>
          <w:b/>
          <w:kern w:val="10"/>
          <w:sz w:val="24"/>
          <w:lang w:val="en-US" w:eastAsia="zh-CN"/>
        </w:rPr>
        <w:t>1 范围</w:t>
      </w:r>
      <w:bookmarkEnd w:id="2"/>
      <w:bookmarkEnd w:id="3"/>
    </w:p>
    <w:p w14:paraId="0F5FA2AF">
      <w:pPr>
        <w:spacing w:line="360" w:lineRule="auto"/>
        <w:ind w:firstLine="480" w:firstLineChars="200"/>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本细则依据GB</w:t>
      </w:r>
      <w:r>
        <w:rPr>
          <w:rFonts w:hint="eastAsia" w:ascii="宋体" w:hAnsi="宋体" w:cs="Times New Roman"/>
          <w:kern w:val="10"/>
          <w:sz w:val="24"/>
          <w:lang w:val="en-US" w:eastAsia="zh-CN"/>
        </w:rPr>
        <w:t xml:space="preserve">/T </w:t>
      </w:r>
      <w:r>
        <w:rPr>
          <w:rFonts w:hint="eastAsia" w:ascii="宋体" w:hAnsi="宋体" w:eastAsia="宋体" w:cs="Times New Roman"/>
          <w:kern w:val="10"/>
          <w:sz w:val="24"/>
          <w:lang w:val="en-US" w:eastAsia="zh-CN"/>
        </w:rPr>
        <w:t>210—20</w:t>
      </w:r>
      <w:r>
        <w:rPr>
          <w:rFonts w:hint="eastAsia" w:ascii="宋体" w:hAnsi="宋体" w:cs="Times New Roman"/>
          <w:kern w:val="10"/>
          <w:sz w:val="24"/>
          <w:lang w:val="en-US" w:eastAsia="zh-CN"/>
        </w:rPr>
        <w:t>22</w:t>
      </w:r>
      <w:r>
        <w:rPr>
          <w:rFonts w:hint="eastAsia" w:ascii="宋体" w:hAnsi="宋体" w:eastAsia="宋体" w:cs="Times New Roman"/>
          <w:kern w:val="10"/>
          <w:sz w:val="24"/>
          <w:lang w:val="en-US" w:eastAsia="zh-CN"/>
        </w:rPr>
        <w:t>《工业碳酸钠》标准，结合电解铝业务部实际生产运行情况编制，规定了工业碳酸钠的外观质量</w:t>
      </w:r>
      <w:r>
        <w:rPr>
          <w:rFonts w:hint="eastAsia" w:ascii="宋体" w:hAnsi="宋体" w:cs="Times New Roman"/>
          <w:kern w:val="10"/>
          <w:sz w:val="24"/>
          <w:lang w:val="en-US" w:eastAsia="zh-CN"/>
        </w:rPr>
        <w:t>、</w:t>
      </w:r>
      <w:r>
        <w:rPr>
          <w:rFonts w:hint="eastAsia" w:ascii="宋体" w:hAnsi="宋体" w:eastAsia="宋体" w:cs="Times New Roman"/>
          <w:kern w:val="10"/>
          <w:sz w:val="24"/>
          <w:lang w:val="en-US" w:eastAsia="zh-CN"/>
        </w:rPr>
        <w:t>化学成分、检验频次及取样方法、质量细则等要求。适用于电解铝业务部下属各铝厂采购工业碳酸钠的质量检验及质量验证。</w:t>
      </w:r>
    </w:p>
    <w:p w14:paraId="3D2CB9AC">
      <w:pPr>
        <w:spacing w:before="156" w:beforeLines="50" w:after="156" w:afterLines="50" w:line="360" w:lineRule="auto"/>
        <w:outlineLvl w:val="1"/>
        <w:rPr>
          <w:rFonts w:hint="eastAsia" w:ascii="宋体" w:hAnsi="宋体" w:eastAsia="宋体" w:cs="Times New Roman"/>
          <w:b/>
          <w:kern w:val="10"/>
          <w:sz w:val="24"/>
          <w:lang w:val="en-US" w:eastAsia="zh-CN"/>
        </w:rPr>
      </w:pPr>
      <w:bookmarkStart w:id="4" w:name="_Toc11827"/>
      <w:bookmarkStart w:id="5" w:name="_Toc19738"/>
      <w:r>
        <w:rPr>
          <w:rFonts w:hint="eastAsia" w:ascii="宋体" w:hAnsi="宋体" w:eastAsia="宋体" w:cs="Times New Roman"/>
          <w:b/>
          <w:kern w:val="10"/>
          <w:sz w:val="24"/>
          <w:lang w:val="en-US" w:eastAsia="zh-CN"/>
        </w:rPr>
        <w:t>2</w:t>
      </w:r>
      <w:r>
        <w:rPr>
          <w:rFonts w:hint="eastAsia" w:ascii="宋体" w:hAnsi="宋体" w:cs="Times New Roman"/>
          <w:b/>
          <w:kern w:val="10"/>
          <w:sz w:val="24"/>
          <w:lang w:val="en-US" w:eastAsia="zh-CN"/>
        </w:rPr>
        <w:t xml:space="preserve"> </w:t>
      </w:r>
      <w:r>
        <w:rPr>
          <w:rFonts w:hint="eastAsia" w:ascii="宋体" w:hAnsi="宋体" w:eastAsia="宋体" w:cs="Times New Roman"/>
          <w:b/>
          <w:kern w:val="10"/>
          <w:sz w:val="24"/>
          <w:lang w:val="en-US" w:eastAsia="zh-CN"/>
        </w:rPr>
        <w:t>外观质量</w:t>
      </w:r>
      <w:bookmarkEnd w:id="4"/>
      <w:bookmarkEnd w:id="5"/>
    </w:p>
    <w:p w14:paraId="2DE2E667">
      <w:pPr>
        <w:spacing w:before="156" w:beforeLines="50" w:after="156" w:afterLines="50" w:line="360" w:lineRule="auto"/>
        <w:rPr>
          <w:rFonts w:hint="eastAsia" w:asciiTheme="majorEastAsia" w:hAnsiTheme="majorEastAsia" w:eastAsiaTheme="majorEastAsia" w:cstheme="majorEastAsia"/>
          <w:kern w:val="10"/>
          <w:sz w:val="24"/>
        </w:rPr>
      </w:pPr>
      <w:r>
        <w:rPr>
          <w:rFonts w:hint="eastAsia" w:asciiTheme="majorEastAsia" w:hAnsiTheme="majorEastAsia" w:eastAsiaTheme="majorEastAsia" w:cstheme="majorEastAsia"/>
          <w:kern w:val="10"/>
          <w:sz w:val="24"/>
          <w:lang w:val="en-US" w:eastAsia="zh-CN"/>
        </w:rPr>
        <w:t>2</w:t>
      </w:r>
      <w:r>
        <w:rPr>
          <w:rFonts w:hint="eastAsia" w:asciiTheme="majorEastAsia" w:hAnsiTheme="majorEastAsia" w:eastAsiaTheme="majorEastAsia" w:cstheme="majorEastAsia"/>
          <w:kern w:val="10"/>
          <w:sz w:val="24"/>
        </w:rPr>
        <w:t>.1轻质碳酸钠为白色结晶粉未，</w:t>
      </w:r>
      <w:r>
        <w:rPr>
          <w:rFonts w:hint="eastAsia" w:asciiTheme="majorEastAsia" w:hAnsiTheme="majorEastAsia" w:eastAsiaTheme="majorEastAsia" w:cstheme="majorEastAsia"/>
          <w:kern w:val="10"/>
          <w:sz w:val="24"/>
          <w:lang w:eastAsia="zh-CN"/>
        </w:rPr>
        <w:t>不得含有其它杂质</w:t>
      </w:r>
      <w:r>
        <w:rPr>
          <w:rFonts w:hint="eastAsia" w:asciiTheme="majorEastAsia" w:hAnsiTheme="majorEastAsia" w:eastAsiaTheme="majorEastAsia" w:cstheme="majorEastAsia"/>
          <w:kern w:val="10"/>
          <w:sz w:val="24"/>
        </w:rPr>
        <w:t>。</w:t>
      </w:r>
    </w:p>
    <w:p w14:paraId="29E863B6">
      <w:pPr>
        <w:spacing w:before="156" w:beforeLines="50" w:after="156" w:afterLines="50" w:line="360" w:lineRule="auto"/>
        <w:rPr>
          <w:rFonts w:hint="eastAsia" w:asciiTheme="majorEastAsia" w:hAnsiTheme="majorEastAsia" w:eastAsiaTheme="majorEastAsia" w:cstheme="majorEastAsia"/>
          <w:kern w:val="10"/>
          <w:sz w:val="24"/>
        </w:rPr>
      </w:pPr>
      <w:r>
        <w:rPr>
          <w:rFonts w:hint="eastAsia" w:asciiTheme="majorEastAsia" w:hAnsiTheme="majorEastAsia" w:eastAsiaTheme="majorEastAsia" w:cstheme="majorEastAsia"/>
          <w:kern w:val="10"/>
          <w:sz w:val="24"/>
          <w:lang w:val="en-US" w:eastAsia="zh-CN"/>
        </w:rPr>
        <w:t>2</w:t>
      </w:r>
      <w:r>
        <w:rPr>
          <w:rFonts w:hint="eastAsia" w:asciiTheme="majorEastAsia" w:hAnsiTheme="majorEastAsia" w:eastAsiaTheme="majorEastAsia" w:cstheme="majorEastAsia"/>
          <w:kern w:val="10"/>
          <w:sz w:val="24"/>
        </w:rPr>
        <w:t>.2碳酸钠应有内包装袋。</w:t>
      </w:r>
    </w:p>
    <w:p w14:paraId="15172794">
      <w:pPr>
        <w:spacing w:before="156" w:beforeLines="50" w:after="156" w:afterLines="50" w:line="360" w:lineRule="auto"/>
        <w:outlineLvl w:val="1"/>
        <w:rPr>
          <w:rFonts w:hint="eastAsia" w:ascii="宋体" w:hAnsi="宋体" w:eastAsia="宋体" w:cs="Times New Roman"/>
          <w:b/>
          <w:kern w:val="10"/>
          <w:sz w:val="24"/>
          <w:lang w:val="en-US" w:eastAsia="zh-CN"/>
        </w:rPr>
      </w:pPr>
      <w:bookmarkStart w:id="6" w:name="_Toc13061"/>
      <w:bookmarkStart w:id="7" w:name="_Toc24912"/>
      <w:r>
        <w:rPr>
          <w:rFonts w:hint="eastAsia" w:ascii="宋体" w:hAnsi="宋体" w:eastAsia="宋体" w:cs="Times New Roman"/>
          <w:b/>
          <w:kern w:val="10"/>
          <w:sz w:val="24"/>
          <w:lang w:val="en-US" w:eastAsia="zh-CN"/>
        </w:rPr>
        <w:t>3化学成分</w:t>
      </w:r>
      <w:bookmarkEnd w:id="6"/>
      <w:bookmarkEnd w:id="7"/>
    </w:p>
    <w:p w14:paraId="350D2753">
      <w:pPr>
        <w:spacing w:line="360" w:lineRule="auto"/>
        <w:ind w:firstLine="480" w:firstLineChars="200"/>
        <w:rPr>
          <w:rFonts w:hint="eastAsia"/>
          <w:kern w:val="10"/>
          <w:sz w:val="24"/>
          <w:highlight w:val="none"/>
        </w:rPr>
      </w:pPr>
      <w:r>
        <w:rPr>
          <w:rFonts w:hint="eastAsia"/>
          <w:kern w:val="10"/>
          <w:sz w:val="24"/>
          <w:highlight w:val="none"/>
        </w:rPr>
        <w:t>工业碳酸钠的化学成分应符合下表</w:t>
      </w:r>
      <w:r>
        <w:rPr>
          <w:rFonts w:hint="eastAsia"/>
          <w:kern w:val="10"/>
          <w:sz w:val="24"/>
          <w:highlight w:val="none"/>
          <w:lang w:eastAsia="zh-CN"/>
        </w:rPr>
        <w:t>中</w:t>
      </w:r>
      <w:r>
        <w:rPr>
          <w:rFonts w:hint="eastAsia"/>
          <w:kern w:val="10"/>
          <w:sz w:val="24"/>
          <w:highlight w:val="none"/>
        </w:rPr>
        <w:t>Ⅱ类</w:t>
      </w:r>
      <w:r>
        <w:rPr>
          <w:rFonts w:hint="eastAsia"/>
          <w:kern w:val="10"/>
          <w:sz w:val="24"/>
          <w:highlight w:val="none"/>
          <w:lang w:eastAsia="zh-CN"/>
        </w:rPr>
        <w:t>一等品及以上品级</w:t>
      </w:r>
      <w:r>
        <w:rPr>
          <w:rFonts w:hint="eastAsia"/>
          <w:kern w:val="10"/>
          <w:sz w:val="24"/>
          <w:highlight w:val="none"/>
        </w:rPr>
        <w:t>。</w:t>
      </w:r>
    </w:p>
    <w:tbl>
      <w:tblPr>
        <w:tblStyle w:val="5"/>
        <w:tblW w:w="10039"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5"/>
        <w:gridCol w:w="3341"/>
        <w:gridCol w:w="1375"/>
        <w:gridCol w:w="1377"/>
        <w:gridCol w:w="1375"/>
        <w:gridCol w:w="1396"/>
      </w:tblGrid>
      <w:tr w14:paraId="29D23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516" w:type="dxa"/>
            <w:gridSpan w:val="2"/>
            <w:vMerge w:val="restart"/>
            <w:tcBorders>
              <w:bottom w:val="nil"/>
            </w:tcBorders>
            <w:vAlign w:val="top"/>
          </w:tcPr>
          <w:p w14:paraId="546E5E12">
            <w:pPr>
              <w:spacing w:line="392" w:lineRule="auto"/>
              <w:rPr>
                <w:rFonts w:hint="eastAsia" w:ascii="宋体" w:hAnsi="宋体" w:eastAsia="宋体" w:cs="宋体"/>
                <w:sz w:val="21"/>
                <w:szCs w:val="21"/>
              </w:rPr>
            </w:pPr>
          </w:p>
          <w:p w14:paraId="40BF8C53">
            <w:pPr>
              <w:pStyle w:val="6"/>
              <w:spacing w:before="58" w:line="220" w:lineRule="auto"/>
              <w:ind w:left="1715"/>
              <w:rPr>
                <w:rFonts w:hint="eastAsia" w:ascii="宋体" w:hAnsi="宋体" w:eastAsia="宋体" w:cs="宋体"/>
                <w:sz w:val="21"/>
                <w:szCs w:val="21"/>
              </w:rPr>
            </w:pPr>
            <w:r>
              <w:rPr>
                <w:rFonts w:hint="eastAsia" w:ascii="宋体" w:hAnsi="宋体" w:eastAsia="宋体" w:cs="宋体"/>
                <w:spacing w:val="-3"/>
                <w:sz w:val="21"/>
                <w:szCs w:val="21"/>
              </w:rPr>
              <w:t>项    目</w:t>
            </w:r>
          </w:p>
        </w:tc>
        <w:tc>
          <w:tcPr>
            <w:tcW w:w="5523" w:type="dxa"/>
            <w:gridSpan w:val="4"/>
            <w:vAlign w:val="top"/>
          </w:tcPr>
          <w:p w14:paraId="7624180A">
            <w:pPr>
              <w:pStyle w:val="6"/>
              <w:spacing w:before="93" w:line="220" w:lineRule="auto"/>
              <w:ind w:left="2194"/>
              <w:rPr>
                <w:rFonts w:hint="eastAsia" w:ascii="宋体" w:hAnsi="宋体" w:eastAsia="宋体" w:cs="宋体"/>
                <w:sz w:val="21"/>
                <w:szCs w:val="21"/>
              </w:rPr>
            </w:pPr>
            <w:r>
              <w:rPr>
                <w:rFonts w:hint="eastAsia" w:ascii="宋体" w:hAnsi="宋体" w:eastAsia="宋体" w:cs="宋体"/>
                <w:spacing w:val="-5"/>
                <w:sz w:val="21"/>
                <w:szCs w:val="21"/>
              </w:rPr>
              <w:t>指</w:t>
            </w:r>
            <w:r>
              <w:rPr>
                <w:rFonts w:hint="eastAsia" w:ascii="宋体" w:hAnsi="宋体" w:eastAsia="宋体" w:cs="宋体"/>
                <w:spacing w:val="2"/>
                <w:sz w:val="21"/>
                <w:szCs w:val="21"/>
              </w:rPr>
              <w:t xml:space="preserve">   </w:t>
            </w:r>
            <w:r>
              <w:rPr>
                <w:rFonts w:hint="eastAsia" w:ascii="宋体" w:hAnsi="宋体" w:eastAsia="宋体" w:cs="宋体"/>
                <w:spacing w:val="-5"/>
                <w:sz w:val="21"/>
                <w:szCs w:val="21"/>
              </w:rPr>
              <w:t>标</w:t>
            </w:r>
          </w:p>
        </w:tc>
      </w:tr>
      <w:tr w14:paraId="24025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4516" w:type="dxa"/>
            <w:gridSpan w:val="2"/>
            <w:vMerge w:val="continue"/>
            <w:tcBorders>
              <w:top w:val="nil"/>
              <w:bottom w:val="nil"/>
            </w:tcBorders>
            <w:vAlign w:val="top"/>
          </w:tcPr>
          <w:p w14:paraId="445C501E">
            <w:pPr>
              <w:rPr>
                <w:rFonts w:hint="eastAsia" w:ascii="宋体" w:hAnsi="宋体" w:eastAsia="宋体" w:cs="宋体"/>
                <w:sz w:val="21"/>
                <w:szCs w:val="21"/>
              </w:rPr>
            </w:pPr>
          </w:p>
        </w:tc>
        <w:tc>
          <w:tcPr>
            <w:tcW w:w="1375" w:type="dxa"/>
            <w:vMerge w:val="restart"/>
            <w:tcBorders>
              <w:bottom w:val="nil"/>
            </w:tcBorders>
            <w:vAlign w:val="top"/>
          </w:tcPr>
          <w:p w14:paraId="7A0FEDDB">
            <w:pPr>
              <w:pStyle w:val="6"/>
              <w:spacing w:before="268" w:line="219" w:lineRule="auto"/>
              <w:ind w:left="494"/>
              <w:rPr>
                <w:rFonts w:hint="eastAsia" w:ascii="宋体" w:hAnsi="宋体" w:eastAsia="宋体" w:cs="宋体"/>
                <w:sz w:val="21"/>
                <w:szCs w:val="21"/>
              </w:rPr>
            </w:pPr>
            <w:r>
              <w:rPr>
                <w:rFonts w:hint="eastAsia" w:ascii="宋体" w:hAnsi="宋体" w:eastAsia="宋体" w:cs="宋体"/>
                <w:spacing w:val="3"/>
                <w:sz w:val="21"/>
                <w:szCs w:val="21"/>
              </w:rPr>
              <w:t>I类</w:t>
            </w:r>
          </w:p>
        </w:tc>
        <w:tc>
          <w:tcPr>
            <w:tcW w:w="4148" w:type="dxa"/>
            <w:gridSpan w:val="3"/>
            <w:vAlign w:val="top"/>
          </w:tcPr>
          <w:p w14:paraId="2FF67762">
            <w:pPr>
              <w:pStyle w:val="6"/>
              <w:spacing w:before="88" w:line="219" w:lineRule="auto"/>
              <w:ind w:left="1755"/>
              <w:rPr>
                <w:rFonts w:hint="eastAsia" w:ascii="宋体" w:hAnsi="宋体" w:eastAsia="宋体" w:cs="宋体"/>
                <w:sz w:val="21"/>
                <w:szCs w:val="21"/>
              </w:rPr>
            </w:pPr>
            <w:r>
              <w:rPr>
                <w:rFonts w:hint="eastAsia" w:ascii="宋体" w:hAnsi="宋体" w:eastAsia="宋体" w:cs="宋体"/>
                <w:spacing w:val="-19"/>
                <w:sz w:val="21"/>
                <w:szCs w:val="21"/>
              </w:rPr>
              <w:t>Ⅱ</w:t>
            </w:r>
            <w:r>
              <w:rPr>
                <w:rFonts w:hint="eastAsia" w:ascii="宋体" w:hAnsi="宋体" w:eastAsia="宋体" w:cs="宋体"/>
                <w:spacing w:val="-38"/>
                <w:sz w:val="21"/>
                <w:szCs w:val="21"/>
              </w:rPr>
              <w:t xml:space="preserve"> </w:t>
            </w:r>
            <w:r>
              <w:rPr>
                <w:rFonts w:hint="eastAsia" w:ascii="宋体" w:hAnsi="宋体" w:eastAsia="宋体" w:cs="宋体"/>
                <w:spacing w:val="-19"/>
                <w:sz w:val="21"/>
                <w:szCs w:val="21"/>
              </w:rPr>
              <w:t>类</w:t>
            </w:r>
          </w:p>
        </w:tc>
      </w:tr>
      <w:tr w14:paraId="5DA3E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516" w:type="dxa"/>
            <w:gridSpan w:val="2"/>
            <w:vMerge w:val="continue"/>
            <w:tcBorders>
              <w:top w:val="nil"/>
            </w:tcBorders>
            <w:vAlign w:val="top"/>
          </w:tcPr>
          <w:p w14:paraId="165613BB">
            <w:pPr>
              <w:rPr>
                <w:rFonts w:hint="eastAsia" w:ascii="宋体" w:hAnsi="宋体" w:eastAsia="宋体" w:cs="宋体"/>
                <w:sz w:val="21"/>
                <w:szCs w:val="21"/>
              </w:rPr>
            </w:pPr>
          </w:p>
        </w:tc>
        <w:tc>
          <w:tcPr>
            <w:tcW w:w="1375" w:type="dxa"/>
            <w:vMerge w:val="continue"/>
            <w:tcBorders>
              <w:top w:val="nil"/>
            </w:tcBorders>
            <w:vAlign w:val="top"/>
          </w:tcPr>
          <w:p w14:paraId="185B03BB">
            <w:pPr>
              <w:rPr>
                <w:rFonts w:hint="eastAsia" w:ascii="宋体" w:hAnsi="宋体" w:eastAsia="宋体" w:cs="宋体"/>
                <w:sz w:val="21"/>
                <w:szCs w:val="21"/>
              </w:rPr>
            </w:pPr>
          </w:p>
        </w:tc>
        <w:tc>
          <w:tcPr>
            <w:tcW w:w="1377" w:type="dxa"/>
            <w:vAlign w:val="top"/>
          </w:tcPr>
          <w:p w14:paraId="2AEE4237">
            <w:pPr>
              <w:pStyle w:val="6"/>
              <w:spacing w:before="79" w:line="219" w:lineRule="auto"/>
              <w:ind w:left="356"/>
              <w:rPr>
                <w:rFonts w:hint="eastAsia" w:ascii="宋体" w:hAnsi="宋体" w:eastAsia="宋体" w:cs="宋体"/>
                <w:sz w:val="21"/>
                <w:szCs w:val="21"/>
              </w:rPr>
            </w:pPr>
            <w:r>
              <w:rPr>
                <w:rFonts w:hint="eastAsia" w:ascii="宋体" w:hAnsi="宋体" w:eastAsia="宋体" w:cs="宋体"/>
                <w:spacing w:val="6"/>
                <w:sz w:val="21"/>
                <w:szCs w:val="21"/>
              </w:rPr>
              <w:t>优等品</w:t>
            </w:r>
          </w:p>
        </w:tc>
        <w:tc>
          <w:tcPr>
            <w:tcW w:w="1375" w:type="dxa"/>
            <w:vAlign w:val="top"/>
          </w:tcPr>
          <w:p w14:paraId="5BC60430">
            <w:pPr>
              <w:pStyle w:val="6"/>
              <w:spacing w:before="79" w:line="219" w:lineRule="auto"/>
              <w:ind w:left="357"/>
              <w:rPr>
                <w:rFonts w:hint="eastAsia" w:ascii="宋体" w:hAnsi="宋体" w:eastAsia="宋体" w:cs="宋体"/>
                <w:sz w:val="21"/>
                <w:szCs w:val="21"/>
              </w:rPr>
            </w:pPr>
            <w:r>
              <w:rPr>
                <w:rFonts w:hint="eastAsia" w:ascii="宋体" w:hAnsi="宋体" w:eastAsia="宋体" w:cs="宋体"/>
                <w:spacing w:val="6"/>
                <w:sz w:val="21"/>
                <w:szCs w:val="21"/>
              </w:rPr>
              <w:t>一等品</w:t>
            </w:r>
          </w:p>
        </w:tc>
        <w:tc>
          <w:tcPr>
            <w:tcW w:w="1396" w:type="dxa"/>
            <w:vAlign w:val="top"/>
          </w:tcPr>
          <w:p w14:paraId="0A0DF4F3">
            <w:pPr>
              <w:pStyle w:val="6"/>
              <w:spacing w:before="79" w:line="219" w:lineRule="auto"/>
              <w:ind w:left="368"/>
              <w:rPr>
                <w:rFonts w:hint="eastAsia" w:ascii="宋体" w:hAnsi="宋体" w:eastAsia="宋体" w:cs="宋体"/>
                <w:sz w:val="21"/>
                <w:szCs w:val="21"/>
              </w:rPr>
            </w:pPr>
            <w:r>
              <w:rPr>
                <w:rFonts w:hint="eastAsia" w:ascii="宋体" w:hAnsi="宋体" w:eastAsia="宋体" w:cs="宋体"/>
                <w:spacing w:val="6"/>
                <w:sz w:val="21"/>
                <w:szCs w:val="21"/>
              </w:rPr>
              <w:t>合格品</w:t>
            </w:r>
          </w:p>
        </w:tc>
      </w:tr>
      <w:tr w14:paraId="148CA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516" w:type="dxa"/>
            <w:gridSpan w:val="2"/>
            <w:vAlign w:val="top"/>
          </w:tcPr>
          <w:p w14:paraId="3166A3E2">
            <w:pPr>
              <w:pStyle w:val="6"/>
              <w:spacing w:before="68" w:line="360" w:lineRule="auto"/>
              <w:ind w:left="95"/>
              <w:rPr>
                <w:rFonts w:hint="eastAsia" w:ascii="宋体" w:hAnsi="宋体" w:eastAsia="宋体" w:cs="宋体"/>
                <w:sz w:val="21"/>
                <w:szCs w:val="21"/>
              </w:rPr>
            </w:pPr>
            <w:r>
              <w:rPr>
                <w:rFonts w:hint="eastAsia" w:ascii="宋体" w:hAnsi="宋体" w:eastAsia="宋体" w:cs="宋体"/>
                <w:kern w:val="10"/>
                <w:sz w:val="21"/>
                <w:szCs w:val="21"/>
                <w:highlight w:val="none"/>
                <w:lang w:val="en-US" w:eastAsia="zh-CN" w:bidi="ar-SA"/>
              </w:rPr>
              <w:t>总碱量(以Na₂CO₃</w:t>
            </w:r>
            <w:r>
              <w:rPr>
                <w:rFonts w:hint="eastAsia" w:cs="宋体"/>
                <w:kern w:val="10"/>
                <w:sz w:val="21"/>
                <w:szCs w:val="21"/>
                <w:highlight w:val="none"/>
                <w:lang w:val="en-US" w:eastAsia="zh-CN" w:bidi="ar-SA"/>
              </w:rPr>
              <w:t>计，</w:t>
            </w:r>
            <w:r>
              <w:rPr>
                <w:rFonts w:hint="eastAsia" w:ascii="宋体" w:hAnsi="宋体" w:eastAsia="宋体" w:cs="宋体"/>
                <w:kern w:val="10"/>
                <w:sz w:val="21"/>
                <w:szCs w:val="21"/>
                <w:highlight w:val="none"/>
                <w:lang w:val="en-US" w:eastAsia="zh-CN" w:bidi="ar-SA"/>
              </w:rPr>
              <w:t>以干基计)w/%</w:t>
            </w:r>
            <w:r>
              <w:rPr>
                <w:rFonts w:hint="eastAsia" w:cs="宋体"/>
                <w:kern w:val="10"/>
                <w:sz w:val="21"/>
                <w:szCs w:val="21"/>
                <w:highlight w:val="none"/>
                <w:lang w:val="en-US" w:eastAsia="zh-CN" w:bidi="ar-SA"/>
              </w:rPr>
              <w:t xml:space="preserve">     </w:t>
            </w:r>
            <w:r>
              <w:rPr>
                <w:rFonts w:hint="eastAsia" w:ascii="宋体" w:hAnsi="宋体" w:eastAsia="宋体" w:cs="宋体"/>
                <w:kern w:val="10"/>
                <w:sz w:val="21"/>
                <w:szCs w:val="21"/>
                <w:highlight w:val="none"/>
                <w:lang w:val="en-US" w:eastAsia="zh-CN" w:bidi="ar-SA"/>
              </w:rPr>
              <w:t>≥</w:t>
            </w:r>
          </w:p>
        </w:tc>
        <w:tc>
          <w:tcPr>
            <w:tcW w:w="1375" w:type="dxa"/>
            <w:vAlign w:val="top"/>
          </w:tcPr>
          <w:p w14:paraId="32CC6140">
            <w:pPr>
              <w:pStyle w:val="6"/>
              <w:spacing w:before="135" w:line="183" w:lineRule="auto"/>
              <w:ind w:left="444"/>
              <w:jc w:val="both"/>
              <w:rPr>
                <w:rFonts w:hint="eastAsia" w:ascii="宋体" w:hAnsi="宋体" w:eastAsia="宋体" w:cs="宋体"/>
                <w:sz w:val="21"/>
                <w:szCs w:val="21"/>
              </w:rPr>
            </w:pPr>
            <w:r>
              <w:rPr>
                <w:rFonts w:hint="eastAsia" w:ascii="宋体" w:hAnsi="宋体" w:eastAsia="宋体" w:cs="宋体"/>
                <w:spacing w:val="-2"/>
                <w:sz w:val="21"/>
                <w:szCs w:val="21"/>
              </w:rPr>
              <w:t>99.4</w:t>
            </w:r>
          </w:p>
        </w:tc>
        <w:tc>
          <w:tcPr>
            <w:tcW w:w="1377" w:type="dxa"/>
            <w:vAlign w:val="top"/>
          </w:tcPr>
          <w:p w14:paraId="433E0F22">
            <w:pPr>
              <w:pStyle w:val="6"/>
              <w:spacing w:before="135" w:line="183" w:lineRule="auto"/>
              <w:ind w:left="446"/>
              <w:jc w:val="both"/>
              <w:rPr>
                <w:rFonts w:hint="eastAsia" w:ascii="宋体" w:hAnsi="宋体" w:eastAsia="宋体" w:cs="宋体"/>
                <w:sz w:val="21"/>
                <w:szCs w:val="21"/>
              </w:rPr>
            </w:pPr>
            <w:r>
              <w:rPr>
                <w:rFonts w:hint="eastAsia" w:ascii="宋体" w:hAnsi="宋体" w:eastAsia="宋体" w:cs="宋体"/>
                <w:spacing w:val="-2"/>
                <w:sz w:val="21"/>
                <w:szCs w:val="21"/>
              </w:rPr>
              <w:t>99.2</w:t>
            </w:r>
          </w:p>
        </w:tc>
        <w:tc>
          <w:tcPr>
            <w:tcW w:w="1375" w:type="dxa"/>
            <w:vAlign w:val="top"/>
          </w:tcPr>
          <w:p w14:paraId="5DF027CD">
            <w:pPr>
              <w:pStyle w:val="6"/>
              <w:spacing w:before="135" w:line="183" w:lineRule="auto"/>
              <w:ind w:left="446"/>
              <w:jc w:val="both"/>
              <w:rPr>
                <w:rFonts w:hint="eastAsia" w:ascii="宋体" w:hAnsi="宋体" w:eastAsia="宋体" w:cs="宋体"/>
                <w:sz w:val="21"/>
                <w:szCs w:val="21"/>
              </w:rPr>
            </w:pPr>
            <w:r>
              <w:rPr>
                <w:rFonts w:hint="eastAsia" w:ascii="宋体" w:hAnsi="宋体" w:eastAsia="宋体" w:cs="宋体"/>
                <w:spacing w:val="-2"/>
                <w:sz w:val="21"/>
                <w:szCs w:val="21"/>
              </w:rPr>
              <w:t>98.8</w:t>
            </w:r>
          </w:p>
        </w:tc>
        <w:tc>
          <w:tcPr>
            <w:tcW w:w="1396" w:type="dxa"/>
            <w:vAlign w:val="top"/>
          </w:tcPr>
          <w:p w14:paraId="1BB56C33">
            <w:pPr>
              <w:pStyle w:val="6"/>
              <w:spacing w:before="135" w:line="183" w:lineRule="auto"/>
              <w:ind w:left="459"/>
              <w:jc w:val="both"/>
              <w:rPr>
                <w:rFonts w:hint="eastAsia" w:ascii="宋体" w:hAnsi="宋体" w:eastAsia="宋体" w:cs="宋体"/>
                <w:sz w:val="21"/>
                <w:szCs w:val="21"/>
              </w:rPr>
            </w:pPr>
            <w:r>
              <w:rPr>
                <w:rFonts w:hint="eastAsia" w:ascii="宋体" w:hAnsi="宋体" w:eastAsia="宋体" w:cs="宋体"/>
                <w:spacing w:val="-2"/>
                <w:sz w:val="21"/>
                <w:szCs w:val="21"/>
              </w:rPr>
              <w:t>98.0</w:t>
            </w:r>
          </w:p>
        </w:tc>
      </w:tr>
      <w:tr w14:paraId="1AFFD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516" w:type="dxa"/>
            <w:gridSpan w:val="2"/>
            <w:vAlign w:val="top"/>
          </w:tcPr>
          <w:p w14:paraId="58C5F78A">
            <w:pPr>
              <w:pStyle w:val="6"/>
              <w:spacing w:before="68" w:line="360" w:lineRule="auto"/>
              <w:ind w:left="95"/>
              <w:rPr>
                <w:rFonts w:hint="eastAsia" w:ascii="宋体" w:hAnsi="宋体" w:eastAsia="宋体" w:cs="宋体"/>
                <w:kern w:val="10"/>
                <w:sz w:val="21"/>
                <w:szCs w:val="21"/>
                <w:highlight w:val="none"/>
                <w:lang w:val="en-US" w:eastAsia="zh-CN" w:bidi="ar-SA"/>
              </w:rPr>
            </w:pPr>
            <w:r>
              <w:rPr>
                <w:rFonts w:hint="eastAsia" w:ascii="宋体" w:hAnsi="宋体" w:eastAsia="宋体" w:cs="宋体"/>
                <w:kern w:val="10"/>
                <w:sz w:val="21"/>
                <w:szCs w:val="21"/>
                <w:highlight w:val="none"/>
                <w:lang w:val="en-US" w:eastAsia="zh-CN" w:bidi="ar-SA"/>
              </w:rPr>
              <w:t>总碱量(以Na₂CO₃计</w:t>
            </w:r>
            <w:r>
              <w:rPr>
                <w:rFonts w:hint="eastAsia" w:cs="宋体"/>
                <w:kern w:val="10"/>
                <w:sz w:val="21"/>
                <w:szCs w:val="21"/>
                <w:highlight w:val="none"/>
                <w:lang w:val="en-US" w:eastAsia="zh-CN" w:bidi="ar-SA"/>
              </w:rPr>
              <w:t>，</w:t>
            </w:r>
            <w:r>
              <w:rPr>
                <w:rFonts w:hint="eastAsia" w:ascii="宋体" w:hAnsi="宋体" w:eastAsia="宋体" w:cs="宋体"/>
                <w:kern w:val="10"/>
                <w:sz w:val="21"/>
                <w:szCs w:val="21"/>
                <w:highlight w:val="none"/>
                <w:lang w:val="en-US" w:eastAsia="zh-CN" w:bidi="ar-SA"/>
              </w:rPr>
              <w:t>以湿基计)</w:t>
            </w:r>
            <w:r>
              <w:rPr>
                <w:rFonts w:hint="eastAsia" w:cs="宋体"/>
                <w:kern w:val="10"/>
                <w:sz w:val="21"/>
                <w:szCs w:val="21"/>
                <w:highlight w:val="none"/>
                <w:vertAlign w:val="superscript"/>
                <w:lang w:val="en-US" w:eastAsia="zh-CN" w:bidi="ar-SA"/>
              </w:rPr>
              <w:t xml:space="preserve">a </w:t>
            </w:r>
            <w:r>
              <w:rPr>
                <w:rFonts w:hint="eastAsia" w:ascii="宋体" w:hAnsi="宋体" w:eastAsia="宋体" w:cs="宋体"/>
                <w:kern w:val="10"/>
                <w:sz w:val="21"/>
                <w:szCs w:val="21"/>
                <w:highlight w:val="none"/>
                <w:lang w:val="en-US" w:eastAsia="zh-CN" w:bidi="ar-SA"/>
              </w:rPr>
              <w:t>w/%    ≥</w:t>
            </w:r>
          </w:p>
        </w:tc>
        <w:tc>
          <w:tcPr>
            <w:tcW w:w="1375" w:type="dxa"/>
            <w:vAlign w:val="top"/>
          </w:tcPr>
          <w:p w14:paraId="37531A1D">
            <w:pPr>
              <w:pStyle w:val="6"/>
              <w:spacing w:before="135" w:line="184" w:lineRule="auto"/>
              <w:ind w:left="444"/>
              <w:jc w:val="both"/>
              <w:rPr>
                <w:rFonts w:hint="eastAsia" w:ascii="宋体" w:hAnsi="宋体" w:eastAsia="宋体" w:cs="宋体"/>
                <w:sz w:val="21"/>
                <w:szCs w:val="21"/>
              </w:rPr>
            </w:pPr>
            <w:r>
              <w:rPr>
                <w:rFonts w:hint="eastAsia" w:ascii="宋体" w:hAnsi="宋体" w:eastAsia="宋体" w:cs="宋体"/>
                <w:spacing w:val="-2"/>
                <w:sz w:val="21"/>
                <w:szCs w:val="21"/>
              </w:rPr>
              <w:t>98.1</w:t>
            </w:r>
          </w:p>
        </w:tc>
        <w:tc>
          <w:tcPr>
            <w:tcW w:w="1377" w:type="dxa"/>
            <w:vAlign w:val="top"/>
          </w:tcPr>
          <w:p w14:paraId="5B1FF5BA">
            <w:pPr>
              <w:pStyle w:val="6"/>
              <w:spacing w:before="136" w:line="183" w:lineRule="auto"/>
              <w:ind w:left="446"/>
              <w:jc w:val="both"/>
              <w:rPr>
                <w:rFonts w:hint="eastAsia" w:ascii="宋体" w:hAnsi="宋体" w:eastAsia="宋体" w:cs="宋体"/>
                <w:sz w:val="21"/>
                <w:szCs w:val="21"/>
              </w:rPr>
            </w:pPr>
            <w:r>
              <w:rPr>
                <w:rFonts w:hint="eastAsia" w:ascii="宋体" w:hAnsi="宋体" w:eastAsia="宋体" w:cs="宋体"/>
                <w:spacing w:val="-2"/>
                <w:sz w:val="21"/>
                <w:szCs w:val="21"/>
              </w:rPr>
              <w:t>97.9</w:t>
            </w:r>
          </w:p>
        </w:tc>
        <w:tc>
          <w:tcPr>
            <w:tcW w:w="1375" w:type="dxa"/>
            <w:vAlign w:val="top"/>
          </w:tcPr>
          <w:p w14:paraId="4AFB0E39">
            <w:pPr>
              <w:pStyle w:val="6"/>
              <w:spacing w:before="136" w:line="183" w:lineRule="auto"/>
              <w:ind w:left="446"/>
              <w:jc w:val="both"/>
              <w:rPr>
                <w:rFonts w:hint="eastAsia" w:ascii="宋体" w:hAnsi="宋体" w:eastAsia="宋体" w:cs="宋体"/>
                <w:sz w:val="21"/>
                <w:szCs w:val="21"/>
              </w:rPr>
            </w:pPr>
            <w:r>
              <w:rPr>
                <w:rFonts w:hint="eastAsia" w:ascii="宋体" w:hAnsi="宋体" w:eastAsia="宋体" w:cs="宋体"/>
                <w:spacing w:val="-2"/>
                <w:sz w:val="21"/>
                <w:szCs w:val="21"/>
              </w:rPr>
              <w:t>97.5</w:t>
            </w:r>
          </w:p>
        </w:tc>
        <w:tc>
          <w:tcPr>
            <w:tcW w:w="1396" w:type="dxa"/>
            <w:vAlign w:val="top"/>
          </w:tcPr>
          <w:p w14:paraId="5E9BCFE3">
            <w:pPr>
              <w:pStyle w:val="6"/>
              <w:spacing w:before="136" w:line="183" w:lineRule="auto"/>
              <w:ind w:left="459"/>
              <w:jc w:val="both"/>
              <w:rPr>
                <w:rFonts w:hint="eastAsia" w:ascii="宋体" w:hAnsi="宋体" w:eastAsia="宋体" w:cs="宋体"/>
                <w:sz w:val="21"/>
                <w:szCs w:val="21"/>
              </w:rPr>
            </w:pPr>
            <w:r>
              <w:rPr>
                <w:rFonts w:hint="eastAsia" w:ascii="宋体" w:hAnsi="宋体" w:eastAsia="宋体" w:cs="宋体"/>
                <w:spacing w:val="-2"/>
                <w:sz w:val="21"/>
                <w:szCs w:val="21"/>
              </w:rPr>
              <w:t>96.7</w:t>
            </w:r>
          </w:p>
        </w:tc>
      </w:tr>
      <w:tr w14:paraId="668DD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516" w:type="dxa"/>
            <w:gridSpan w:val="2"/>
            <w:vAlign w:val="top"/>
          </w:tcPr>
          <w:p w14:paraId="18433699">
            <w:pPr>
              <w:pStyle w:val="6"/>
              <w:spacing w:before="68" w:line="360" w:lineRule="auto"/>
              <w:ind w:left="95"/>
              <w:rPr>
                <w:rFonts w:hint="eastAsia" w:ascii="宋体" w:hAnsi="宋体" w:eastAsia="宋体" w:cs="宋体"/>
                <w:kern w:val="10"/>
                <w:sz w:val="21"/>
                <w:szCs w:val="21"/>
                <w:highlight w:val="none"/>
                <w:lang w:val="en-US" w:eastAsia="zh-CN" w:bidi="ar-SA"/>
              </w:rPr>
            </w:pPr>
            <w:r>
              <w:rPr>
                <w:rFonts w:hint="eastAsia" w:ascii="宋体" w:hAnsi="宋体" w:eastAsia="宋体" w:cs="宋体"/>
                <w:kern w:val="10"/>
                <w:sz w:val="21"/>
                <w:szCs w:val="21"/>
                <w:highlight w:val="none"/>
                <w:lang w:val="en-US" w:eastAsia="zh-CN" w:bidi="ar-SA"/>
              </w:rPr>
              <w:t>氯化钠(以NaCl计</w:t>
            </w:r>
            <w:r>
              <w:rPr>
                <w:rFonts w:hint="eastAsia" w:cs="宋体"/>
                <w:kern w:val="10"/>
                <w:sz w:val="21"/>
                <w:szCs w:val="21"/>
                <w:highlight w:val="none"/>
                <w:lang w:val="en-US" w:eastAsia="zh-CN" w:bidi="ar-SA"/>
              </w:rPr>
              <w:t>，</w:t>
            </w:r>
            <w:r>
              <w:rPr>
                <w:rFonts w:hint="eastAsia" w:ascii="宋体" w:hAnsi="宋体" w:eastAsia="宋体" w:cs="宋体"/>
                <w:kern w:val="10"/>
                <w:sz w:val="21"/>
                <w:szCs w:val="21"/>
                <w:highlight w:val="none"/>
                <w:lang w:val="en-US" w:eastAsia="zh-CN" w:bidi="ar-SA"/>
              </w:rPr>
              <w:t>以干基计)w/%        ≤</w:t>
            </w:r>
          </w:p>
        </w:tc>
        <w:tc>
          <w:tcPr>
            <w:tcW w:w="1375" w:type="dxa"/>
            <w:vAlign w:val="top"/>
          </w:tcPr>
          <w:p w14:paraId="514C9847">
            <w:pPr>
              <w:pStyle w:val="6"/>
              <w:spacing w:before="137" w:line="183" w:lineRule="auto"/>
              <w:ind w:left="444"/>
              <w:jc w:val="both"/>
              <w:rPr>
                <w:rFonts w:hint="eastAsia" w:ascii="宋体" w:hAnsi="宋体" w:eastAsia="宋体" w:cs="宋体"/>
                <w:sz w:val="21"/>
                <w:szCs w:val="21"/>
              </w:rPr>
            </w:pPr>
            <w:r>
              <w:rPr>
                <w:rFonts w:hint="eastAsia" w:ascii="宋体" w:hAnsi="宋体" w:eastAsia="宋体" w:cs="宋体"/>
                <w:spacing w:val="-2"/>
                <w:sz w:val="21"/>
                <w:szCs w:val="21"/>
              </w:rPr>
              <w:t>0.30</w:t>
            </w:r>
          </w:p>
        </w:tc>
        <w:tc>
          <w:tcPr>
            <w:tcW w:w="1377" w:type="dxa"/>
            <w:vAlign w:val="top"/>
          </w:tcPr>
          <w:p w14:paraId="121D1EDD">
            <w:pPr>
              <w:pStyle w:val="6"/>
              <w:spacing w:before="137" w:line="183" w:lineRule="auto"/>
              <w:ind w:left="446"/>
              <w:jc w:val="both"/>
              <w:rPr>
                <w:rFonts w:hint="eastAsia" w:ascii="宋体" w:hAnsi="宋体" w:eastAsia="宋体" w:cs="宋体"/>
                <w:sz w:val="21"/>
                <w:szCs w:val="21"/>
              </w:rPr>
            </w:pPr>
            <w:r>
              <w:rPr>
                <w:rFonts w:hint="eastAsia" w:ascii="宋体" w:hAnsi="宋体" w:eastAsia="宋体" w:cs="宋体"/>
                <w:spacing w:val="-2"/>
                <w:sz w:val="21"/>
                <w:szCs w:val="21"/>
              </w:rPr>
              <w:t>0.70</w:t>
            </w:r>
          </w:p>
        </w:tc>
        <w:tc>
          <w:tcPr>
            <w:tcW w:w="1375" w:type="dxa"/>
            <w:vAlign w:val="top"/>
          </w:tcPr>
          <w:p w14:paraId="38FA727C">
            <w:pPr>
              <w:pStyle w:val="6"/>
              <w:spacing w:before="137" w:line="183" w:lineRule="auto"/>
              <w:ind w:left="446"/>
              <w:jc w:val="both"/>
              <w:rPr>
                <w:rFonts w:hint="eastAsia" w:ascii="宋体" w:hAnsi="宋体" w:eastAsia="宋体" w:cs="宋体"/>
                <w:sz w:val="21"/>
                <w:szCs w:val="21"/>
              </w:rPr>
            </w:pPr>
            <w:r>
              <w:rPr>
                <w:rFonts w:hint="eastAsia" w:ascii="宋体" w:hAnsi="宋体" w:eastAsia="宋体" w:cs="宋体"/>
                <w:spacing w:val="-2"/>
                <w:sz w:val="21"/>
                <w:szCs w:val="21"/>
              </w:rPr>
              <w:t>0.90</w:t>
            </w:r>
          </w:p>
        </w:tc>
        <w:tc>
          <w:tcPr>
            <w:tcW w:w="1396" w:type="dxa"/>
            <w:vAlign w:val="top"/>
          </w:tcPr>
          <w:p w14:paraId="7D1BFC29">
            <w:pPr>
              <w:pStyle w:val="6"/>
              <w:spacing w:before="136" w:line="184" w:lineRule="auto"/>
              <w:ind w:left="459"/>
              <w:jc w:val="both"/>
              <w:rPr>
                <w:rFonts w:hint="eastAsia" w:ascii="宋体" w:hAnsi="宋体" w:eastAsia="宋体" w:cs="宋体"/>
                <w:sz w:val="21"/>
                <w:szCs w:val="21"/>
              </w:rPr>
            </w:pPr>
            <w:r>
              <w:rPr>
                <w:rFonts w:hint="eastAsia" w:ascii="宋体" w:hAnsi="宋体" w:eastAsia="宋体" w:cs="宋体"/>
                <w:spacing w:val="-4"/>
                <w:sz w:val="21"/>
                <w:szCs w:val="21"/>
              </w:rPr>
              <w:t>1.20</w:t>
            </w:r>
          </w:p>
        </w:tc>
      </w:tr>
      <w:tr w14:paraId="2F3F3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516" w:type="dxa"/>
            <w:gridSpan w:val="2"/>
            <w:vAlign w:val="top"/>
          </w:tcPr>
          <w:p w14:paraId="0049D33A">
            <w:pPr>
              <w:pStyle w:val="6"/>
              <w:spacing w:before="68" w:line="360" w:lineRule="auto"/>
              <w:ind w:left="95"/>
              <w:rPr>
                <w:rFonts w:hint="eastAsia" w:ascii="宋体" w:hAnsi="宋体" w:eastAsia="宋体" w:cs="宋体"/>
                <w:kern w:val="10"/>
                <w:sz w:val="21"/>
                <w:szCs w:val="21"/>
                <w:highlight w:val="none"/>
                <w:lang w:val="en-US" w:eastAsia="zh-CN" w:bidi="ar-SA"/>
              </w:rPr>
            </w:pPr>
            <w:r>
              <w:rPr>
                <w:rFonts w:hint="eastAsia" w:ascii="宋体" w:hAnsi="宋体" w:eastAsia="宋体" w:cs="宋体"/>
                <w:kern w:val="10"/>
                <w:sz w:val="21"/>
                <w:szCs w:val="21"/>
                <w:highlight w:val="none"/>
                <w:lang w:val="en-US" w:eastAsia="zh-CN" w:bidi="ar-SA"/>
              </w:rPr>
              <w:t>铁(Fe,以干基计)w/%                    ≤</w:t>
            </w:r>
          </w:p>
        </w:tc>
        <w:tc>
          <w:tcPr>
            <w:tcW w:w="1375" w:type="dxa"/>
            <w:vAlign w:val="top"/>
          </w:tcPr>
          <w:p w14:paraId="4DECA22E">
            <w:pPr>
              <w:pStyle w:val="6"/>
              <w:spacing w:before="138" w:line="183" w:lineRule="auto"/>
              <w:ind w:left="353"/>
              <w:jc w:val="both"/>
              <w:rPr>
                <w:rFonts w:hint="eastAsia" w:ascii="宋体" w:hAnsi="宋体" w:eastAsia="宋体" w:cs="宋体"/>
                <w:sz w:val="21"/>
                <w:szCs w:val="21"/>
              </w:rPr>
            </w:pPr>
            <w:r>
              <w:rPr>
                <w:rFonts w:hint="eastAsia" w:ascii="宋体" w:hAnsi="宋体" w:eastAsia="宋体" w:cs="宋体"/>
                <w:spacing w:val="-2"/>
                <w:sz w:val="21"/>
                <w:szCs w:val="21"/>
              </w:rPr>
              <w:t>0.0025</w:t>
            </w:r>
          </w:p>
        </w:tc>
        <w:tc>
          <w:tcPr>
            <w:tcW w:w="1377" w:type="dxa"/>
            <w:vAlign w:val="top"/>
          </w:tcPr>
          <w:p w14:paraId="07E5B170">
            <w:pPr>
              <w:pStyle w:val="6"/>
              <w:spacing w:before="138" w:line="183" w:lineRule="auto"/>
              <w:ind w:left="356"/>
              <w:jc w:val="both"/>
              <w:rPr>
                <w:rFonts w:hint="eastAsia" w:ascii="宋体" w:hAnsi="宋体" w:eastAsia="宋体" w:cs="宋体"/>
                <w:sz w:val="21"/>
                <w:szCs w:val="21"/>
              </w:rPr>
            </w:pPr>
            <w:r>
              <w:rPr>
                <w:rFonts w:hint="eastAsia" w:ascii="宋体" w:hAnsi="宋体" w:eastAsia="宋体" w:cs="宋体"/>
                <w:spacing w:val="-2"/>
                <w:sz w:val="21"/>
                <w:szCs w:val="21"/>
              </w:rPr>
              <w:t>0.0035</w:t>
            </w:r>
          </w:p>
        </w:tc>
        <w:tc>
          <w:tcPr>
            <w:tcW w:w="1375" w:type="dxa"/>
            <w:vAlign w:val="top"/>
          </w:tcPr>
          <w:p w14:paraId="2B3652AD">
            <w:pPr>
              <w:pStyle w:val="6"/>
              <w:spacing w:before="138" w:line="183" w:lineRule="auto"/>
              <w:ind w:left="357"/>
              <w:jc w:val="both"/>
              <w:rPr>
                <w:rFonts w:hint="eastAsia" w:ascii="宋体" w:hAnsi="宋体" w:eastAsia="宋体" w:cs="宋体"/>
                <w:sz w:val="21"/>
                <w:szCs w:val="21"/>
              </w:rPr>
            </w:pPr>
            <w:r>
              <w:rPr>
                <w:rFonts w:hint="eastAsia" w:ascii="宋体" w:hAnsi="宋体" w:eastAsia="宋体" w:cs="宋体"/>
                <w:spacing w:val="-2"/>
                <w:sz w:val="21"/>
                <w:szCs w:val="21"/>
              </w:rPr>
              <w:t>0.0055</w:t>
            </w:r>
          </w:p>
        </w:tc>
        <w:tc>
          <w:tcPr>
            <w:tcW w:w="1396" w:type="dxa"/>
            <w:vAlign w:val="top"/>
          </w:tcPr>
          <w:p w14:paraId="39A4AEEE">
            <w:pPr>
              <w:pStyle w:val="6"/>
              <w:spacing w:before="138" w:line="183" w:lineRule="auto"/>
              <w:ind w:left="368"/>
              <w:jc w:val="both"/>
              <w:rPr>
                <w:rFonts w:hint="eastAsia" w:ascii="宋体" w:hAnsi="宋体" w:eastAsia="宋体" w:cs="宋体"/>
                <w:sz w:val="21"/>
                <w:szCs w:val="21"/>
              </w:rPr>
            </w:pPr>
            <w:r>
              <w:rPr>
                <w:rFonts w:hint="eastAsia" w:ascii="宋体" w:hAnsi="宋体" w:eastAsia="宋体" w:cs="宋体"/>
                <w:spacing w:val="-2"/>
                <w:sz w:val="21"/>
                <w:szCs w:val="21"/>
              </w:rPr>
              <w:t>0.0085</w:t>
            </w:r>
          </w:p>
        </w:tc>
      </w:tr>
      <w:tr w14:paraId="585A5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516" w:type="dxa"/>
            <w:gridSpan w:val="2"/>
            <w:vAlign w:val="top"/>
          </w:tcPr>
          <w:p w14:paraId="0EB0612F">
            <w:pPr>
              <w:pStyle w:val="6"/>
              <w:spacing w:before="68" w:line="360" w:lineRule="auto"/>
              <w:ind w:left="95"/>
              <w:rPr>
                <w:rFonts w:hint="eastAsia" w:ascii="宋体" w:hAnsi="宋体" w:eastAsia="宋体" w:cs="宋体"/>
                <w:kern w:val="10"/>
                <w:sz w:val="21"/>
                <w:szCs w:val="21"/>
                <w:highlight w:val="none"/>
                <w:lang w:val="en-US" w:eastAsia="zh-CN" w:bidi="ar-SA"/>
              </w:rPr>
            </w:pPr>
            <w:r>
              <w:rPr>
                <w:rFonts w:hint="eastAsia" w:ascii="宋体" w:hAnsi="宋体" w:eastAsia="宋体" w:cs="宋体"/>
                <w:kern w:val="10"/>
                <w:sz w:val="21"/>
                <w:szCs w:val="21"/>
                <w:highlight w:val="none"/>
                <w:lang w:val="en-US" w:eastAsia="zh-CN" w:bidi="ar-SA"/>
              </w:rPr>
              <w:t>硫酸盐(以SO₄计，以干基计)w/%        ≤</w:t>
            </w:r>
          </w:p>
        </w:tc>
        <w:tc>
          <w:tcPr>
            <w:tcW w:w="1375" w:type="dxa"/>
            <w:vAlign w:val="top"/>
          </w:tcPr>
          <w:p w14:paraId="17F1670D">
            <w:pPr>
              <w:pStyle w:val="6"/>
              <w:spacing w:before="139" w:line="183" w:lineRule="auto"/>
              <w:ind w:left="444"/>
              <w:jc w:val="both"/>
              <w:rPr>
                <w:rFonts w:hint="eastAsia" w:ascii="宋体" w:hAnsi="宋体" w:eastAsia="宋体" w:cs="宋体"/>
                <w:sz w:val="21"/>
                <w:szCs w:val="21"/>
              </w:rPr>
            </w:pPr>
            <w:r>
              <w:rPr>
                <w:rFonts w:hint="eastAsia" w:ascii="宋体" w:hAnsi="宋体" w:eastAsia="宋体" w:cs="宋体"/>
                <w:spacing w:val="-2"/>
                <w:sz w:val="21"/>
                <w:szCs w:val="21"/>
              </w:rPr>
              <w:t>0.03</w:t>
            </w:r>
          </w:p>
        </w:tc>
        <w:tc>
          <w:tcPr>
            <w:tcW w:w="1377" w:type="dxa"/>
            <w:vAlign w:val="top"/>
          </w:tcPr>
          <w:p w14:paraId="075BA0E7">
            <w:pPr>
              <w:pStyle w:val="6"/>
              <w:spacing w:before="178" w:line="140" w:lineRule="exact"/>
              <w:ind w:left="535"/>
              <w:jc w:val="both"/>
              <w:rPr>
                <w:rFonts w:hint="default" w:ascii="宋体" w:hAnsi="宋体" w:eastAsia="宋体" w:cs="宋体"/>
                <w:sz w:val="21"/>
                <w:szCs w:val="21"/>
                <w:lang w:val="en-US" w:eastAsia="zh-CN"/>
              </w:rPr>
            </w:pPr>
            <w:r>
              <w:rPr>
                <w:rFonts w:hint="eastAsia" w:ascii="宋体" w:hAnsi="宋体" w:eastAsia="宋体" w:cs="宋体"/>
                <w:position w:val="-4"/>
                <w:sz w:val="21"/>
                <w:szCs w:val="21"/>
                <w:lang w:val="en-US" w:eastAsia="zh-CN"/>
              </w:rPr>
              <w:t>--</w:t>
            </w:r>
          </w:p>
        </w:tc>
        <w:tc>
          <w:tcPr>
            <w:tcW w:w="1375" w:type="dxa"/>
            <w:vAlign w:val="top"/>
          </w:tcPr>
          <w:p w14:paraId="61AF36E4">
            <w:pPr>
              <w:spacing w:before="178" w:line="140" w:lineRule="exact"/>
              <w:ind w:left="537"/>
              <w:jc w:val="both"/>
              <w:rPr>
                <w:rFonts w:hint="eastAsia" w:ascii="宋体" w:hAnsi="宋体" w:eastAsia="宋体" w:cs="宋体"/>
                <w:sz w:val="21"/>
                <w:szCs w:val="21"/>
              </w:rPr>
            </w:pPr>
            <w:r>
              <w:rPr>
                <w:rFonts w:hint="eastAsia" w:ascii="宋体" w:hAnsi="宋体" w:eastAsia="宋体" w:cs="宋体"/>
                <w:position w:val="-4"/>
                <w:sz w:val="21"/>
                <w:szCs w:val="21"/>
                <w:lang w:val="en-US" w:eastAsia="zh-CN"/>
              </w:rPr>
              <w:t>--</w:t>
            </w:r>
          </w:p>
        </w:tc>
        <w:tc>
          <w:tcPr>
            <w:tcW w:w="1396" w:type="dxa"/>
            <w:vAlign w:val="top"/>
          </w:tcPr>
          <w:p w14:paraId="087A0182">
            <w:pPr>
              <w:spacing w:before="178" w:line="140" w:lineRule="exact"/>
              <w:ind w:left="549"/>
              <w:jc w:val="both"/>
              <w:rPr>
                <w:rFonts w:hint="eastAsia" w:ascii="宋体" w:hAnsi="宋体" w:eastAsia="宋体" w:cs="宋体"/>
                <w:sz w:val="21"/>
                <w:szCs w:val="21"/>
              </w:rPr>
            </w:pPr>
            <w:r>
              <w:rPr>
                <w:rFonts w:hint="eastAsia" w:ascii="宋体" w:hAnsi="宋体" w:eastAsia="宋体" w:cs="宋体"/>
                <w:position w:val="-4"/>
                <w:sz w:val="21"/>
                <w:szCs w:val="21"/>
                <w:lang w:val="en-US" w:eastAsia="zh-CN"/>
              </w:rPr>
              <w:t>--</w:t>
            </w:r>
          </w:p>
        </w:tc>
      </w:tr>
      <w:tr w14:paraId="4A6B8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516" w:type="dxa"/>
            <w:gridSpan w:val="2"/>
            <w:vAlign w:val="top"/>
          </w:tcPr>
          <w:p w14:paraId="0804BA4C">
            <w:pPr>
              <w:pStyle w:val="6"/>
              <w:spacing w:before="68" w:line="360" w:lineRule="auto"/>
              <w:ind w:left="95"/>
              <w:rPr>
                <w:rFonts w:hint="eastAsia" w:ascii="宋体" w:hAnsi="宋体" w:eastAsia="宋体" w:cs="宋体"/>
                <w:kern w:val="10"/>
                <w:sz w:val="21"/>
                <w:szCs w:val="21"/>
                <w:highlight w:val="none"/>
                <w:lang w:val="en-US" w:eastAsia="zh-CN" w:bidi="ar-SA"/>
              </w:rPr>
            </w:pPr>
            <w:r>
              <w:rPr>
                <w:rFonts w:hint="eastAsia" w:cs="宋体"/>
                <w:kern w:val="10"/>
                <w:sz w:val="21"/>
                <w:szCs w:val="21"/>
                <w:highlight w:val="none"/>
                <w:lang w:val="en-US" w:eastAsia="zh-CN" w:bidi="ar-SA"/>
              </w:rPr>
              <w:t>水不</w:t>
            </w:r>
            <w:r>
              <w:rPr>
                <w:rFonts w:hint="eastAsia" w:ascii="宋体" w:hAnsi="宋体" w:eastAsia="宋体" w:cs="宋体"/>
                <w:kern w:val="10"/>
                <w:sz w:val="21"/>
                <w:szCs w:val="21"/>
                <w:highlight w:val="none"/>
                <w:lang w:val="en-US" w:eastAsia="zh-CN" w:bidi="ar-SA"/>
              </w:rPr>
              <w:t>溶物w/%                          ≤</w:t>
            </w:r>
          </w:p>
        </w:tc>
        <w:tc>
          <w:tcPr>
            <w:tcW w:w="1375" w:type="dxa"/>
            <w:vAlign w:val="top"/>
          </w:tcPr>
          <w:p w14:paraId="150AB3BC">
            <w:pPr>
              <w:pStyle w:val="6"/>
              <w:spacing w:before="140" w:line="183" w:lineRule="auto"/>
              <w:ind w:left="444"/>
              <w:jc w:val="both"/>
              <w:rPr>
                <w:rFonts w:hint="eastAsia" w:ascii="宋体" w:hAnsi="宋体" w:eastAsia="宋体" w:cs="宋体"/>
                <w:sz w:val="21"/>
                <w:szCs w:val="21"/>
              </w:rPr>
            </w:pPr>
            <w:r>
              <w:rPr>
                <w:rFonts w:hint="eastAsia" w:ascii="宋体" w:hAnsi="宋体" w:eastAsia="宋体" w:cs="宋体"/>
                <w:spacing w:val="-2"/>
                <w:sz w:val="21"/>
                <w:szCs w:val="21"/>
              </w:rPr>
              <w:t>0.02</w:t>
            </w:r>
          </w:p>
        </w:tc>
        <w:tc>
          <w:tcPr>
            <w:tcW w:w="1377" w:type="dxa"/>
            <w:vAlign w:val="top"/>
          </w:tcPr>
          <w:p w14:paraId="1AA2BFE1">
            <w:pPr>
              <w:pStyle w:val="6"/>
              <w:spacing w:before="140" w:line="183" w:lineRule="auto"/>
              <w:ind w:left="446"/>
              <w:jc w:val="both"/>
              <w:rPr>
                <w:rFonts w:hint="eastAsia" w:ascii="宋体" w:hAnsi="宋体" w:eastAsia="宋体" w:cs="宋体"/>
                <w:sz w:val="21"/>
                <w:szCs w:val="21"/>
              </w:rPr>
            </w:pPr>
            <w:r>
              <w:rPr>
                <w:rFonts w:hint="eastAsia" w:ascii="宋体" w:hAnsi="宋体" w:eastAsia="宋体" w:cs="宋体"/>
                <w:spacing w:val="-2"/>
                <w:sz w:val="21"/>
                <w:szCs w:val="21"/>
              </w:rPr>
              <w:t>0.03</w:t>
            </w:r>
          </w:p>
        </w:tc>
        <w:tc>
          <w:tcPr>
            <w:tcW w:w="1375" w:type="dxa"/>
            <w:vAlign w:val="top"/>
          </w:tcPr>
          <w:p w14:paraId="7F49ADEE">
            <w:pPr>
              <w:pStyle w:val="6"/>
              <w:spacing w:before="139" w:line="184" w:lineRule="auto"/>
              <w:ind w:left="446"/>
              <w:jc w:val="both"/>
              <w:rPr>
                <w:rFonts w:hint="eastAsia" w:ascii="宋体" w:hAnsi="宋体" w:eastAsia="宋体" w:cs="宋体"/>
                <w:sz w:val="21"/>
                <w:szCs w:val="21"/>
              </w:rPr>
            </w:pPr>
            <w:r>
              <w:rPr>
                <w:rFonts w:hint="eastAsia" w:ascii="宋体" w:hAnsi="宋体" w:eastAsia="宋体" w:cs="宋体"/>
                <w:spacing w:val="-2"/>
                <w:sz w:val="21"/>
                <w:szCs w:val="21"/>
              </w:rPr>
              <w:t>0.10</w:t>
            </w:r>
          </w:p>
        </w:tc>
        <w:tc>
          <w:tcPr>
            <w:tcW w:w="1396" w:type="dxa"/>
            <w:vAlign w:val="top"/>
          </w:tcPr>
          <w:p w14:paraId="73EEBF60">
            <w:pPr>
              <w:pStyle w:val="6"/>
              <w:spacing w:before="139" w:line="184" w:lineRule="auto"/>
              <w:ind w:left="459"/>
              <w:jc w:val="both"/>
              <w:rPr>
                <w:rFonts w:hint="eastAsia" w:ascii="宋体" w:hAnsi="宋体" w:eastAsia="宋体" w:cs="宋体"/>
                <w:sz w:val="21"/>
                <w:szCs w:val="21"/>
              </w:rPr>
            </w:pPr>
            <w:r>
              <w:rPr>
                <w:rFonts w:hint="eastAsia" w:ascii="宋体" w:hAnsi="宋体" w:eastAsia="宋体" w:cs="宋体"/>
                <w:spacing w:val="-2"/>
                <w:sz w:val="21"/>
                <w:szCs w:val="21"/>
              </w:rPr>
              <w:t>0.15</w:t>
            </w:r>
          </w:p>
        </w:tc>
      </w:tr>
      <w:tr w14:paraId="0E45A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516" w:type="dxa"/>
            <w:gridSpan w:val="2"/>
            <w:vAlign w:val="top"/>
          </w:tcPr>
          <w:p w14:paraId="6F5AFF8C">
            <w:pPr>
              <w:pStyle w:val="6"/>
              <w:spacing w:before="88" w:line="227" w:lineRule="auto"/>
              <w:ind w:left="95"/>
              <w:rPr>
                <w:rFonts w:hint="eastAsia" w:ascii="宋体" w:hAnsi="宋体" w:eastAsia="宋体" w:cs="宋体"/>
                <w:sz w:val="21"/>
                <w:szCs w:val="21"/>
              </w:rPr>
            </w:pPr>
            <w:r>
              <w:rPr>
                <w:rFonts w:hint="eastAsia" w:ascii="宋体" w:hAnsi="宋体" w:eastAsia="宋体" w:cs="宋体"/>
                <w:spacing w:val="3"/>
                <w:sz w:val="21"/>
                <w:szCs w:val="21"/>
              </w:rPr>
              <w:t>堆</w:t>
            </w:r>
            <w:r>
              <w:rPr>
                <w:rFonts w:hint="eastAsia" w:cs="宋体"/>
                <w:spacing w:val="3"/>
                <w:sz w:val="21"/>
                <w:szCs w:val="21"/>
                <w:lang w:eastAsia="zh-CN"/>
              </w:rPr>
              <w:t>积密</w:t>
            </w:r>
            <w:r>
              <w:rPr>
                <w:rFonts w:hint="eastAsia" w:ascii="宋体" w:hAnsi="宋体" w:eastAsia="宋体" w:cs="宋体"/>
                <w:spacing w:val="3"/>
                <w:sz w:val="21"/>
                <w:szCs w:val="21"/>
              </w:rPr>
              <w:t>度</w:t>
            </w:r>
            <w:r>
              <w:rPr>
                <w:rFonts w:hint="eastAsia" w:ascii="宋体" w:hAnsi="宋体" w:eastAsia="宋体" w:cs="宋体"/>
                <w:spacing w:val="3"/>
                <w:sz w:val="21"/>
                <w:szCs w:val="21"/>
                <w:vertAlign w:val="superscript"/>
                <w:lang w:val="en-US" w:eastAsia="zh-CN"/>
              </w:rPr>
              <w:t>b</w:t>
            </w:r>
            <w:r>
              <w:rPr>
                <w:rFonts w:hint="eastAsia" w:ascii="宋体" w:hAnsi="宋体" w:eastAsia="宋体" w:cs="宋体"/>
                <w:spacing w:val="3"/>
                <w:sz w:val="21"/>
                <w:szCs w:val="21"/>
              </w:rPr>
              <w:t>/(g/</w:t>
            </w:r>
            <w:r>
              <w:rPr>
                <w:rFonts w:hint="eastAsia" w:ascii="宋体" w:hAnsi="宋体" w:eastAsia="宋体" w:cs="宋体"/>
                <w:sz w:val="21"/>
                <w:szCs w:val="21"/>
              </w:rPr>
              <w:t>mL</w:t>
            </w:r>
            <w:r>
              <w:rPr>
                <w:rFonts w:hint="eastAsia" w:ascii="宋体" w:hAnsi="宋体" w:eastAsia="宋体" w:cs="宋体"/>
                <w:spacing w:val="3"/>
                <w:sz w:val="21"/>
                <w:szCs w:val="21"/>
              </w:rPr>
              <w:t>)</w:t>
            </w:r>
            <w:r>
              <w:rPr>
                <w:rFonts w:hint="eastAsia" w:ascii="宋体" w:hAnsi="宋体" w:eastAsia="宋体" w:cs="宋体"/>
                <w:spacing w:val="1"/>
                <w:sz w:val="21"/>
                <w:szCs w:val="21"/>
              </w:rPr>
              <w:t xml:space="preserve">                     </w:t>
            </w:r>
            <w:r>
              <w:rPr>
                <w:rFonts w:hint="eastAsia" w:ascii="宋体" w:hAnsi="宋体" w:eastAsia="宋体" w:cs="宋体"/>
                <w:spacing w:val="3"/>
                <w:position w:val="-1"/>
                <w:sz w:val="21"/>
                <w:szCs w:val="21"/>
              </w:rPr>
              <w:t>≥</w:t>
            </w:r>
          </w:p>
        </w:tc>
        <w:tc>
          <w:tcPr>
            <w:tcW w:w="1375" w:type="dxa"/>
            <w:vAlign w:val="top"/>
          </w:tcPr>
          <w:p w14:paraId="6B13A287">
            <w:pPr>
              <w:pStyle w:val="6"/>
              <w:spacing w:before="140" w:line="183" w:lineRule="auto"/>
              <w:ind w:left="444"/>
              <w:jc w:val="both"/>
              <w:rPr>
                <w:rFonts w:hint="eastAsia" w:ascii="宋体" w:hAnsi="宋体" w:eastAsia="宋体" w:cs="宋体"/>
                <w:sz w:val="21"/>
                <w:szCs w:val="21"/>
              </w:rPr>
            </w:pPr>
            <w:r>
              <w:rPr>
                <w:rFonts w:hint="eastAsia" w:ascii="宋体" w:hAnsi="宋体" w:eastAsia="宋体" w:cs="宋体"/>
                <w:spacing w:val="-2"/>
                <w:sz w:val="21"/>
                <w:szCs w:val="21"/>
              </w:rPr>
              <w:t>0.85</w:t>
            </w:r>
          </w:p>
        </w:tc>
        <w:tc>
          <w:tcPr>
            <w:tcW w:w="1377" w:type="dxa"/>
            <w:vAlign w:val="top"/>
          </w:tcPr>
          <w:p w14:paraId="1C79249A">
            <w:pPr>
              <w:pStyle w:val="6"/>
              <w:spacing w:before="140" w:line="183" w:lineRule="auto"/>
              <w:ind w:left="446"/>
              <w:jc w:val="both"/>
              <w:rPr>
                <w:rFonts w:hint="eastAsia" w:ascii="宋体" w:hAnsi="宋体" w:eastAsia="宋体" w:cs="宋体"/>
                <w:sz w:val="21"/>
                <w:szCs w:val="21"/>
              </w:rPr>
            </w:pPr>
            <w:r>
              <w:rPr>
                <w:rFonts w:hint="eastAsia" w:ascii="宋体" w:hAnsi="宋体" w:eastAsia="宋体" w:cs="宋体"/>
                <w:spacing w:val="-2"/>
                <w:sz w:val="21"/>
                <w:szCs w:val="21"/>
              </w:rPr>
              <w:t>0.90</w:t>
            </w:r>
          </w:p>
        </w:tc>
        <w:tc>
          <w:tcPr>
            <w:tcW w:w="1375" w:type="dxa"/>
            <w:vAlign w:val="top"/>
          </w:tcPr>
          <w:p w14:paraId="0CBD3D64">
            <w:pPr>
              <w:pStyle w:val="6"/>
              <w:spacing w:before="140" w:line="183" w:lineRule="auto"/>
              <w:ind w:left="446"/>
              <w:jc w:val="both"/>
              <w:rPr>
                <w:rFonts w:hint="eastAsia" w:ascii="宋体" w:hAnsi="宋体" w:eastAsia="宋体" w:cs="宋体"/>
                <w:sz w:val="21"/>
                <w:szCs w:val="21"/>
              </w:rPr>
            </w:pPr>
            <w:r>
              <w:rPr>
                <w:rFonts w:hint="eastAsia" w:ascii="宋体" w:hAnsi="宋体" w:eastAsia="宋体" w:cs="宋体"/>
                <w:spacing w:val="-2"/>
                <w:sz w:val="21"/>
                <w:szCs w:val="21"/>
              </w:rPr>
              <w:t>0.90</w:t>
            </w:r>
          </w:p>
        </w:tc>
        <w:tc>
          <w:tcPr>
            <w:tcW w:w="1396" w:type="dxa"/>
            <w:vAlign w:val="top"/>
          </w:tcPr>
          <w:p w14:paraId="6F8E17F9">
            <w:pPr>
              <w:pStyle w:val="6"/>
              <w:spacing w:before="140" w:line="183" w:lineRule="auto"/>
              <w:ind w:left="459"/>
              <w:jc w:val="both"/>
              <w:rPr>
                <w:rFonts w:hint="eastAsia" w:ascii="宋体" w:hAnsi="宋体" w:eastAsia="宋体" w:cs="宋体"/>
                <w:sz w:val="21"/>
                <w:szCs w:val="21"/>
              </w:rPr>
            </w:pPr>
            <w:r>
              <w:rPr>
                <w:rFonts w:hint="eastAsia" w:ascii="宋体" w:hAnsi="宋体" w:eastAsia="宋体" w:cs="宋体"/>
                <w:spacing w:val="-2"/>
                <w:sz w:val="21"/>
                <w:szCs w:val="21"/>
              </w:rPr>
              <w:t>0.90</w:t>
            </w:r>
          </w:p>
        </w:tc>
      </w:tr>
      <w:tr w14:paraId="42F9F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175" w:type="dxa"/>
            <w:vMerge w:val="restart"/>
            <w:tcBorders>
              <w:bottom w:val="nil"/>
            </w:tcBorders>
            <w:vAlign w:val="top"/>
          </w:tcPr>
          <w:p w14:paraId="7E218ADC">
            <w:pPr>
              <w:pStyle w:val="6"/>
              <w:spacing w:before="276" w:line="220" w:lineRule="auto"/>
              <w:ind w:left="304"/>
              <w:rPr>
                <w:rFonts w:hint="eastAsia" w:ascii="宋体" w:hAnsi="宋体" w:eastAsia="宋体" w:cs="宋体"/>
                <w:sz w:val="21"/>
                <w:szCs w:val="21"/>
                <w:lang w:val="en-US" w:eastAsia="zh-CN"/>
              </w:rPr>
            </w:pPr>
            <w:r>
              <w:rPr>
                <w:rFonts w:hint="eastAsia" w:ascii="宋体" w:hAnsi="宋体" w:eastAsia="宋体" w:cs="宋体"/>
                <w:spacing w:val="-2"/>
                <w:sz w:val="21"/>
                <w:szCs w:val="21"/>
              </w:rPr>
              <w:t>粒度</w:t>
            </w:r>
            <w:r>
              <w:rPr>
                <w:rFonts w:hint="eastAsia" w:ascii="宋体" w:hAnsi="宋体" w:eastAsia="宋体" w:cs="宋体"/>
                <w:spacing w:val="-2"/>
                <w:sz w:val="21"/>
                <w:szCs w:val="21"/>
                <w:vertAlign w:val="superscript"/>
                <w:lang w:val="en-US" w:eastAsia="zh-CN"/>
              </w:rPr>
              <w:t>b</w:t>
            </w:r>
          </w:p>
        </w:tc>
        <w:tc>
          <w:tcPr>
            <w:tcW w:w="3341" w:type="dxa"/>
            <w:vAlign w:val="top"/>
          </w:tcPr>
          <w:p w14:paraId="62BC2033">
            <w:pPr>
              <w:pStyle w:val="6"/>
              <w:spacing w:before="82" w:line="222" w:lineRule="auto"/>
              <w:ind w:left="120"/>
              <w:rPr>
                <w:rFonts w:hint="eastAsia" w:ascii="宋体" w:hAnsi="宋体" w:eastAsia="宋体" w:cs="宋体"/>
                <w:sz w:val="21"/>
                <w:szCs w:val="21"/>
              </w:rPr>
            </w:pPr>
            <w:r>
              <w:rPr>
                <w:rFonts w:hint="eastAsia" w:ascii="宋体" w:hAnsi="宋体" w:eastAsia="宋体" w:cs="宋体"/>
                <w:spacing w:val="-5"/>
                <w:sz w:val="21"/>
                <w:szCs w:val="21"/>
              </w:rPr>
              <w:t>180μm筛余物w/%</w:t>
            </w:r>
            <w:r>
              <w:rPr>
                <w:rFonts w:hint="eastAsia" w:ascii="宋体" w:hAnsi="宋体" w:eastAsia="宋体" w:cs="宋体"/>
                <w:spacing w:val="2"/>
                <w:sz w:val="21"/>
                <w:szCs w:val="21"/>
              </w:rPr>
              <w:t xml:space="preserve">           </w:t>
            </w:r>
            <w:r>
              <w:rPr>
                <w:rFonts w:hint="eastAsia" w:ascii="宋体" w:hAnsi="宋体" w:eastAsia="宋体" w:cs="宋体"/>
                <w:spacing w:val="-5"/>
                <w:position w:val="2"/>
                <w:sz w:val="21"/>
                <w:szCs w:val="21"/>
              </w:rPr>
              <w:t>≥</w:t>
            </w:r>
          </w:p>
        </w:tc>
        <w:tc>
          <w:tcPr>
            <w:tcW w:w="1375" w:type="dxa"/>
            <w:vAlign w:val="top"/>
          </w:tcPr>
          <w:p w14:paraId="527B3563">
            <w:pPr>
              <w:pStyle w:val="6"/>
              <w:spacing w:before="141" w:line="183" w:lineRule="auto"/>
              <w:ind w:left="444"/>
              <w:jc w:val="both"/>
              <w:rPr>
                <w:rFonts w:hint="eastAsia" w:ascii="宋体" w:hAnsi="宋体" w:eastAsia="宋体" w:cs="宋体"/>
                <w:sz w:val="21"/>
                <w:szCs w:val="21"/>
              </w:rPr>
            </w:pPr>
            <w:r>
              <w:rPr>
                <w:rFonts w:hint="eastAsia" w:ascii="宋体" w:hAnsi="宋体" w:eastAsia="宋体" w:cs="宋体"/>
                <w:spacing w:val="-3"/>
                <w:sz w:val="21"/>
                <w:szCs w:val="21"/>
              </w:rPr>
              <w:t>75.0</w:t>
            </w:r>
          </w:p>
        </w:tc>
        <w:tc>
          <w:tcPr>
            <w:tcW w:w="1377" w:type="dxa"/>
            <w:vAlign w:val="top"/>
          </w:tcPr>
          <w:p w14:paraId="4E706EF4">
            <w:pPr>
              <w:pStyle w:val="6"/>
              <w:spacing w:before="141" w:line="183" w:lineRule="auto"/>
              <w:ind w:left="446"/>
              <w:jc w:val="both"/>
              <w:rPr>
                <w:rFonts w:hint="eastAsia" w:ascii="宋体" w:hAnsi="宋体" w:eastAsia="宋体" w:cs="宋体"/>
                <w:sz w:val="21"/>
                <w:szCs w:val="21"/>
              </w:rPr>
            </w:pPr>
            <w:r>
              <w:rPr>
                <w:rFonts w:hint="eastAsia" w:ascii="宋体" w:hAnsi="宋体" w:eastAsia="宋体" w:cs="宋体"/>
                <w:spacing w:val="-3"/>
                <w:sz w:val="21"/>
                <w:szCs w:val="21"/>
              </w:rPr>
              <w:t>70.0</w:t>
            </w:r>
          </w:p>
        </w:tc>
        <w:tc>
          <w:tcPr>
            <w:tcW w:w="1375" w:type="dxa"/>
            <w:vAlign w:val="top"/>
          </w:tcPr>
          <w:p w14:paraId="68A7F61B">
            <w:pPr>
              <w:pStyle w:val="6"/>
              <w:spacing w:before="141" w:line="183" w:lineRule="auto"/>
              <w:ind w:left="446"/>
              <w:jc w:val="both"/>
              <w:rPr>
                <w:rFonts w:hint="eastAsia" w:ascii="宋体" w:hAnsi="宋体" w:eastAsia="宋体" w:cs="宋体"/>
                <w:sz w:val="21"/>
                <w:szCs w:val="21"/>
              </w:rPr>
            </w:pPr>
            <w:r>
              <w:rPr>
                <w:rFonts w:hint="eastAsia" w:ascii="宋体" w:hAnsi="宋体" w:eastAsia="宋体" w:cs="宋体"/>
                <w:spacing w:val="-2"/>
                <w:sz w:val="21"/>
                <w:szCs w:val="21"/>
              </w:rPr>
              <w:t>65.0</w:t>
            </w:r>
          </w:p>
        </w:tc>
        <w:tc>
          <w:tcPr>
            <w:tcW w:w="1396" w:type="dxa"/>
            <w:vAlign w:val="top"/>
          </w:tcPr>
          <w:p w14:paraId="70FDB84D">
            <w:pPr>
              <w:pStyle w:val="6"/>
              <w:spacing w:before="141" w:line="183" w:lineRule="auto"/>
              <w:ind w:left="459"/>
              <w:jc w:val="both"/>
              <w:rPr>
                <w:rFonts w:hint="eastAsia" w:ascii="宋体" w:hAnsi="宋体" w:eastAsia="宋体" w:cs="宋体"/>
                <w:sz w:val="21"/>
                <w:szCs w:val="21"/>
              </w:rPr>
            </w:pPr>
            <w:r>
              <w:rPr>
                <w:rFonts w:hint="eastAsia" w:ascii="宋体" w:hAnsi="宋体" w:eastAsia="宋体" w:cs="宋体"/>
                <w:spacing w:val="-2"/>
                <w:sz w:val="21"/>
                <w:szCs w:val="21"/>
              </w:rPr>
              <w:t>60.0</w:t>
            </w:r>
          </w:p>
        </w:tc>
      </w:tr>
      <w:tr w14:paraId="31BD5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175" w:type="dxa"/>
            <w:vMerge w:val="continue"/>
            <w:tcBorders>
              <w:top w:val="nil"/>
            </w:tcBorders>
            <w:vAlign w:val="top"/>
          </w:tcPr>
          <w:p w14:paraId="6301BED1">
            <w:pPr>
              <w:rPr>
                <w:rFonts w:hint="eastAsia" w:ascii="宋体" w:hAnsi="宋体" w:eastAsia="宋体" w:cs="宋体"/>
                <w:sz w:val="21"/>
                <w:szCs w:val="21"/>
              </w:rPr>
            </w:pPr>
          </w:p>
        </w:tc>
        <w:tc>
          <w:tcPr>
            <w:tcW w:w="3341" w:type="dxa"/>
            <w:vAlign w:val="top"/>
          </w:tcPr>
          <w:p w14:paraId="64B39B25">
            <w:pPr>
              <w:pStyle w:val="6"/>
              <w:spacing w:before="91" w:line="223" w:lineRule="auto"/>
              <w:ind w:left="120"/>
              <w:rPr>
                <w:rFonts w:hint="eastAsia" w:ascii="宋体" w:hAnsi="宋体" w:eastAsia="宋体" w:cs="宋体"/>
                <w:sz w:val="21"/>
                <w:szCs w:val="21"/>
              </w:rPr>
            </w:pPr>
            <w:r>
              <w:rPr>
                <w:rFonts w:hint="eastAsia" w:cs="宋体"/>
                <w:spacing w:val="21"/>
                <w:sz w:val="21"/>
                <w:szCs w:val="21"/>
                <w:lang w:val="en-US" w:eastAsia="zh-CN"/>
              </w:rPr>
              <w:t>1.18mm</w:t>
            </w:r>
            <w:r>
              <w:rPr>
                <w:rFonts w:hint="eastAsia" w:ascii="宋体" w:hAnsi="宋体" w:eastAsia="宋体" w:cs="宋体"/>
                <w:spacing w:val="21"/>
                <w:sz w:val="21"/>
                <w:szCs w:val="21"/>
              </w:rPr>
              <w:t>筛余物w/%</w:t>
            </w:r>
            <w:r>
              <w:rPr>
                <w:rFonts w:hint="eastAsia" w:ascii="宋体" w:hAnsi="宋体" w:eastAsia="宋体" w:cs="宋体"/>
                <w:spacing w:val="1"/>
                <w:sz w:val="21"/>
                <w:szCs w:val="21"/>
              </w:rPr>
              <w:t xml:space="preserve">       </w:t>
            </w:r>
            <w:r>
              <w:rPr>
                <w:rFonts w:hint="eastAsia" w:ascii="宋体" w:hAnsi="宋体" w:eastAsia="宋体" w:cs="宋体"/>
                <w:spacing w:val="21"/>
                <w:position w:val="1"/>
                <w:sz w:val="21"/>
                <w:szCs w:val="21"/>
              </w:rPr>
              <w:t>≤</w:t>
            </w:r>
          </w:p>
        </w:tc>
        <w:tc>
          <w:tcPr>
            <w:tcW w:w="1375" w:type="dxa"/>
            <w:vAlign w:val="top"/>
          </w:tcPr>
          <w:p w14:paraId="5C1964F3">
            <w:pPr>
              <w:pStyle w:val="6"/>
              <w:spacing w:before="141" w:line="183" w:lineRule="auto"/>
              <w:ind w:left="494"/>
              <w:jc w:val="both"/>
              <w:rPr>
                <w:rFonts w:hint="eastAsia" w:ascii="宋体" w:hAnsi="宋体" w:eastAsia="宋体" w:cs="宋体"/>
                <w:sz w:val="21"/>
                <w:szCs w:val="21"/>
              </w:rPr>
            </w:pPr>
            <w:r>
              <w:rPr>
                <w:rFonts w:hint="eastAsia" w:ascii="宋体" w:hAnsi="宋体" w:eastAsia="宋体" w:cs="宋体"/>
                <w:spacing w:val="-3"/>
                <w:sz w:val="21"/>
                <w:szCs w:val="21"/>
              </w:rPr>
              <w:t>2.0</w:t>
            </w:r>
          </w:p>
        </w:tc>
        <w:tc>
          <w:tcPr>
            <w:tcW w:w="1377" w:type="dxa"/>
            <w:vAlign w:val="top"/>
          </w:tcPr>
          <w:p w14:paraId="3105C280">
            <w:pPr>
              <w:spacing w:before="180" w:line="140" w:lineRule="exact"/>
              <w:ind w:left="535"/>
              <w:jc w:val="both"/>
              <w:rPr>
                <w:rFonts w:hint="eastAsia" w:ascii="宋体" w:hAnsi="宋体" w:eastAsia="宋体" w:cs="宋体"/>
                <w:sz w:val="21"/>
                <w:szCs w:val="21"/>
              </w:rPr>
            </w:pPr>
            <w:r>
              <w:rPr>
                <w:rFonts w:hint="eastAsia" w:ascii="宋体" w:hAnsi="宋体" w:eastAsia="宋体" w:cs="宋体"/>
                <w:position w:val="-4"/>
                <w:sz w:val="21"/>
                <w:szCs w:val="21"/>
                <w:lang w:val="en-US" w:eastAsia="zh-CN"/>
              </w:rPr>
              <w:t>--</w:t>
            </w:r>
          </w:p>
        </w:tc>
        <w:tc>
          <w:tcPr>
            <w:tcW w:w="1375" w:type="dxa"/>
            <w:vAlign w:val="top"/>
          </w:tcPr>
          <w:p w14:paraId="252BFA15">
            <w:pPr>
              <w:spacing w:before="180" w:line="140" w:lineRule="exact"/>
              <w:ind w:left="537"/>
              <w:jc w:val="both"/>
              <w:rPr>
                <w:rFonts w:hint="eastAsia" w:ascii="宋体" w:hAnsi="宋体" w:eastAsia="宋体" w:cs="宋体"/>
                <w:sz w:val="21"/>
                <w:szCs w:val="21"/>
              </w:rPr>
            </w:pPr>
            <w:r>
              <w:rPr>
                <w:rFonts w:hint="eastAsia" w:ascii="宋体" w:hAnsi="宋体" w:eastAsia="宋体" w:cs="宋体"/>
                <w:position w:val="-4"/>
                <w:sz w:val="21"/>
                <w:szCs w:val="21"/>
                <w:lang w:val="en-US" w:eastAsia="zh-CN"/>
              </w:rPr>
              <w:t>--</w:t>
            </w:r>
          </w:p>
        </w:tc>
        <w:tc>
          <w:tcPr>
            <w:tcW w:w="1396" w:type="dxa"/>
            <w:vAlign w:val="top"/>
          </w:tcPr>
          <w:p w14:paraId="2F5C973A">
            <w:pPr>
              <w:spacing w:before="180" w:line="140" w:lineRule="exact"/>
              <w:ind w:left="549"/>
              <w:jc w:val="both"/>
              <w:rPr>
                <w:rFonts w:hint="eastAsia" w:ascii="宋体" w:hAnsi="宋体" w:eastAsia="宋体" w:cs="宋体"/>
                <w:sz w:val="21"/>
                <w:szCs w:val="21"/>
              </w:rPr>
            </w:pPr>
            <w:r>
              <w:rPr>
                <w:rFonts w:hint="eastAsia" w:ascii="宋体" w:hAnsi="宋体" w:eastAsia="宋体" w:cs="宋体"/>
                <w:position w:val="-4"/>
                <w:sz w:val="21"/>
                <w:szCs w:val="21"/>
                <w:lang w:val="en-US" w:eastAsia="zh-CN"/>
              </w:rPr>
              <w:t>--</w:t>
            </w:r>
          </w:p>
        </w:tc>
      </w:tr>
      <w:tr w14:paraId="3676C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5" w:hRule="atLeast"/>
        </w:trPr>
        <w:tc>
          <w:tcPr>
            <w:tcW w:w="10039" w:type="dxa"/>
            <w:gridSpan w:val="6"/>
            <w:vAlign w:val="top"/>
          </w:tcPr>
          <w:p w14:paraId="5B4CE9AD">
            <w:pPr>
              <w:jc w:val="both"/>
              <w:rPr>
                <w:rFonts w:hint="eastAsia" w:ascii="宋体" w:hAnsi="宋体" w:eastAsia="宋体" w:cs="宋体"/>
                <w:sz w:val="21"/>
                <w:szCs w:val="21"/>
                <w:highlight w:val="none"/>
                <w:lang w:val="en-US" w:eastAsia="zh-CN"/>
              </w:rPr>
            </w:pPr>
            <w:r>
              <w:rPr>
                <w:rFonts w:hint="eastAsia" w:asciiTheme="minorEastAsia" w:hAnsiTheme="minorEastAsia" w:eastAsiaTheme="minorEastAsia" w:cstheme="minorEastAsia"/>
                <w:kern w:val="10"/>
                <w:sz w:val="21"/>
                <w:szCs w:val="21"/>
                <w:highlight w:val="none"/>
              </w:rPr>
              <w:t>备注：</w:t>
            </w:r>
            <w:r>
              <w:rPr>
                <w:rFonts w:hint="eastAsia" w:ascii="宋体" w:hAnsi="宋体" w:eastAsia="宋体" w:cs="宋体"/>
                <w:sz w:val="21"/>
                <w:szCs w:val="21"/>
                <w:highlight w:val="none"/>
              </w:rPr>
              <w:t>1、对表中总碱量规定为常规分析项目。</w:t>
            </w:r>
          </w:p>
          <w:p w14:paraId="04FCD318">
            <w:pPr>
              <w:ind w:left="1050" w:leftChars="300" w:hanging="420" w:hanging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2、对表中氯化钠、铁、水不溶物的质量分数、堆积密度、粒度，筛余物的检测，如果需方有要求，供方应提供检测数据。</w:t>
            </w:r>
          </w:p>
          <w:p w14:paraId="03E7E984">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3、表中规定的各指标，需方有物殊要求，可由供需双方另行商定，并在合同中注明。</w:t>
            </w:r>
          </w:p>
          <w:p w14:paraId="2A669429">
            <w:pPr>
              <w:pStyle w:val="7"/>
              <w:keepNext w:val="0"/>
              <w:keepLines w:val="0"/>
              <w:pageBreakBefore w:val="0"/>
              <w:widowControl w:val="0"/>
              <w:kinsoku/>
              <w:wordWrap/>
              <w:overflowPunct/>
              <w:topLinePunct w:val="0"/>
              <w:autoSpaceDE w:val="0"/>
              <w:autoSpaceDN w:val="0"/>
              <w:bidi w:val="0"/>
              <w:adjustRightInd/>
              <w:snapToGrid/>
              <w:ind w:firstLine="630" w:firstLineChars="30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4、修约规定按GB/T 8170有关规定进行。修约数位与表中所列极限数位一致。</w:t>
            </w:r>
          </w:p>
          <w:p w14:paraId="258F3902">
            <w:pPr>
              <w:ind w:left="630" w:leftChars="300"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5、a</w:t>
            </w:r>
            <w:r>
              <w:rPr>
                <w:rFonts w:hint="eastAsia" w:ascii="宋体" w:hAnsi="宋体" w:eastAsia="宋体" w:cs="宋体"/>
                <w:sz w:val="21"/>
                <w:szCs w:val="21"/>
                <w:highlight w:val="none"/>
              </w:rPr>
              <w:t>为包装时含量，交货时产品中总碱量乘以交货产品的质量再除以交货清单上产品的质量之值不应低于此数值。</w:t>
            </w:r>
          </w:p>
          <w:p w14:paraId="0E064740">
            <w:pPr>
              <w:ind w:left="630" w:leftChars="300" w:firstLine="0" w:firstLineChars="0"/>
              <w:jc w:val="both"/>
              <w:rPr>
                <w:rFonts w:hint="default" w:ascii="宋体" w:hAnsi="宋体" w:eastAsia="宋体" w:cs="宋体"/>
                <w:color w:val="auto"/>
                <w:sz w:val="21"/>
                <w:szCs w:val="21"/>
                <w:highlight w:val="none"/>
                <w:lang w:val="en-US" w:eastAsia="zh-CN" w:bidi="ar-SA"/>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为重质碳酸钠控制指标。</w:t>
            </w:r>
          </w:p>
        </w:tc>
      </w:tr>
    </w:tbl>
    <w:p w14:paraId="1159D6F4">
      <w:pPr>
        <w:pStyle w:val="7"/>
        <w:rPr>
          <w:rFonts w:hint="eastAsia"/>
        </w:rPr>
      </w:pPr>
    </w:p>
    <w:p w14:paraId="1A00F931">
      <w:pPr>
        <w:spacing w:before="156" w:beforeLines="50" w:after="156" w:afterLines="50" w:line="360" w:lineRule="auto"/>
        <w:outlineLvl w:val="1"/>
        <w:rPr>
          <w:rFonts w:hint="eastAsia" w:ascii="宋体" w:hAnsi="宋体" w:eastAsia="宋体" w:cs="Times New Roman"/>
          <w:b/>
          <w:kern w:val="10"/>
          <w:sz w:val="24"/>
          <w:lang w:val="en-US" w:eastAsia="zh-CN"/>
        </w:rPr>
      </w:pPr>
      <w:bookmarkStart w:id="8" w:name="_Toc24427"/>
      <w:bookmarkStart w:id="9" w:name="_Toc18942"/>
      <w:r>
        <w:rPr>
          <w:rFonts w:hint="eastAsia" w:ascii="宋体" w:hAnsi="宋体" w:eastAsia="宋体" w:cs="Times New Roman"/>
          <w:b/>
          <w:kern w:val="10"/>
          <w:sz w:val="24"/>
          <w:lang w:val="en-US" w:eastAsia="zh-CN"/>
        </w:rPr>
        <w:t>4 检验频次及取样方法</w:t>
      </w:r>
      <w:bookmarkEnd w:id="8"/>
      <w:bookmarkEnd w:id="9"/>
    </w:p>
    <w:p w14:paraId="50A19CA9">
      <w:pPr>
        <w:spacing w:line="360" w:lineRule="auto"/>
        <w:ind w:firstLine="480" w:firstLineChars="200"/>
        <w:rPr>
          <w:rFonts w:hint="eastAsia" w:ascii="宋体" w:hAnsi="宋体" w:eastAsia="宋体" w:cs="宋体"/>
          <w:kern w:val="10"/>
          <w:sz w:val="24"/>
        </w:rPr>
      </w:pPr>
      <w:r>
        <w:rPr>
          <w:rFonts w:hint="eastAsia" w:ascii="宋体" w:hAnsi="宋体" w:eastAsia="宋体" w:cs="宋体"/>
          <w:kern w:val="10"/>
          <w:sz w:val="24"/>
          <w:lang w:val="en-US" w:eastAsia="zh-CN"/>
        </w:rPr>
        <w:t>4.1</w:t>
      </w:r>
      <w:r>
        <w:rPr>
          <w:rFonts w:hint="eastAsia" w:ascii="宋体" w:hAnsi="宋体" w:eastAsia="宋体" w:cs="宋体"/>
          <w:kern w:val="10"/>
          <w:sz w:val="24"/>
        </w:rPr>
        <w:t>工业碳酸钠</w:t>
      </w:r>
      <w:r>
        <w:rPr>
          <w:rFonts w:hint="eastAsia" w:ascii="宋体" w:hAnsi="宋体" w:eastAsia="宋体" w:cs="宋体"/>
          <w:sz w:val="24"/>
        </w:rPr>
        <w:t>的外观质量每车次随机抽检5～10袋，看其包装是否完整</w:t>
      </w:r>
      <w:r>
        <w:rPr>
          <w:rFonts w:hint="eastAsia" w:ascii="宋体" w:hAnsi="宋体" w:eastAsia="宋体" w:cs="宋体"/>
          <w:sz w:val="24"/>
          <w:lang w:eastAsia="zh-CN"/>
        </w:rPr>
        <w:t>，是否有杂质</w:t>
      </w:r>
      <w:r>
        <w:rPr>
          <w:rFonts w:hint="eastAsia" w:ascii="宋体" w:hAnsi="宋体" w:eastAsia="宋体" w:cs="宋体"/>
          <w:sz w:val="24"/>
        </w:rPr>
        <w:t>。</w:t>
      </w:r>
    </w:p>
    <w:p w14:paraId="1E2E611E">
      <w:pPr>
        <w:spacing w:line="360" w:lineRule="auto"/>
        <w:ind w:firstLine="480" w:firstLineChars="200"/>
        <w:rPr>
          <w:rFonts w:hint="eastAsia" w:ascii="宋体" w:hAnsi="宋体" w:eastAsia="宋体" w:cs="宋体"/>
          <w:kern w:val="10"/>
          <w:sz w:val="24"/>
        </w:rPr>
      </w:pPr>
      <w:r>
        <w:rPr>
          <w:rFonts w:hint="eastAsia" w:ascii="宋体" w:hAnsi="宋体" w:eastAsia="宋体" w:cs="宋体"/>
          <w:kern w:val="10"/>
          <w:sz w:val="24"/>
          <w:lang w:val="en-US" w:eastAsia="zh-CN"/>
        </w:rPr>
        <w:t>4.2</w:t>
      </w:r>
      <w:r>
        <w:rPr>
          <w:rFonts w:hint="eastAsia" w:ascii="宋体" w:hAnsi="宋体" w:eastAsia="宋体" w:cs="宋体"/>
          <w:kern w:val="10"/>
          <w:sz w:val="24"/>
        </w:rPr>
        <w:t>工业碳酸钠</w:t>
      </w:r>
      <w:r>
        <w:rPr>
          <w:rFonts w:hint="eastAsia" w:ascii="宋体" w:hAnsi="宋体" w:eastAsia="宋体" w:cs="宋体"/>
          <w:sz w:val="24"/>
        </w:rPr>
        <w:t>的</w:t>
      </w:r>
      <w:r>
        <w:rPr>
          <w:rFonts w:hint="eastAsia" w:ascii="宋体" w:hAnsi="宋体" w:eastAsia="宋体" w:cs="宋体"/>
          <w:bCs/>
          <w:kern w:val="10"/>
          <w:sz w:val="24"/>
        </w:rPr>
        <w:t>化学成分</w:t>
      </w:r>
      <w:r>
        <w:rPr>
          <w:rFonts w:hint="eastAsia" w:ascii="宋体" w:hAnsi="宋体" w:eastAsia="宋体" w:cs="宋体"/>
          <w:sz w:val="24"/>
        </w:rPr>
        <w:t>取样</w:t>
      </w:r>
      <w:r>
        <w:rPr>
          <w:rFonts w:hint="eastAsia" w:ascii="宋体" w:hAnsi="宋体" w:cs="宋体"/>
          <w:sz w:val="24"/>
          <w:lang w:eastAsia="zh-CN"/>
        </w:rPr>
        <w:t>，</w:t>
      </w:r>
      <w:r>
        <w:rPr>
          <w:rFonts w:hint="eastAsia" w:ascii="宋体" w:hAnsi="宋体" w:eastAsia="宋体" w:cs="宋体"/>
          <w:kern w:val="10"/>
          <w:sz w:val="24"/>
          <w:lang w:eastAsia="zh-CN"/>
        </w:rPr>
        <w:t>按不同供方分别以</w:t>
      </w:r>
      <w:r>
        <w:rPr>
          <w:rFonts w:hint="eastAsia" w:ascii="宋体" w:hAnsi="宋体" w:cs="宋体"/>
          <w:kern w:val="10"/>
          <w:sz w:val="24"/>
          <w:lang w:val="en-US" w:eastAsia="zh-CN"/>
        </w:rPr>
        <w:t>不大于</w:t>
      </w:r>
      <w:r>
        <w:rPr>
          <w:rFonts w:hint="eastAsia" w:ascii="宋体" w:hAnsi="宋体" w:eastAsia="宋体" w:cs="宋体"/>
          <w:kern w:val="10"/>
          <w:sz w:val="24"/>
          <w:lang w:val="en-US" w:eastAsia="zh-CN"/>
        </w:rPr>
        <w:t>60吨</w:t>
      </w:r>
      <w:r>
        <w:rPr>
          <w:rFonts w:hint="eastAsia" w:ascii="宋体" w:hAnsi="宋体" w:cs="宋体"/>
          <w:kern w:val="10"/>
          <w:sz w:val="24"/>
          <w:lang w:val="en-US" w:eastAsia="zh-CN"/>
        </w:rPr>
        <w:t>组批抽检一次，该批次到货量不足60吨的，同样组批抽检一次</w:t>
      </w:r>
      <w:r>
        <w:rPr>
          <w:rFonts w:hint="eastAsia" w:ascii="宋体" w:hAnsi="宋体" w:eastAsia="宋体" w:cs="宋体"/>
          <w:kern w:val="10"/>
          <w:sz w:val="24"/>
          <w:lang w:eastAsia="zh-CN"/>
        </w:rPr>
        <w:t>。每</w:t>
      </w:r>
      <w:r>
        <w:rPr>
          <w:rFonts w:hint="eastAsia" w:ascii="宋体" w:hAnsi="宋体" w:cs="宋体"/>
          <w:kern w:val="10"/>
          <w:sz w:val="24"/>
          <w:lang w:val="en-US" w:eastAsia="zh-CN"/>
        </w:rPr>
        <w:t>批次</w:t>
      </w:r>
      <w:r>
        <w:rPr>
          <w:rFonts w:hint="eastAsia" w:ascii="宋体" w:hAnsi="宋体" w:eastAsia="宋体" w:cs="宋体"/>
          <w:sz w:val="24"/>
        </w:rPr>
        <w:t>随机抽取</w:t>
      </w:r>
      <w:r>
        <w:rPr>
          <w:rFonts w:hint="eastAsia" w:ascii="宋体" w:hAnsi="宋体" w:eastAsia="宋体" w:cs="宋体"/>
          <w:sz w:val="24"/>
          <w:lang w:val="en-US" w:eastAsia="zh-CN"/>
        </w:rPr>
        <w:t>5</w:t>
      </w:r>
      <w:r>
        <w:rPr>
          <w:rFonts w:hint="eastAsia" w:ascii="宋体" w:hAnsi="宋体" w:eastAsia="宋体" w:cs="宋体"/>
          <w:sz w:val="24"/>
        </w:rPr>
        <w:t>袋</w:t>
      </w:r>
      <w:r>
        <w:rPr>
          <w:rFonts w:hint="eastAsia" w:ascii="宋体" w:hAnsi="宋体" w:eastAsia="宋体" w:cs="宋体"/>
          <w:sz w:val="24"/>
          <w:lang w:eastAsia="zh-CN"/>
        </w:rPr>
        <w:t>。采样时，将采样器自袋的中心垂直插入至料层深度的</w:t>
      </w:r>
      <w:r>
        <w:rPr>
          <w:rFonts w:hint="eastAsia" w:ascii="宋体" w:hAnsi="宋体" w:eastAsia="宋体" w:cs="宋体"/>
          <w:sz w:val="24"/>
          <w:lang w:val="en-US" w:eastAsia="zh-CN"/>
        </w:rPr>
        <w:t>3/4处采样。将采得的样品混匀，用四分法缩分至轻质碳酸钠不小于4</w:t>
      </w:r>
      <w:r>
        <w:rPr>
          <w:rFonts w:hint="eastAsia" w:ascii="宋体" w:hAnsi="宋体" w:eastAsia="宋体" w:cs="宋体"/>
          <w:sz w:val="24"/>
        </w:rPr>
        <w:t>00g。取完样品立即放入塑料袋中，密封。</w:t>
      </w:r>
    </w:p>
    <w:p w14:paraId="35B342A8">
      <w:pPr>
        <w:spacing w:line="360" w:lineRule="auto"/>
        <w:ind w:firstLine="480" w:firstLineChars="200"/>
        <w:rPr>
          <w:rFonts w:hint="eastAsia"/>
        </w:rPr>
      </w:pPr>
      <w:r>
        <w:rPr>
          <w:rFonts w:hint="eastAsia" w:ascii="宋体" w:hAnsi="宋体" w:eastAsia="宋体" w:cs="宋体"/>
          <w:kern w:val="10"/>
          <w:sz w:val="24"/>
          <w:lang w:val="en-US" w:eastAsia="zh-CN"/>
        </w:rPr>
        <w:t>4</w:t>
      </w:r>
      <w:r>
        <w:rPr>
          <w:rFonts w:hint="eastAsia" w:ascii="宋体" w:hAnsi="宋体" w:eastAsia="宋体" w:cs="宋体"/>
          <w:kern w:val="10"/>
          <w:sz w:val="24"/>
        </w:rPr>
        <w:t>.3</w:t>
      </w:r>
      <w:r>
        <w:rPr>
          <w:rFonts w:hint="eastAsia" w:asciiTheme="majorEastAsia" w:hAnsiTheme="majorEastAsia" w:eastAsiaTheme="majorEastAsia" w:cstheme="majorEastAsia"/>
          <w:sz w:val="24"/>
          <w:szCs w:val="24"/>
        </w:rPr>
        <w:t>供需双方在验收过程中就质量问题发生争议时，由双方共同抽样（在原取样袋取样点取样）、封样</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并共同委托双方认可权威机构进行仲裁检验，以仲裁结果为最终结果进行结算，检验费用由责任方承担。</w:t>
      </w:r>
    </w:p>
    <w:p w14:paraId="6B72EE90">
      <w:pPr>
        <w:spacing w:before="156" w:beforeLines="50" w:after="156" w:afterLines="50" w:line="360" w:lineRule="auto"/>
        <w:outlineLvl w:val="1"/>
        <w:rPr>
          <w:rFonts w:hint="eastAsia" w:ascii="宋体" w:hAnsi="宋体" w:eastAsia="宋体" w:cs="宋体"/>
          <w:b/>
          <w:bCs/>
          <w:color w:val="auto"/>
          <w:sz w:val="24"/>
          <w:szCs w:val="24"/>
          <w:highlight w:val="none"/>
          <w:lang w:val="en-US" w:eastAsia="zh-CN"/>
        </w:rPr>
      </w:pPr>
      <w:bookmarkStart w:id="10" w:name="_Toc18484"/>
      <w:bookmarkStart w:id="11" w:name="_Toc10646"/>
      <w:r>
        <w:rPr>
          <w:rFonts w:hint="eastAsia" w:ascii="宋体" w:hAnsi="宋体" w:eastAsia="宋体" w:cs="Times New Roman"/>
          <w:b/>
          <w:kern w:val="10"/>
          <w:sz w:val="24"/>
          <w:lang w:val="en-US" w:eastAsia="zh-CN"/>
        </w:rPr>
        <w:t>5 质量细则</w:t>
      </w:r>
      <w:bookmarkEnd w:id="10"/>
      <w:bookmarkEnd w:id="11"/>
    </w:p>
    <w:tbl>
      <w:tblPr>
        <w:tblStyle w:val="3"/>
        <w:tblpPr w:leftFromText="180" w:rightFromText="180" w:vertAnchor="text" w:horzAnchor="page" w:tblpXSpec="center" w:tblpY="239"/>
        <w:tblOverlap w:val="never"/>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524"/>
        <w:gridCol w:w="1155"/>
        <w:gridCol w:w="1425"/>
        <w:gridCol w:w="1935"/>
        <w:gridCol w:w="3105"/>
      </w:tblGrid>
      <w:tr w14:paraId="05E3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15" w:type="dxa"/>
            <w:gridSpan w:val="6"/>
            <w:vAlign w:val="center"/>
          </w:tcPr>
          <w:p w14:paraId="2D57612E">
            <w:pPr>
              <w:keepNext w:val="0"/>
              <w:keepLines w:val="0"/>
              <w:widowControl/>
              <w:suppressLineNumbers w:val="0"/>
              <w:shd w:val="clear" w:color="auto" w:fill="auto"/>
              <w:ind w:firstLine="1470" w:firstLineChars="700"/>
              <w:jc w:val="both"/>
              <w:textAlignment w:val="center"/>
              <w:rPr>
                <w:rFonts w:hint="eastAsia" w:ascii="宋体" w:hAnsi="宋体" w:eastAsia="宋体" w:cs="宋体"/>
                <w:b w:val="0"/>
                <w:bCs w:val="0"/>
                <w:kern w:val="10"/>
                <w:sz w:val="21"/>
                <w:szCs w:val="21"/>
                <w:lang w:val="en-US" w:eastAsia="zh-CN"/>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kern w:val="10"/>
                <w:sz w:val="21"/>
                <w:szCs w:val="21"/>
                <w:lang w:val="en-US" w:eastAsia="zh-CN"/>
              </w:rPr>
              <w:t>工业碳酸钠质量细则</w:t>
            </w:r>
          </w:p>
        </w:tc>
      </w:tr>
      <w:tr w14:paraId="03EF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4A58BA15">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524" w:type="dxa"/>
            <w:vAlign w:val="center"/>
          </w:tcPr>
          <w:p w14:paraId="66A7BF7B">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子项</w:t>
            </w:r>
          </w:p>
        </w:tc>
        <w:tc>
          <w:tcPr>
            <w:tcW w:w="1155" w:type="dxa"/>
            <w:vAlign w:val="center"/>
          </w:tcPr>
          <w:p w14:paraId="4DE788A6">
            <w:pPr>
              <w:keepNext w:val="0"/>
              <w:keepLines w:val="0"/>
              <w:widowControl/>
              <w:suppressLineNumbers w:val="0"/>
              <w:jc w:val="center"/>
              <w:textAlignment w:val="cente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lang w:val="en-US" w:eastAsia="zh-CN" w:bidi="ar"/>
              </w:rPr>
              <w:t>指标要求</w:t>
            </w:r>
          </w:p>
        </w:tc>
        <w:tc>
          <w:tcPr>
            <w:tcW w:w="1425" w:type="dxa"/>
            <w:vAlign w:val="center"/>
          </w:tcPr>
          <w:p w14:paraId="746FEB6D">
            <w:pPr>
              <w:keepNext w:val="0"/>
              <w:keepLines w:val="0"/>
              <w:widowControl/>
              <w:suppressLineNumbers w:val="0"/>
              <w:jc w:val="center"/>
              <w:textAlignment w:val="cente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处理类别</w:t>
            </w:r>
          </w:p>
        </w:tc>
        <w:tc>
          <w:tcPr>
            <w:tcW w:w="5040" w:type="dxa"/>
            <w:gridSpan w:val="2"/>
            <w:vAlign w:val="center"/>
          </w:tcPr>
          <w:p w14:paraId="2212573A">
            <w:pPr>
              <w:keepNext w:val="0"/>
              <w:keepLines w:val="0"/>
              <w:widowControl/>
              <w:suppressLineNumbers w:val="0"/>
              <w:ind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处理措施</w:t>
            </w:r>
            <w:r>
              <w:rPr>
                <w:rFonts w:hint="eastAsia" w:ascii="宋体" w:hAnsi="宋体" w:eastAsia="宋体" w:cs="宋体"/>
                <w:b w:val="0"/>
                <w:bCs w:val="0"/>
                <w:color w:val="000000"/>
                <w:sz w:val="21"/>
                <w:szCs w:val="21"/>
                <w:lang w:bidi="ar"/>
              </w:rPr>
              <w:t>（x为对应的控制子项）</w:t>
            </w:r>
          </w:p>
        </w:tc>
      </w:tr>
      <w:tr w14:paraId="346E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71" w:type="dxa"/>
            <w:vMerge w:val="restart"/>
            <w:vAlign w:val="center"/>
          </w:tcPr>
          <w:p w14:paraId="64817E8C">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bidi="ar-SA"/>
              </w:rPr>
              <w:t>1</w:t>
            </w:r>
          </w:p>
        </w:tc>
        <w:tc>
          <w:tcPr>
            <w:tcW w:w="1524" w:type="dxa"/>
            <w:vMerge w:val="restart"/>
            <w:vAlign w:val="center"/>
          </w:tcPr>
          <w:p w14:paraId="534B387B">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总碱量（干基）%</w:t>
            </w:r>
          </w:p>
        </w:tc>
        <w:tc>
          <w:tcPr>
            <w:tcW w:w="1155" w:type="dxa"/>
            <w:vMerge w:val="restart"/>
            <w:vAlign w:val="center"/>
          </w:tcPr>
          <w:p w14:paraId="2D0D0AF6">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≥98.8</w:t>
            </w:r>
          </w:p>
        </w:tc>
        <w:tc>
          <w:tcPr>
            <w:tcW w:w="1425" w:type="dxa"/>
            <w:vAlign w:val="center"/>
          </w:tcPr>
          <w:p w14:paraId="0B3BB682">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扣 款</w:t>
            </w:r>
          </w:p>
        </w:tc>
        <w:tc>
          <w:tcPr>
            <w:tcW w:w="1935" w:type="dxa"/>
            <w:vAlign w:val="center"/>
          </w:tcPr>
          <w:p w14:paraId="7348577F">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98.0≤x＜98.8</w:t>
            </w:r>
          </w:p>
        </w:tc>
        <w:tc>
          <w:tcPr>
            <w:tcW w:w="3105" w:type="dxa"/>
            <w:vAlign w:val="center"/>
          </w:tcPr>
          <w:p w14:paraId="3433BB7C">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每低于要求0.1扣款50元/吨。</w:t>
            </w:r>
          </w:p>
        </w:tc>
      </w:tr>
      <w:tr w14:paraId="2B3A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71" w:type="dxa"/>
            <w:vMerge w:val="continue"/>
            <w:vAlign w:val="center"/>
          </w:tcPr>
          <w:p w14:paraId="4B127E2E">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1524" w:type="dxa"/>
            <w:vMerge w:val="continue"/>
            <w:vAlign w:val="top"/>
          </w:tcPr>
          <w:p w14:paraId="54967BCA">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p>
        </w:tc>
        <w:tc>
          <w:tcPr>
            <w:tcW w:w="1155" w:type="dxa"/>
            <w:vMerge w:val="continue"/>
            <w:vAlign w:val="top"/>
          </w:tcPr>
          <w:p w14:paraId="4CD3F85D">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p>
        </w:tc>
        <w:tc>
          <w:tcPr>
            <w:tcW w:w="1425" w:type="dxa"/>
            <w:vAlign w:val="center"/>
          </w:tcPr>
          <w:p w14:paraId="2B228D19">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w:t>
            </w:r>
          </w:p>
        </w:tc>
        <w:tc>
          <w:tcPr>
            <w:tcW w:w="1935" w:type="dxa"/>
            <w:vAlign w:val="center"/>
          </w:tcPr>
          <w:p w14:paraId="2BDA17E8">
            <w:pPr>
              <w:keepNext w:val="0"/>
              <w:keepLines w:val="0"/>
              <w:widowControl/>
              <w:numPr>
                <w:ilvl w:val="0"/>
                <w:numId w:val="0"/>
              </w:numPr>
              <w:suppressLineNumbers w:val="0"/>
              <w:ind w:left="0" w:leftChars="0" w:firstLine="420" w:firstLineChars="20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＜98.0</w:t>
            </w:r>
          </w:p>
        </w:tc>
        <w:tc>
          <w:tcPr>
            <w:tcW w:w="3105" w:type="dxa"/>
            <w:vAlign w:val="center"/>
          </w:tcPr>
          <w:p w14:paraId="4D69051F">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r>
      <w:tr w14:paraId="0AEB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71" w:type="dxa"/>
            <w:vMerge w:val="restart"/>
            <w:vAlign w:val="center"/>
          </w:tcPr>
          <w:p w14:paraId="070DAF87">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2</w:t>
            </w:r>
          </w:p>
        </w:tc>
        <w:tc>
          <w:tcPr>
            <w:tcW w:w="1524" w:type="dxa"/>
            <w:vMerge w:val="restart"/>
            <w:vAlign w:val="center"/>
          </w:tcPr>
          <w:p w14:paraId="26F9C7D2">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总碱量（湿基）%</w:t>
            </w:r>
          </w:p>
        </w:tc>
        <w:tc>
          <w:tcPr>
            <w:tcW w:w="1155" w:type="dxa"/>
            <w:vMerge w:val="restart"/>
            <w:vAlign w:val="center"/>
          </w:tcPr>
          <w:p w14:paraId="5A5263F6">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≥97.5</w:t>
            </w:r>
          </w:p>
        </w:tc>
        <w:tc>
          <w:tcPr>
            <w:tcW w:w="1425" w:type="dxa"/>
            <w:vAlign w:val="center"/>
          </w:tcPr>
          <w:p w14:paraId="44D854CC">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扣 款</w:t>
            </w:r>
          </w:p>
        </w:tc>
        <w:tc>
          <w:tcPr>
            <w:tcW w:w="1935" w:type="dxa"/>
            <w:vAlign w:val="center"/>
          </w:tcPr>
          <w:p w14:paraId="51215258">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96.7≤x＜97.5</w:t>
            </w:r>
          </w:p>
        </w:tc>
        <w:tc>
          <w:tcPr>
            <w:tcW w:w="3105" w:type="dxa"/>
            <w:vAlign w:val="center"/>
          </w:tcPr>
          <w:p w14:paraId="009266A0">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每低于要求0.1扣款50元/吨。</w:t>
            </w:r>
          </w:p>
        </w:tc>
      </w:tr>
      <w:tr w14:paraId="43DC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71" w:type="dxa"/>
            <w:vMerge w:val="continue"/>
            <w:vAlign w:val="center"/>
          </w:tcPr>
          <w:p w14:paraId="35299E28">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1524" w:type="dxa"/>
            <w:vMerge w:val="continue"/>
            <w:vAlign w:val="top"/>
          </w:tcPr>
          <w:p w14:paraId="0290F0D0">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p>
        </w:tc>
        <w:tc>
          <w:tcPr>
            <w:tcW w:w="1155" w:type="dxa"/>
            <w:vMerge w:val="continue"/>
            <w:vAlign w:val="top"/>
          </w:tcPr>
          <w:p w14:paraId="0F4A9E3E">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p>
        </w:tc>
        <w:tc>
          <w:tcPr>
            <w:tcW w:w="1425" w:type="dxa"/>
            <w:vAlign w:val="center"/>
          </w:tcPr>
          <w:p w14:paraId="4E98F09C">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w:t>
            </w:r>
          </w:p>
        </w:tc>
        <w:tc>
          <w:tcPr>
            <w:tcW w:w="1935" w:type="dxa"/>
            <w:vAlign w:val="center"/>
          </w:tcPr>
          <w:p w14:paraId="1C7E73CB">
            <w:pPr>
              <w:keepNext w:val="0"/>
              <w:keepLines w:val="0"/>
              <w:widowControl/>
              <w:numPr>
                <w:ilvl w:val="0"/>
                <w:numId w:val="0"/>
              </w:numPr>
              <w:suppressLineNumbers w:val="0"/>
              <w:ind w:left="0" w:leftChars="0" w:firstLine="420" w:firstLineChars="20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＜96.7</w:t>
            </w:r>
          </w:p>
        </w:tc>
        <w:tc>
          <w:tcPr>
            <w:tcW w:w="3105" w:type="dxa"/>
            <w:vAlign w:val="center"/>
          </w:tcPr>
          <w:p w14:paraId="1561ED4A">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r>
      <w:tr w14:paraId="0AFB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1" w:type="dxa"/>
            <w:vMerge w:val="restart"/>
            <w:vAlign w:val="center"/>
          </w:tcPr>
          <w:p w14:paraId="0533B9AB">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3</w:t>
            </w:r>
          </w:p>
        </w:tc>
        <w:tc>
          <w:tcPr>
            <w:tcW w:w="1524" w:type="dxa"/>
            <w:vMerge w:val="restart"/>
            <w:vAlign w:val="top"/>
          </w:tcPr>
          <w:p w14:paraId="66429AE7">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氯化钠（干基的N）/%</w:t>
            </w:r>
          </w:p>
        </w:tc>
        <w:tc>
          <w:tcPr>
            <w:tcW w:w="1155" w:type="dxa"/>
            <w:vMerge w:val="restart"/>
            <w:vAlign w:val="center"/>
          </w:tcPr>
          <w:p w14:paraId="0F8E1AE3">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≤0.90</w:t>
            </w:r>
          </w:p>
        </w:tc>
        <w:tc>
          <w:tcPr>
            <w:tcW w:w="1425" w:type="dxa"/>
            <w:vAlign w:val="center"/>
          </w:tcPr>
          <w:p w14:paraId="4F237137">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扣 款</w:t>
            </w:r>
          </w:p>
        </w:tc>
        <w:tc>
          <w:tcPr>
            <w:tcW w:w="1935" w:type="dxa"/>
            <w:vAlign w:val="center"/>
          </w:tcPr>
          <w:p w14:paraId="27F460D1">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0.9</w:t>
            </w:r>
            <w:r>
              <w:rPr>
                <w:rFonts w:hint="eastAsia" w:ascii="宋体" w:hAnsi="宋体" w:cs="宋体"/>
                <w:color w:val="auto"/>
                <w:kern w:val="10"/>
                <w:sz w:val="21"/>
                <w:szCs w:val="21"/>
                <w:highlight w:val="none"/>
                <w:vertAlign w:val="baseline"/>
                <w:lang w:val="en-US" w:eastAsia="zh-CN"/>
              </w:rPr>
              <w:t>0</w:t>
            </w:r>
            <w:r>
              <w:rPr>
                <w:rFonts w:hint="eastAsia" w:ascii="宋体" w:hAnsi="宋体" w:eastAsia="宋体" w:cs="宋体"/>
                <w:color w:val="auto"/>
                <w:kern w:val="10"/>
                <w:sz w:val="21"/>
                <w:szCs w:val="21"/>
                <w:highlight w:val="none"/>
                <w:vertAlign w:val="baseline"/>
                <w:lang w:val="en-US" w:eastAsia="zh-CN"/>
              </w:rPr>
              <w:t>＜x≤1.2</w:t>
            </w:r>
            <w:r>
              <w:rPr>
                <w:rFonts w:hint="eastAsia" w:ascii="宋体" w:hAnsi="宋体" w:cs="宋体"/>
                <w:color w:val="auto"/>
                <w:kern w:val="10"/>
                <w:sz w:val="21"/>
                <w:szCs w:val="21"/>
                <w:highlight w:val="none"/>
                <w:vertAlign w:val="baseline"/>
                <w:lang w:val="en-US" w:eastAsia="zh-CN"/>
              </w:rPr>
              <w:t>0</w:t>
            </w:r>
          </w:p>
        </w:tc>
        <w:tc>
          <w:tcPr>
            <w:tcW w:w="3105" w:type="dxa"/>
            <w:vAlign w:val="center"/>
          </w:tcPr>
          <w:p w14:paraId="54AA446E">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每高于要求0.1扣款50元/吨</w:t>
            </w:r>
          </w:p>
        </w:tc>
      </w:tr>
      <w:tr w14:paraId="13BA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1" w:type="dxa"/>
            <w:vMerge w:val="continue"/>
            <w:vAlign w:val="center"/>
          </w:tcPr>
          <w:p w14:paraId="598EDC10">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1524" w:type="dxa"/>
            <w:vMerge w:val="continue"/>
            <w:vAlign w:val="center"/>
          </w:tcPr>
          <w:p w14:paraId="56B15FE8">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p>
        </w:tc>
        <w:tc>
          <w:tcPr>
            <w:tcW w:w="1155" w:type="dxa"/>
            <w:vMerge w:val="continue"/>
            <w:vAlign w:val="center"/>
          </w:tcPr>
          <w:p w14:paraId="3133FF54">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p>
        </w:tc>
        <w:tc>
          <w:tcPr>
            <w:tcW w:w="1425" w:type="dxa"/>
            <w:vAlign w:val="center"/>
          </w:tcPr>
          <w:p w14:paraId="273B9172">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w:t>
            </w:r>
          </w:p>
        </w:tc>
        <w:tc>
          <w:tcPr>
            <w:tcW w:w="1935" w:type="dxa"/>
            <w:vAlign w:val="center"/>
          </w:tcPr>
          <w:p w14:paraId="6435BA95">
            <w:pPr>
              <w:keepNext w:val="0"/>
              <w:keepLines w:val="0"/>
              <w:widowControl/>
              <w:numPr>
                <w:ilvl w:val="0"/>
                <w:numId w:val="0"/>
              </w:numPr>
              <w:suppressLineNumbers w:val="0"/>
              <w:ind w:left="0" w:leftChars="0" w:firstLine="420" w:firstLineChars="20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＞1.20</w:t>
            </w:r>
          </w:p>
        </w:tc>
        <w:tc>
          <w:tcPr>
            <w:tcW w:w="3105" w:type="dxa"/>
            <w:vAlign w:val="center"/>
          </w:tcPr>
          <w:p w14:paraId="5AEC75A9">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r>
      <w:tr w14:paraId="4F40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1" w:type="dxa"/>
            <w:vMerge w:val="restart"/>
            <w:vAlign w:val="center"/>
          </w:tcPr>
          <w:p w14:paraId="3AAD91D4">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4</w:t>
            </w:r>
          </w:p>
        </w:tc>
        <w:tc>
          <w:tcPr>
            <w:tcW w:w="1524" w:type="dxa"/>
            <w:vMerge w:val="restart"/>
            <w:vAlign w:val="top"/>
          </w:tcPr>
          <w:p w14:paraId="28F43088">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 xml:space="preserve">铁(Fe)的质量分数(干基计）          </w:t>
            </w:r>
          </w:p>
        </w:tc>
        <w:tc>
          <w:tcPr>
            <w:tcW w:w="1155" w:type="dxa"/>
            <w:vMerge w:val="restart"/>
            <w:vAlign w:val="center"/>
          </w:tcPr>
          <w:p w14:paraId="48F09344">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≤0.006</w:t>
            </w:r>
          </w:p>
        </w:tc>
        <w:tc>
          <w:tcPr>
            <w:tcW w:w="1425" w:type="dxa"/>
            <w:vAlign w:val="center"/>
          </w:tcPr>
          <w:p w14:paraId="6C3961CB">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扣 款</w:t>
            </w:r>
          </w:p>
        </w:tc>
        <w:tc>
          <w:tcPr>
            <w:tcW w:w="1935" w:type="dxa"/>
            <w:vAlign w:val="center"/>
          </w:tcPr>
          <w:p w14:paraId="76C4BDDC">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0.006＜x≤0.010</w:t>
            </w:r>
          </w:p>
        </w:tc>
        <w:tc>
          <w:tcPr>
            <w:tcW w:w="3105" w:type="dxa"/>
            <w:vAlign w:val="center"/>
          </w:tcPr>
          <w:p w14:paraId="2650A7C5">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每高于要求0.001扣款50元/吨</w:t>
            </w:r>
          </w:p>
        </w:tc>
      </w:tr>
      <w:tr w14:paraId="4E7B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1" w:type="dxa"/>
            <w:vMerge w:val="continue"/>
            <w:vAlign w:val="center"/>
          </w:tcPr>
          <w:p w14:paraId="004B1497">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1524" w:type="dxa"/>
            <w:vMerge w:val="continue"/>
            <w:vAlign w:val="center"/>
          </w:tcPr>
          <w:p w14:paraId="4E9FA7AB">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p>
        </w:tc>
        <w:tc>
          <w:tcPr>
            <w:tcW w:w="1155" w:type="dxa"/>
            <w:vMerge w:val="continue"/>
            <w:vAlign w:val="center"/>
          </w:tcPr>
          <w:p w14:paraId="1B49EA20">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p>
        </w:tc>
        <w:tc>
          <w:tcPr>
            <w:tcW w:w="1425" w:type="dxa"/>
            <w:vAlign w:val="center"/>
          </w:tcPr>
          <w:p w14:paraId="346E766B">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w:t>
            </w:r>
          </w:p>
        </w:tc>
        <w:tc>
          <w:tcPr>
            <w:tcW w:w="1935" w:type="dxa"/>
            <w:vAlign w:val="center"/>
          </w:tcPr>
          <w:p w14:paraId="4C12CB8A">
            <w:pPr>
              <w:keepNext w:val="0"/>
              <w:keepLines w:val="0"/>
              <w:widowControl/>
              <w:numPr>
                <w:ilvl w:val="0"/>
                <w:numId w:val="0"/>
              </w:numPr>
              <w:suppressLineNumbers w:val="0"/>
              <w:ind w:left="0" w:leftChars="0" w:firstLine="420" w:firstLineChars="20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＞0.010</w:t>
            </w:r>
          </w:p>
        </w:tc>
        <w:tc>
          <w:tcPr>
            <w:tcW w:w="3105" w:type="dxa"/>
            <w:vAlign w:val="center"/>
          </w:tcPr>
          <w:p w14:paraId="379528AC">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r>
      <w:tr w14:paraId="39DD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1" w:type="dxa"/>
            <w:vMerge w:val="restart"/>
            <w:vAlign w:val="center"/>
          </w:tcPr>
          <w:p w14:paraId="5EE27C03">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5</w:t>
            </w:r>
          </w:p>
        </w:tc>
        <w:tc>
          <w:tcPr>
            <w:tcW w:w="1524" w:type="dxa"/>
            <w:vMerge w:val="restart"/>
            <w:vAlign w:val="top"/>
          </w:tcPr>
          <w:p w14:paraId="416910ED">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 xml:space="preserve">水不溶物的质量分数/%                  </w:t>
            </w:r>
          </w:p>
        </w:tc>
        <w:tc>
          <w:tcPr>
            <w:tcW w:w="1155" w:type="dxa"/>
            <w:vMerge w:val="restart"/>
            <w:vAlign w:val="center"/>
          </w:tcPr>
          <w:p w14:paraId="64C70D26">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≤0.10</w:t>
            </w:r>
          </w:p>
        </w:tc>
        <w:tc>
          <w:tcPr>
            <w:tcW w:w="1425" w:type="dxa"/>
            <w:vAlign w:val="center"/>
          </w:tcPr>
          <w:p w14:paraId="6FC4B0F4">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扣 款</w:t>
            </w:r>
          </w:p>
        </w:tc>
        <w:tc>
          <w:tcPr>
            <w:tcW w:w="1935" w:type="dxa"/>
            <w:vAlign w:val="center"/>
          </w:tcPr>
          <w:p w14:paraId="4DFE86D5">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0.10＜x≤0.15</w:t>
            </w:r>
          </w:p>
        </w:tc>
        <w:tc>
          <w:tcPr>
            <w:tcW w:w="3105" w:type="dxa"/>
            <w:vAlign w:val="center"/>
          </w:tcPr>
          <w:p w14:paraId="5F0B73A1">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每低于要求0.1扣款50元/吨。</w:t>
            </w:r>
          </w:p>
        </w:tc>
      </w:tr>
      <w:tr w14:paraId="6ACB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1" w:type="dxa"/>
            <w:vMerge w:val="continue"/>
            <w:vAlign w:val="center"/>
          </w:tcPr>
          <w:p w14:paraId="2C4C5240">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1524" w:type="dxa"/>
            <w:vMerge w:val="continue"/>
            <w:vAlign w:val="top"/>
          </w:tcPr>
          <w:p w14:paraId="7B4DC9B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10"/>
                <w:sz w:val="21"/>
                <w:szCs w:val="21"/>
              </w:rPr>
            </w:pPr>
          </w:p>
        </w:tc>
        <w:tc>
          <w:tcPr>
            <w:tcW w:w="1155" w:type="dxa"/>
            <w:vMerge w:val="continue"/>
            <w:vAlign w:val="top"/>
          </w:tcPr>
          <w:p w14:paraId="395B26D6">
            <w:pPr>
              <w:spacing w:line="360" w:lineRule="auto"/>
              <w:jc w:val="center"/>
              <w:rPr>
                <w:rFonts w:hint="eastAsia" w:ascii="宋体" w:hAnsi="宋体" w:eastAsia="宋体" w:cs="宋体"/>
                <w:kern w:val="10"/>
                <w:sz w:val="21"/>
                <w:szCs w:val="21"/>
              </w:rPr>
            </w:pPr>
          </w:p>
        </w:tc>
        <w:tc>
          <w:tcPr>
            <w:tcW w:w="1425" w:type="dxa"/>
            <w:vAlign w:val="center"/>
          </w:tcPr>
          <w:p w14:paraId="2471348A">
            <w:pPr>
              <w:keepNext w:val="0"/>
              <w:keepLines w:val="0"/>
              <w:widowControl/>
              <w:suppressLineNumbers w:val="0"/>
              <w:jc w:val="both"/>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935" w:type="dxa"/>
            <w:vAlign w:val="center"/>
          </w:tcPr>
          <w:p w14:paraId="6BB7D3F5">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＞0.15</w:t>
            </w:r>
          </w:p>
        </w:tc>
        <w:tc>
          <w:tcPr>
            <w:tcW w:w="3105" w:type="dxa"/>
            <w:vAlign w:val="center"/>
          </w:tcPr>
          <w:p w14:paraId="5472717D">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r>
      <w:tr w14:paraId="7354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1" w:type="dxa"/>
            <w:vAlign w:val="center"/>
          </w:tcPr>
          <w:p w14:paraId="67BC28EA">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6</w:t>
            </w:r>
          </w:p>
        </w:tc>
        <w:tc>
          <w:tcPr>
            <w:tcW w:w="1524" w:type="dxa"/>
            <w:vAlign w:val="top"/>
          </w:tcPr>
          <w:p w14:paraId="2023704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堆积密度</w:t>
            </w:r>
          </w:p>
        </w:tc>
        <w:tc>
          <w:tcPr>
            <w:tcW w:w="1155" w:type="dxa"/>
            <w:vAlign w:val="top"/>
          </w:tcPr>
          <w:p w14:paraId="64E8F2B6">
            <w:pPr>
              <w:spacing w:line="360" w:lineRule="auto"/>
              <w:jc w:val="both"/>
              <w:rPr>
                <w:rFonts w:hint="eastAsia" w:ascii="宋体" w:hAnsi="宋体" w:eastAsia="宋体" w:cs="宋体"/>
                <w:kern w:val="10"/>
                <w:sz w:val="21"/>
                <w:szCs w:val="21"/>
                <w:lang w:val="en-US" w:eastAsia="zh-CN"/>
              </w:rPr>
            </w:pPr>
            <w:r>
              <w:rPr>
                <w:rFonts w:hint="eastAsia" w:ascii="宋体" w:hAnsi="宋体" w:eastAsia="宋体" w:cs="宋体"/>
                <w:color w:val="auto"/>
                <w:kern w:val="10"/>
                <w:sz w:val="21"/>
                <w:szCs w:val="21"/>
                <w:highlight w:val="none"/>
                <w:vertAlign w:val="baseline"/>
                <w:lang w:val="en-US" w:eastAsia="zh-CN"/>
              </w:rPr>
              <w:t xml:space="preserve"> ≥0.9</w:t>
            </w:r>
          </w:p>
        </w:tc>
        <w:tc>
          <w:tcPr>
            <w:tcW w:w="1425" w:type="dxa"/>
            <w:vAlign w:val="center"/>
          </w:tcPr>
          <w:p w14:paraId="610EFE2A">
            <w:pPr>
              <w:keepNext w:val="0"/>
              <w:keepLines w:val="0"/>
              <w:widowControl/>
              <w:suppressLineNumbers w:val="0"/>
              <w:jc w:val="both"/>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935" w:type="dxa"/>
            <w:vAlign w:val="center"/>
          </w:tcPr>
          <w:p w14:paraId="4BF8B5A8">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＜0.9</w:t>
            </w:r>
          </w:p>
        </w:tc>
        <w:tc>
          <w:tcPr>
            <w:tcW w:w="3105" w:type="dxa"/>
            <w:vAlign w:val="center"/>
          </w:tcPr>
          <w:p w14:paraId="3C5733F8">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bidi="ar-SA"/>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r>
      <w:tr w14:paraId="64FC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1" w:type="dxa"/>
            <w:vAlign w:val="center"/>
          </w:tcPr>
          <w:p w14:paraId="1C44F621">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7</w:t>
            </w:r>
          </w:p>
        </w:tc>
        <w:tc>
          <w:tcPr>
            <w:tcW w:w="1524" w:type="dxa"/>
            <w:vAlign w:val="top"/>
          </w:tcPr>
          <w:p w14:paraId="63388D6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外观质理</w:t>
            </w:r>
          </w:p>
        </w:tc>
        <w:tc>
          <w:tcPr>
            <w:tcW w:w="1155" w:type="dxa"/>
            <w:vAlign w:val="center"/>
          </w:tcPr>
          <w:p w14:paraId="00D5EC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10"/>
                <w:sz w:val="21"/>
                <w:szCs w:val="21"/>
                <w:lang w:val="en-US" w:eastAsia="zh-CN"/>
              </w:rPr>
            </w:pPr>
            <w:r>
              <w:rPr>
                <w:rFonts w:hint="eastAsia" w:ascii="宋体" w:hAnsi="宋体" w:eastAsia="宋体" w:cs="宋体"/>
                <w:kern w:val="10"/>
                <w:sz w:val="21"/>
                <w:szCs w:val="21"/>
                <w:lang w:val="en-US" w:eastAsia="zh-CN"/>
              </w:rPr>
              <w:t>不得有杂物</w:t>
            </w:r>
          </w:p>
        </w:tc>
        <w:tc>
          <w:tcPr>
            <w:tcW w:w="1425" w:type="dxa"/>
            <w:vAlign w:val="center"/>
          </w:tcPr>
          <w:p w14:paraId="23F5325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10"/>
                <w:sz w:val="21"/>
                <w:szCs w:val="21"/>
                <w:lang w:val="en-US" w:eastAsia="zh-CN"/>
              </w:rPr>
            </w:pPr>
            <w:r>
              <w:rPr>
                <w:rFonts w:hint="eastAsia" w:ascii="宋体" w:hAnsi="宋体" w:eastAsia="宋体" w:cs="宋体"/>
                <w:kern w:val="10"/>
                <w:sz w:val="21"/>
                <w:szCs w:val="21"/>
                <w:lang w:val="en-US" w:eastAsia="zh-CN"/>
              </w:rPr>
              <w:t>退货处理</w:t>
            </w:r>
          </w:p>
        </w:tc>
        <w:tc>
          <w:tcPr>
            <w:tcW w:w="1935" w:type="dxa"/>
            <w:vAlign w:val="center"/>
          </w:tcPr>
          <w:p w14:paraId="1517D67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kern w:val="10"/>
                <w:sz w:val="21"/>
                <w:szCs w:val="21"/>
                <w:lang w:val="en-US" w:eastAsia="zh-CN"/>
              </w:rPr>
            </w:pPr>
            <w:r>
              <w:rPr>
                <w:rFonts w:hint="eastAsia" w:ascii="宋体" w:hAnsi="宋体" w:eastAsia="宋体" w:cs="宋体"/>
                <w:kern w:val="10"/>
                <w:sz w:val="21"/>
                <w:szCs w:val="21"/>
                <w:lang w:val="en-US" w:eastAsia="zh-CN"/>
              </w:rPr>
              <w:t>含有杂物</w:t>
            </w:r>
          </w:p>
        </w:tc>
        <w:tc>
          <w:tcPr>
            <w:tcW w:w="3105" w:type="dxa"/>
            <w:vAlign w:val="center"/>
          </w:tcPr>
          <w:p w14:paraId="3282D6C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10"/>
                <w:sz w:val="21"/>
                <w:szCs w:val="21"/>
                <w:lang w:val="en-US" w:eastAsia="zh-CN"/>
              </w:rPr>
            </w:pPr>
            <w:r>
              <w:rPr>
                <w:rFonts w:hint="eastAsia" w:ascii="宋体" w:hAnsi="宋体" w:eastAsia="宋体" w:cs="宋体"/>
                <w:kern w:val="10"/>
                <w:sz w:val="21"/>
                <w:szCs w:val="21"/>
                <w:lang w:val="en-US" w:eastAsia="zh-CN"/>
              </w:rPr>
              <w:t>退货处理，七日内不及时运走的，将由我公司自行处理。</w:t>
            </w:r>
          </w:p>
        </w:tc>
      </w:tr>
    </w:tbl>
    <w:p w14:paraId="595A9B56">
      <w:pPr>
        <w:spacing w:before="156" w:beforeLines="50" w:after="156" w:afterLines="50" w:line="360" w:lineRule="auto"/>
        <w:outlineLvl w:val="1"/>
        <w:rPr>
          <w:rFonts w:hint="eastAsia" w:ascii="宋体" w:hAnsi="宋体" w:eastAsia="宋体" w:cs="Times New Roman"/>
          <w:b/>
          <w:color w:val="auto"/>
          <w:kern w:val="10"/>
          <w:sz w:val="24"/>
          <w:highlight w:val="none"/>
          <w:lang w:val="en-US" w:eastAsia="zh-CN"/>
        </w:rPr>
      </w:pPr>
      <w:bookmarkStart w:id="12" w:name="_Toc7893"/>
      <w:r>
        <w:rPr>
          <w:rFonts w:hint="eastAsia" w:ascii="宋体" w:hAnsi="宋体" w:cs="Times New Roman"/>
          <w:b/>
          <w:color w:val="auto"/>
          <w:kern w:val="10"/>
          <w:sz w:val="24"/>
          <w:highlight w:val="none"/>
          <w:lang w:val="en-US" w:eastAsia="zh-CN"/>
        </w:rPr>
        <w:t>6</w:t>
      </w:r>
      <w:r>
        <w:rPr>
          <w:rFonts w:hint="eastAsia" w:ascii="宋体" w:hAnsi="宋体" w:eastAsia="宋体" w:cs="Times New Roman"/>
          <w:b/>
          <w:color w:val="auto"/>
          <w:kern w:val="10"/>
          <w:sz w:val="24"/>
          <w:highlight w:val="none"/>
          <w:lang w:val="en-US" w:eastAsia="zh-CN"/>
        </w:rPr>
        <w:t xml:space="preserve"> 封存试样的保存期限</w:t>
      </w:r>
      <w:bookmarkEnd w:id="12"/>
    </w:p>
    <w:p w14:paraId="03402AA5">
      <w:pPr>
        <w:spacing w:before="156" w:beforeLines="50" w:after="156" w:afterLines="50" w:line="360" w:lineRule="auto"/>
        <w:ind w:firstLine="480" w:firstLineChars="200"/>
        <w:jc w:val="both"/>
        <w:outlineLvl w:val="9"/>
        <w:rPr>
          <w:rFonts w:hint="eastAsia"/>
          <w:b w:val="0"/>
          <w:bCs/>
          <w:color w:val="auto"/>
          <w:kern w:val="10"/>
          <w:sz w:val="24"/>
          <w:highlight w:val="none"/>
          <w:lang w:val="en-US" w:eastAsia="zh-CN"/>
        </w:rPr>
      </w:pPr>
      <w:r>
        <w:rPr>
          <w:rFonts w:hint="eastAsia"/>
          <w:b w:val="0"/>
          <w:bCs/>
          <w:color w:val="auto"/>
          <w:kern w:val="10"/>
          <w:sz w:val="24"/>
          <w:highlight w:val="none"/>
          <w:lang w:val="en-US" w:eastAsia="zh-CN"/>
        </w:rPr>
        <w:t>工业碳酸钠封存试样保存期限为6个月。</w:t>
      </w:r>
    </w:p>
    <w:p w14:paraId="1E9AAF98">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25FF1"/>
    <w:rsid w:val="1CA01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paragraph" w:customStyle="1" w:styleId="7">
    <w:name w:val="Default"/>
    <w:basedOn w:val="8"/>
    <w:unhideWhenUsed/>
    <w:qFormat/>
    <w:uiPriority w:val="99"/>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 w:type="paragraph" w:customStyle="1" w:styleId="8">
    <w:name w:val="纯文本1"/>
    <w:basedOn w:val="1"/>
    <w:autoRedefine/>
    <w:qFormat/>
    <w:uiPriority w:val="0"/>
    <w:pPr>
      <w:suppressAutoHyphens/>
    </w:pPr>
    <w:rPr>
      <w:rFonts w:ascii="宋体" w:hAnsi="宋体" w:eastAsia="宋体" w:cs="Courier New"/>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2025-04-25T07:21:17Z</dcterms:created>
  <dc:creator>Administrator</dc:creator>
  <cp:lastModifiedBy>Lan</cp:lastModifiedBy>
  <dcterms:modified xsi:type="dcterms:W3CDTF">2025-04-25T07:22:15Z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eyJoZGlkIjoiZTNhYTIxNDFiMzFjM2ZhMDg5NTk0NmEzYjUyYmMyOGMiLCJ1c2VySWQiOiIxMDE0MjMzODg0In0=</vt:lpwstr>
  </property>
  <property fmtid="{D5CDD505-2E9C-101B-9397-08002B2CF9AE}" pid="4" name="ICV">
    <vt:lpwstr>E0AE16B5916B4820A5F6075A823284AF_12</vt:lpwstr>
  </property>
</Properties>
</file>