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936" w:beforeLines="300" w:after="312" w:afterLines="100" w:line="480" w:lineRule="auto"/>
        <w:ind w:left="630" w:leftChars="300" w:right="210" w:rightChars="100"/>
        <w:jc w:val="center"/>
        <w:textAlignment w:val="auto"/>
        <w:rPr>
          <w:rFonts w:hint="eastAsia"/>
        </w:rPr>
      </w:pPr>
      <w:r>
        <w:rPr>
          <w:rFonts w:hint="eastAsia"/>
          <w:lang w:eastAsia="zh-CN"/>
        </w:rPr>
        <w:t>沥青</w:t>
      </w:r>
      <w:r>
        <w:rPr>
          <w:rFonts w:hint="eastAsia"/>
        </w:rPr>
        <w:t>采购</w:t>
      </w:r>
      <w:r>
        <w:rPr>
          <w:rFonts w:hint="eastAsia"/>
          <w:lang w:eastAsia="zh-CN"/>
        </w:rPr>
        <w:t>合同</w:t>
      </w:r>
    </w:p>
    <w:p>
      <w:pPr>
        <w:keepNext w:val="0"/>
        <w:keepLines w:val="0"/>
        <w:pageBreakBefore w:val="0"/>
        <w:kinsoku/>
        <w:wordWrap/>
        <w:overflowPunct/>
        <w:topLinePunct w:val="0"/>
        <w:autoSpaceDE w:val="0"/>
        <w:autoSpaceDN w:val="0"/>
        <w:bidi w:val="0"/>
        <w:adjustRightInd w:val="0"/>
        <w:snapToGrid w:val="0"/>
        <w:spacing w:before="156" w:beforeLines="50" w:beforeAutospacing="0" w:after="156" w:afterLines="50" w:afterAutospacing="0" w:line="360" w:lineRule="auto"/>
        <w:ind w:right="420" w:rightChars="200"/>
        <w:rPr>
          <w:rFonts w:hint="eastAsia" w:ascii="宋体" w:hAnsi="宋体" w:eastAsia="宋体" w:cs="宋体"/>
          <w:b/>
          <w:bCs/>
          <w:color w:val="000000"/>
          <w:sz w:val="72"/>
          <w:szCs w:val="72"/>
          <w:highlight w:val="none"/>
        </w:rPr>
      </w:pPr>
    </w:p>
    <w:p>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jc w:val="both"/>
        <w:rPr>
          <w:rFonts w:hint="eastAsia" w:ascii="宋体" w:hAnsi="宋体" w:eastAsia="宋体" w:cs="宋体"/>
          <w:spacing w:val="84"/>
          <w:sz w:val="32"/>
          <w:szCs w:val="32"/>
          <w:highlight w:val="none"/>
        </w:rPr>
      </w:pPr>
    </w:p>
    <w:p>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ascii="宋体" w:hAnsi="宋体" w:eastAsia="宋体" w:cs="宋体"/>
          <w:spacing w:val="84"/>
          <w:sz w:val="32"/>
          <w:szCs w:val="32"/>
          <w:highlight w:val="none"/>
        </w:rPr>
      </w:pPr>
    </w:p>
    <w:p>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ascii="宋体" w:hAnsi="宋体" w:eastAsia="宋体" w:cs="宋体"/>
          <w:spacing w:val="84"/>
          <w:sz w:val="32"/>
          <w:szCs w:val="32"/>
          <w:highlight w:val="none"/>
        </w:rPr>
      </w:pPr>
    </w:p>
    <w:p>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ascii="宋体" w:hAnsi="宋体" w:eastAsia="宋体" w:cs="宋体"/>
          <w:sz w:val="32"/>
          <w:szCs w:val="32"/>
          <w:highlight w:val="none"/>
          <w:u w:val="single"/>
          <w:lang w:val="en-US"/>
        </w:rPr>
      </w:pPr>
      <w:r>
        <w:rPr>
          <w:rFonts w:hint="eastAsia" w:ascii="宋体" w:hAnsi="宋体" w:eastAsia="宋体" w:cs="宋体"/>
          <w:spacing w:val="84"/>
          <w:sz w:val="32"/>
          <w:szCs w:val="32"/>
          <w:highlight w:val="none"/>
        </w:rPr>
        <w:t>项目名称</w:t>
      </w:r>
      <w:r>
        <w:rPr>
          <w:rFonts w:hint="eastAsia" w:ascii="宋体" w:hAnsi="宋体" w:eastAsia="宋体" w:cs="宋体"/>
          <w:sz w:val="32"/>
          <w:szCs w:val="32"/>
          <w:highlight w:val="none"/>
        </w:rPr>
        <w:t>:</w:t>
      </w:r>
      <w:r>
        <w:rPr>
          <w:rFonts w:hint="eastAsia" w:hAnsi="宋体" w:cs="宋体"/>
          <w:b/>
          <w:bCs/>
          <w:color w:val="auto"/>
          <w:sz w:val="32"/>
          <w:szCs w:val="32"/>
        </w:rPr>
        <w:t>【键入内容】</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ascii="宋体" w:hAnsi="宋体" w:eastAsia="宋体" w:cs="宋体"/>
          <w:sz w:val="32"/>
          <w:szCs w:val="32"/>
          <w:highlight w:val="none"/>
          <w:u w:val="single"/>
        </w:rPr>
      </w:pPr>
      <w:r>
        <w:rPr>
          <w:rFonts w:hint="eastAsia" w:ascii="宋体" w:hAnsi="宋体" w:eastAsia="宋体" w:cs="宋体"/>
          <w:spacing w:val="84"/>
          <w:sz w:val="32"/>
          <w:szCs w:val="32"/>
          <w:highlight w:val="none"/>
        </w:rPr>
        <w:t>合同编号</w:t>
      </w:r>
      <w:r>
        <w:rPr>
          <w:rFonts w:hint="eastAsia" w:ascii="宋体" w:hAnsi="宋体" w:eastAsia="宋体" w:cs="宋体"/>
          <w:sz w:val="32"/>
          <w:szCs w:val="32"/>
          <w:highlight w:val="none"/>
        </w:rPr>
        <w:t>:</w:t>
      </w:r>
      <w:r>
        <w:rPr>
          <w:rFonts w:hint="eastAsia" w:hAnsi="宋体" w:cs="宋体"/>
          <w:b/>
          <w:bCs/>
          <w:color w:val="auto"/>
          <w:sz w:val="32"/>
          <w:szCs w:val="32"/>
        </w:rPr>
        <w:t>【键入内容】</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hAnsi="宋体" w:cs="宋体"/>
          <w:b/>
          <w:bCs/>
          <w:color w:val="auto"/>
          <w:sz w:val="32"/>
          <w:szCs w:val="32"/>
        </w:rPr>
      </w:pPr>
      <w:r>
        <w:rPr>
          <w:rFonts w:hint="eastAsia" w:ascii="宋体" w:hAnsi="宋体" w:eastAsia="宋体" w:cs="宋体"/>
          <w:spacing w:val="84"/>
          <w:sz w:val="32"/>
          <w:szCs w:val="32"/>
          <w:highlight w:val="none"/>
        </w:rPr>
        <w:t>签订地点</w:t>
      </w:r>
      <w:r>
        <w:rPr>
          <w:rFonts w:hint="eastAsia" w:ascii="宋体" w:hAnsi="宋体" w:eastAsia="宋体" w:cs="宋体"/>
          <w:sz w:val="32"/>
          <w:szCs w:val="32"/>
          <w:highlight w:val="none"/>
        </w:rPr>
        <w:t>:</w:t>
      </w:r>
      <w:r>
        <w:rPr>
          <w:rFonts w:hint="eastAsia" w:hAnsi="宋体" w:cs="宋体"/>
          <w:b/>
          <w:bCs/>
          <w:color w:val="auto"/>
          <w:sz w:val="32"/>
          <w:szCs w:val="32"/>
        </w:rPr>
        <w:t>【键入内容】</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jc w:val="center"/>
        <w:rPr>
          <w:rFonts w:hint="eastAsia" w:hAnsi="宋体" w:cs="宋体"/>
          <w:b/>
          <w:bCs/>
          <w:color w:val="auto"/>
          <w:sz w:val="32"/>
          <w:szCs w:val="32"/>
        </w:rPr>
      </w:pPr>
      <w:r>
        <w:rPr>
          <w:rFonts w:hint="eastAsia" w:ascii="宋体" w:hAnsi="宋体" w:eastAsia="宋体" w:cs="宋体"/>
          <w:spacing w:val="84"/>
          <w:sz w:val="32"/>
          <w:szCs w:val="32"/>
          <w:highlight w:val="none"/>
        </w:rPr>
        <w:t>签订时间</w:t>
      </w:r>
      <w:r>
        <w:rPr>
          <w:rFonts w:hint="eastAsia" w:ascii="宋体" w:hAnsi="宋体" w:eastAsia="宋体" w:cs="宋体"/>
          <w:sz w:val="32"/>
          <w:szCs w:val="32"/>
          <w:highlight w:val="none"/>
        </w:rPr>
        <w:t>:</w:t>
      </w:r>
      <w:r>
        <w:rPr>
          <w:rFonts w:hint="eastAsia" w:hAnsi="宋体" w:cs="宋体"/>
          <w:b/>
          <w:bCs/>
          <w:color w:val="auto"/>
          <w:sz w:val="32"/>
          <w:szCs w:val="32"/>
        </w:rPr>
        <w:t>【键入内容】</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3" w:firstLineChars="200"/>
        <w:jc w:val="center"/>
        <w:rPr>
          <w:rFonts w:hint="eastAsia" w:hAnsi="宋体" w:cs="宋体"/>
          <w:b/>
          <w:bCs/>
          <w:color w:val="auto"/>
          <w:sz w:val="32"/>
          <w:szCs w:val="32"/>
        </w:rPr>
      </w:pP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3" w:firstLineChars="200"/>
        <w:jc w:val="center"/>
        <w:rPr>
          <w:rFonts w:hint="eastAsia" w:hAnsi="宋体" w:cs="宋体"/>
          <w:b/>
          <w:bCs/>
          <w:color w:val="auto"/>
          <w:sz w:val="32"/>
          <w:szCs w:val="32"/>
        </w:rPr>
      </w:pP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3" w:firstLineChars="200"/>
        <w:jc w:val="center"/>
        <w:rPr>
          <w:rFonts w:hint="eastAsia" w:hAnsi="宋体" w:cs="宋体"/>
          <w:b/>
          <w:bCs/>
          <w:color w:val="auto"/>
          <w:sz w:val="32"/>
          <w:szCs w:val="32"/>
        </w:rPr>
      </w:pP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3" w:firstLineChars="200"/>
        <w:jc w:val="center"/>
        <w:rPr>
          <w:rFonts w:hint="eastAsia" w:hAnsi="宋体" w:cs="宋体"/>
          <w:b/>
          <w:bCs/>
          <w:color w:val="auto"/>
          <w:sz w:val="32"/>
          <w:szCs w:val="32"/>
        </w:rPr>
      </w:pPr>
    </w:p>
    <w:p>
      <w:pPr>
        <w:keepNext w:val="0"/>
        <w:keepLines w:val="0"/>
        <w:pageBreakBefore w:val="0"/>
        <w:kinsoku/>
        <w:wordWrap/>
        <w:overflowPunct/>
        <w:topLinePunct w:val="0"/>
        <w:bidi w:val="0"/>
        <w:snapToGrid w:val="0"/>
        <w:spacing w:before="156" w:beforeLines="50" w:beforeAutospacing="0" w:after="156" w:afterLines="50" w:afterAutospacing="0" w:line="360" w:lineRule="auto"/>
        <w:jc w:val="both"/>
        <w:rPr>
          <w:rFonts w:hint="eastAsia" w:hAnsi="宋体" w:cs="宋体"/>
          <w:b/>
          <w:bCs/>
          <w:color w:val="auto"/>
          <w:sz w:val="32"/>
          <w:szCs w:val="32"/>
        </w:rPr>
      </w:pP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720" w:firstLineChars="200"/>
        <w:jc w:val="center"/>
        <w:rPr>
          <w:rFonts w:hint="eastAsia" w:ascii="宋体" w:hAnsi="宋体" w:eastAsia="宋体" w:cs="宋体"/>
          <w:sz w:val="36"/>
          <w:szCs w:val="36"/>
          <w:lang w:eastAsia="zh-CN"/>
        </w:rPr>
      </w:pP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720" w:firstLineChars="200"/>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沥青采购合同</w:t>
      </w:r>
    </w:p>
    <w:p>
      <w:pPr>
        <w:keepNext w:val="0"/>
        <w:keepLines w:val="0"/>
        <w:pageBreakBefore w:val="0"/>
        <w:kinsoku/>
        <w:wordWrap/>
        <w:overflowPunct/>
        <w:topLinePunct w:val="0"/>
        <w:bidi w:val="0"/>
        <w:spacing w:line="360" w:lineRule="auto"/>
        <w:ind w:firstLine="0" w:firstLineChars="0"/>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买方（买方）：</w:t>
      </w:r>
      <w:r>
        <w:rPr>
          <w:rFonts w:hint="eastAsia" w:ascii="宋体" w:hAnsi="宋体" w:cs="宋体"/>
          <w:b/>
          <w:sz w:val="24"/>
        </w:rPr>
        <w:t>【键入内容】</w:t>
      </w:r>
    </w:p>
    <w:p>
      <w:pPr>
        <w:pStyle w:val="2"/>
        <w:keepNext w:val="0"/>
        <w:keepLines w:val="0"/>
        <w:pageBreakBefore w:val="0"/>
        <w:kinsoku/>
        <w:wordWrap/>
        <w:overflowPunct/>
        <w:topLinePunct w:val="0"/>
        <w:bidi w:val="0"/>
        <w:spacing w:line="360" w:lineRule="auto"/>
        <w:rPr>
          <w:rFonts w:hint="eastAsia" w:ascii="宋体" w:hAnsi="宋体" w:eastAsia="宋体" w:cs="宋体"/>
          <w:lang w:val="en-US" w:eastAsia="zh-CN"/>
        </w:rPr>
      </w:pPr>
      <w:r>
        <w:rPr>
          <w:rFonts w:hint="eastAsia" w:ascii="宋体" w:hAnsi="宋体" w:eastAsia="宋体" w:cs="宋体"/>
          <w:color w:val="auto"/>
          <w:kern w:val="2"/>
          <w:sz w:val="24"/>
          <w:szCs w:val="24"/>
          <w:lang w:val="en-US" w:eastAsia="zh-CN" w:bidi="ar-SA"/>
        </w:rPr>
        <w:t>统一社会信用代码：</w:t>
      </w:r>
      <w:r>
        <w:rPr>
          <w:rFonts w:hint="eastAsia" w:ascii="宋体" w:hAnsi="宋体" w:cs="宋体"/>
          <w:b/>
          <w:sz w:val="24"/>
        </w:rPr>
        <w:t>【键入内容】</w:t>
      </w:r>
    </w:p>
    <w:p>
      <w:pPr>
        <w:keepNext w:val="0"/>
        <w:keepLines w:val="0"/>
        <w:pageBreakBefore w:val="0"/>
        <w:kinsoku/>
        <w:wordWrap/>
        <w:overflowPunct/>
        <w:topLinePunct w:val="0"/>
        <w:bidi w:val="0"/>
        <w:spacing w:line="360" w:lineRule="auto"/>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卖</w:t>
      </w:r>
      <w:r>
        <w:rPr>
          <w:rFonts w:hint="eastAsia" w:ascii="宋体" w:hAnsi="宋体" w:eastAsia="宋体" w:cs="宋体"/>
          <w:sz w:val="24"/>
          <w:szCs w:val="24"/>
          <w:lang w:eastAsia="zh-CN"/>
        </w:rPr>
        <w:t>方（卖方）：</w:t>
      </w:r>
      <w:r>
        <w:rPr>
          <w:rFonts w:hint="eastAsia" w:ascii="宋体" w:hAnsi="宋体" w:cs="宋体"/>
          <w:b/>
          <w:sz w:val="24"/>
        </w:rPr>
        <w:t>【键入内容】</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统一社会信用代码：</w:t>
      </w:r>
      <w:r>
        <w:rPr>
          <w:rFonts w:hint="eastAsia" w:ascii="宋体" w:hAnsi="宋体" w:cs="宋体"/>
          <w:b/>
          <w:sz w:val="24"/>
        </w:rPr>
        <w:t>【键入内容】</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为明确买卖双方权利、义务和责任，根据《中华人民共和国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》及相关法律法规的规定，</w:t>
      </w:r>
      <w:r>
        <w:rPr>
          <w:rFonts w:hint="eastAsia" w:ascii="宋体" w:hAnsi="宋体" w:eastAsia="宋体" w:cs="宋体"/>
          <w:color w:val="auto"/>
          <w:sz w:val="24"/>
          <w:szCs w:val="24"/>
          <w:lang w:val="en-US" w:eastAsia="zh-CN"/>
        </w:rPr>
        <w:t>本着自愿公平、诚实信用原则，</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买卖</w:t>
      </w:r>
      <w:r>
        <w:rPr>
          <w:rFonts w:hint="eastAsia" w:ascii="宋体" w:hAnsi="宋体" w:eastAsia="宋体" w:cs="宋体"/>
          <w:color w:val="auto"/>
          <w:sz w:val="24"/>
          <w:szCs w:val="24"/>
          <w:lang w:val="en-US" w:eastAsia="zh-CN"/>
        </w:rPr>
        <w:t>事宜，</w:t>
      </w:r>
      <w:r>
        <w:rPr>
          <w:rFonts w:hint="eastAsia" w:ascii="宋体" w:hAnsi="宋体" w:eastAsia="宋体" w:cs="宋体"/>
          <w:color w:val="auto"/>
          <w:sz w:val="24"/>
          <w:szCs w:val="24"/>
        </w:rPr>
        <w:t>经双方</w:t>
      </w:r>
      <w:r>
        <w:rPr>
          <w:rFonts w:hint="eastAsia" w:ascii="宋体" w:hAnsi="宋体" w:eastAsia="宋体" w:cs="宋体"/>
          <w:color w:val="auto"/>
          <w:sz w:val="24"/>
          <w:szCs w:val="24"/>
          <w:lang w:val="en-US" w:eastAsia="zh-CN"/>
        </w:rPr>
        <w:t>充分、</w:t>
      </w:r>
      <w:r>
        <w:rPr>
          <w:rFonts w:hint="eastAsia" w:ascii="宋体" w:hAnsi="宋体" w:eastAsia="宋体" w:cs="宋体"/>
          <w:color w:val="auto"/>
          <w:sz w:val="24"/>
          <w:szCs w:val="24"/>
        </w:rPr>
        <w:t>友好协商，</w:t>
      </w:r>
      <w:r>
        <w:rPr>
          <w:rFonts w:hint="eastAsia" w:ascii="宋体" w:hAnsi="宋体" w:eastAsia="宋体" w:cs="宋体"/>
          <w:color w:val="auto"/>
          <w:sz w:val="24"/>
          <w:szCs w:val="24"/>
          <w:lang w:eastAsia="zh-CN"/>
        </w:rPr>
        <w:t>特订立本合同，双方共同遵守。</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沥青技术指标</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1.1货物名称：</w:t>
      </w:r>
      <w:r>
        <w:rPr>
          <w:rFonts w:hint="eastAsia" w:ascii="宋体" w:hAnsi="宋体" w:cs="宋体"/>
          <w:b/>
          <w:sz w:val="24"/>
        </w:rPr>
        <w:t>【键入内容】</w:t>
      </w:r>
      <w:r>
        <w:rPr>
          <w:rFonts w:hint="eastAsia" w:ascii="宋体" w:hAnsi="宋体" w:eastAsia="宋体" w:cs="宋体"/>
          <w:color w:val="auto"/>
          <w:sz w:val="24"/>
          <w:szCs w:val="24"/>
          <w:lang w:val="en-US" w:eastAsia="zh-CN"/>
        </w:rPr>
        <w:t>改质沥青</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质量指标要求：</w:t>
      </w:r>
    </w:p>
    <w:tbl>
      <w:tblPr>
        <w:tblStyle w:val="14"/>
        <w:tblpPr w:leftFromText="180" w:rightFromText="180" w:vertAnchor="text" w:horzAnchor="page" w:tblpXSpec="center" w:tblpY="263"/>
        <w:tblOverlap w:val="never"/>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642"/>
        <w:gridCol w:w="1172"/>
        <w:gridCol w:w="11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restart"/>
            <w:tcBorders>
              <w:bottom w:val="nil"/>
            </w:tcBorders>
            <w:vAlign w:val="top"/>
          </w:tcPr>
          <w:p>
            <w:pPr>
              <w:spacing w:line="249" w:lineRule="auto"/>
              <w:ind w:left="210" w:leftChars="100"/>
              <w:rPr>
                <w:rFonts w:ascii="Arial"/>
                <w:b/>
                <w:bCs/>
                <w:sz w:val="21"/>
                <w:szCs w:val="21"/>
              </w:rPr>
            </w:pPr>
          </w:p>
          <w:p>
            <w:pPr>
              <w:spacing w:line="249" w:lineRule="auto"/>
              <w:ind w:left="210" w:leftChars="100"/>
              <w:rPr>
                <w:rFonts w:ascii="Arial"/>
                <w:b/>
                <w:bCs/>
                <w:sz w:val="21"/>
                <w:szCs w:val="21"/>
              </w:rPr>
            </w:pPr>
          </w:p>
          <w:p>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0" w:type="auto"/>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continue"/>
            <w:tcBorders>
              <w:top w:val="nil"/>
              <w:bottom w:val="nil"/>
            </w:tcBorders>
            <w:vAlign w:val="top"/>
          </w:tcPr>
          <w:p>
            <w:pPr>
              <w:ind w:left="210" w:leftChars="100"/>
              <w:rPr>
                <w:rFonts w:ascii="Arial"/>
                <w:b/>
                <w:bCs/>
                <w:sz w:val="21"/>
                <w:szCs w:val="21"/>
              </w:rPr>
            </w:pPr>
          </w:p>
        </w:tc>
        <w:tc>
          <w:tcPr>
            <w:tcW w:w="0" w:type="auto"/>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continue"/>
            <w:tcBorders>
              <w:top w:val="nil"/>
            </w:tcBorders>
            <w:vAlign w:val="top"/>
          </w:tcPr>
          <w:p>
            <w:pPr>
              <w:ind w:left="210" w:leftChars="100"/>
              <w:rPr>
                <w:rFonts w:ascii="Arial"/>
                <w:b/>
                <w:bCs/>
                <w:sz w:val="21"/>
                <w:szCs w:val="21"/>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0" w:type="auto"/>
            <w:vAlign w:val="center"/>
          </w:tcPr>
          <w:p>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pacing w:val="-2"/>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数值修约比较按GB/T</w:t>
            </w:r>
            <w:r>
              <w:rPr>
                <w:rFonts w:hint="eastAsia" w:ascii="宋体" w:hAnsi="宋体" w:eastAsia="宋体" w:cs="宋体"/>
                <w:color w:val="auto"/>
                <w:sz w:val="21"/>
                <w:szCs w:val="21"/>
                <w:lang w:val="en-US" w:eastAsia="zh-CN"/>
              </w:rPr>
              <w:t xml:space="preserve"> 8170有关</w:t>
            </w:r>
            <w:r>
              <w:rPr>
                <w:rFonts w:hint="eastAsia" w:ascii="宋体" w:hAnsi="宋体" w:eastAsia="宋体" w:cs="宋体"/>
                <w:color w:val="auto"/>
                <w:sz w:val="21"/>
                <w:szCs w:val="21"/>
              </w:rPr>
              <w:t>规定进行，修约数位与表中所列极限数位一致</w:t>
            </w:r>
            <w:r>
              <w:rPr>
                <w:rFonts w:hint="eastAsia" w:ascii="宋体" w:hAnsi="宋体" w:eastAsia="宋体" w:cs="宋体"/>
                <w:color w:val="auto"/>
                <w:sz w:val="21"/>
                <w:szCs w:val="21"/>
                <w:lang w:eastAsia="zh-CN"/>
              </w:rPr>
              <w:t>。</w:t>
            </w:r>
          </w:p>
        </w:tc>
      </w:tr>
    </w:tbl>
    <w:p>
      <w:pPr>
        <w:keepNext w:val="0"/>
        <w:keepLines w:val="0"/>
        <w:pageBreakBefore w:val="0"/>
        <w:widowControl w:val="0"/>
        <w:kinsoku/>
        <w:wordWrap/>
        <w:overflowPunct/>
        <w:topLinePunct w:val="0"/>
        <w:bidi w:val="0"/>
        <w:snapToGrid/>
        <w:spacing w:beforeAutospacing="0" w:afterAutospacing="0"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2.数量及交货期限</w:t>
      </w:r>
    </w:p>
    <w:p>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总数量：</w:t>
      </w:r>
      <w:r>
        <w:rPr>
          <w:rFonts w:hint="eastAsia" w:ascii="宋体" w:hAnsi="宋体" w:cs="宋体"/>
          <w:b/>
          <w:sz w:val="24"/>
        </w:rPr>
        <w:t>【键入内容】</w:t>
      </w:r>
      <w:r>
        <w:rPr>
          <w:rFonts w:hint="eastAsia" w:ascii="宋体" w:hAnsi="宋体" w:eastAsia="宋体" w:cs="宋体"/>
          <w:color w:val="auto"/>
          <w:sz w:val="24"/>
          <w:szCs w:val="24"/>
        </w:rPr>
        <w:t>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浮动</w:t>
      </w:r>
      <w:r>
        <w:rPr>
          <w:rFonts w:hint="eastAsia" w:ascii="宋体" w:hAnsi="宋体" w:eastAsia="宋体" w:cs="宋体"/>
          <w:color w:val="auto"/>
          <w:sz w:val="24"/>
          <w:szCs w:val="24"/>
          <w:highlight w:val="none"/>
        </w:rPr>
        <w:t>±</w:t>
      </w:r>
      <w:r>
        <w:rPr>
          <w:rFonts w:hint="eastAsia" w:ascii="宋体" w:hAnsi="宋体" w:cs="宋体"/>
          <w:b/>
          <w:sz w:val="24"/>
        </w:rPr>
        <w:t>【键入内容】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2.2 交货期</w:t>
      </w:r>
      <w:r>
        <w:rPr>
          <w:rFonts w:hint="eastAsia" w:ascii="宋体" w:hAnsi="宋体" w:eastAsia="宋体" w:cs="宋体"/>
          <w:color w:val="auto"/>
          <w:sz w:val="24"/>
          <w:szCs w:val="24"/>
          <w:lang w:val="en-US" w:eastAsia="zh-CN"/>
        </w:rPr>
        <w:t>限</w:t>
      </w:r>
      <w:r>
        <w:rPr>
          <w:rFonts w:hint="eastAsia" w:ascii="宋体" w:hAnsi="宋体" w:eastAsia="宋体" w:cs="宋体"/>
          <w:color w:val="auto"/>
          <w:sz w:val="24"/>
          <w:szCs w:val="24"/>
        </w:rPr>
        <w:t>：</w:t>
      </w:r>
      <w:r>
        <w:rPr>
          <w:rFonts w:hint="eastAsia" w:ascii="宋体" w:hAnsi="宋体" w:cs="宋体"/>
          <w:b/>
          <w:sz w:val="24"/>
        </w:rPr>
        <w:t>【键入内容】</w:t>
      </w:r>
      <w:r>
        <w:rPr>
          <w:rFonts w:hint="eastAsia" w:ascii="宋体" w:hAnsi="宋体" w:eastAsia="宋体" w:cs="宋体"/>
          <w:color w:val="auto"/>
          <w:sz w:val="24"/>
          <w:szCs w:val="24"/>
          <w:lang w:val="en-US" w:eastAsia="zh-CN"/>
        </w:rPr>
        <w:t>年</w:t>
      </w:r>
      <w:r>
        <w:rPr>
          <w:rFonts w:hint="eastAsia" w:ascii="宋体" w:hAnsi="宋体" w:cs="宋体"/>
          <w:b/>
          <w:sz w:val="24"/>
        </w:rPr>
        <w:t>【键入内容】</w:t>
      </w:r>
      <w:r>
        <w:rPr>
          <w:rFonts w:hint="eastAsia" w:ascii="宋体" w:hAnsi="宋体" w:eastAsia="宋体" w:cs="宋体"/>
          <w:color w:val="auto"/>
          <w:sz w:val="24"/>
          <w:szCs w:val="24"/>
          <w:lang w:val="en-US" w:eastAsia="zh-CN"/>
        </w:rPr>
        <w:t>月</w:t>
      </w:r>
      <w:r>
        <w:rPr>
          <w:rFonts w:hint="eastAsia" w:ascii="宋体" w:hAnsi="宋体" w:cs="宋体"/>
          <w:b/>
          <w:sz w:val="24"/>
        </w:rPr>
        <w:t>【键入内容】</w:t>
      </w:r>
      <w:r>
        <w:rPr>
          <w:rFonts w:hint="eastAsia" w:ascii="宋体" w:hAnsi="宋体" w:eastAsia="宋体" w:cs="宋体"/>
          <w:color w:val="auto"/>
          <w:sz w:val="24"/>
          <w:szCs w:val="24"/>
          <w:lang w:val="en-US" w:eastAsia="zh-CN"/>
        </w:rPr>
        <w:t>日至</w:t>
      </w:r>
      <w:r>
        <w:rPr>
          <w:rFonts w:hint="eastAsia" w:ascii="宋体" w:hAnsi="宋体" w:cs="宋体"/>
          <w:b/>
          <w:sz w:val="24"/>
        </w:rPr>
        <w:t>【键入内容】</w:t>
      </w:r>
      <w:r>
        <w:rPr>
          <w:rFonts w:hint="eastAsia" w:ascii="宋体" w:hAnsi="宋体" w:eastAsia="宋体" w:cs="宋体"/>
          <w:color w:val="auto"/>
          <w:sz w:val="24"/>
          <w:szCs w:val="24"/>
          <w:lang w:val="en-US" w:eastAsia="zh-CN"/>
        </w:rPr>
        <w:t>年</w:t>
      </w:r>
      <w:r>
        <w:rPr>
          <w:rFonts w:hint="eastAsia" w:ascii="宋体" w:hAnsi="宋体" w:cs="宋体"/>
          <w:b/>
          <w:sz w:val="24"/>
        </w:rPr>
        <w:t>【键入内容】</w:t>
      </w:r>
      <w:r>
        <w:rPr>
          <w:rFonts w:hint="eastAsia" w:ascii="宋体" w:hAnsi="宋体" w:eastAsia="宋体" w:cs="宋体"/>
          <w:color w:val="auto"/>
          <w:sz w:val="24"/>
          <w:szCs w:val="24"/>
          <w:lang w:val="en-US" w:eastAsia="zh-CN"/>
        </w:rPr>
        <w:t>月</w:t>
      </w:r>
      <w:r>
        <w:rPr>
          <w:rFonts w:hint="eastAsia" w:ascii="宋体" w:hAnsi="宋体" w:cs="宋体"/>
          <w:b/>
          <w:sz w:val="24"/>
        </w:rPr>
        <w:t>【键入内容】</w:t>
      </w:r>
      <w:r>
        <w:rPr>
          <w:rFonts w:hint="eastAsia" w:ascii="宋体" w:hAnsi="宋体" w:eastAsia="宋体" w:cs="宋体"/>
          <w:color w:val="auto"/>
          <w:sz w:val="24"/>
          <w:szCs w:val="24"/>
          <w:lang w:val="en-US" w:eastAsia="zh-CN"/>
        </w:rPr>
        <w:t>日</w:t>
      </w:r>
    </w:p>
    <w:p>
      <w:pPr>
        <w:pStyle w:val="2"/>
        <w:keepNext w:val="0"/>
        <w:keepLines w:val="0"/>
        <w:pageBreakBefore w:val="0"/>
        <w:widowControl w:val="0"/>
        <w:kinsoku/>
        <w:wordWrap/>
        <w:overflowPunct/>
        <w:topLinePunct w:val="0"/>
        <w:bidi w:val="0"/>
        <w:snapToGrid/>
        <w:spacing w:beforeAutospacing="0" w:afterAutospacing="0" w:line="360" w:lineRule="auto"/>
        <w:ind w:firstLine="480" w:firstLineChars="200"/>
        <w:textAlignment w:val="auto"/>
        <w:rPr>
          <w:rFonts w:hint="eastAsia"/>
          <w:lang w:val="en-US" w:eastAsia="zh-CN"/>
        </w:rPr>
      </w:pPr>
      <w:r>
        <w:rPr>
          <w:rFonts w:hint="eastAsia" w:ascii="宋体" w:hAnsi="宋体" w:eastAsia="宋体" w:cs="宋体"/>
          <w:color w:val="auto"/>
          <w:sz w:val="24"/>
          <w:szCs w:val="24"/>
          <w:lang w:val="en-US" w:eastAsia="zh-CN"/>
        </w:rPr>
        <w:t>2.2.1交货时间表：</w:t>
      </w:r>
      <w:r>
        <w:rPr>
          <w:rFonts w:hint="eastAsia"/>
          <w:lang w:val="en-US" w:eastAsia="zh-CN"/>
        </w:rPr>
        <w:tab/>
      </w:r>
    </w:p>
    <w:tbl>
      <w:tblPr>
        <w:tblStyle w:val="9"/>
        <w:tblpPr w:leftFromText="180" w:rightFromText="180" w:vertAnchor="text" w:horzAnchor="page" w:tblpXSpec="center" w:tblpY="40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7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0" w:type="auto"/>
            <w:vAlign w:val="center"/>
          </w:tcPr>
          <w:p>
            <w:pPr>
              <w:pStyle w:val="12"/>
              <w:keepNext w:val="0"/>
              <w:keepLines w:val="0"/>
              <w:pageBreakBefore w:val="0"/>
              <w:kinsoku/>
              <w:wordWrap/>
              <w:overflowPunct/>
              <w:topLinePunct w:val="0"/>
              <w:bidi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供货时间</w:t>
            </w:r>
          </w:p>
        </w:tc>
        <w:tc>
          <w:tcPr>
            <w:tcW w:w="0" w:type="auto"/>
            <w:vAlign w:val="center"/>
          </w:tcPr>
          <w:p>
            <w:pPr>
              <w:pStyle w:val="12"/>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w:t>
            </w:r>
            <w:r>
              <w:rPr>
                <w:rFonts w:hint="eastAsia" w:ascii="宋体" w:hAnsi="宋体" w:cs="宋体"/>
                <w:b/>
                <w:sz w:val="24"/>
              </w:rPr>
              <w:t>【键入内容】</w:t>
            </w:r>
            <w:r>
              <w:rPr>
                <w:rFonts w:hint="eastAsia" w:ascii="宋体" w:hAnsi="宋体" w:eastAsia="宋体" w:cs="宋体"/>
                <w:color w:val="auto"/>
                <w:sz w:val="24"/>
                <w:szCs w:val="24"/>
                <w:lang w:val="en-US" w:eastAsia="zh-CN"/>
              </w:rPr>
              <w:t>年</w:t>
            </w:r>
            <w:r>
              <w:rPr>
                <w:rFonts w:hint="eastAsia" w:ascii="宋体" w:hAnsi="宋体" w:cs="宋体"/>
                <w:b/>
                <w:sz w:val="24"/>
              </w:rPr>
              <w:t>【键入内容】</w:t>
            </w:r>
            <w:r>
              <w:rPr>
                <w:rFonts w:hint="eastAsia" w:ascii="宋体" w:hAnsi="宋体" w:eastAsia="宋体" w:cs="宋体"/>
                <w:color w:val="auto"/>
                <w:sz w:val="24"/>
                <w:szCs w:val="24"/>
                <w:lang w:val="en-US" w:eastAsia="zh-CN"/>
              </w:rPr>
              <w:t>月</w:t>
            </w:r>
            <w:r>
              <w:rPr>
                <w:rFonts w:hint="eastAsia" w:ascii="宋体" w:hAnsi="宋体" w:cs="宋体"/>
                <w:b/>
                <w:sz w:val="24"/>
              </w:rPr>
              <w:t>【键入内容】</w:t>
            </w:r>
            <w:r>
              <w:rPr>
                <w:rFonts w:hint="eastAsia" w:ascii="宋体" w:hAnsi="宋体" w:eastAsia="宋体" w:cs="宋体"/>
                <w:color w:val="auto"/>
                <w:sz w:val="24"/>
                <w:szCs w:val="24"/>
                <w:lang w:val="en-US" w:eastAsia="zh-CN"/>
              </w:rPr>
              <w:t>日至</w:t>
            </w:r>
            <w:r>
              <w:rPr>
                <w:rFonts w:hint="eastAsia" w:ascii="宋体" w:hAnsi="宋体" w:cs="宋体"/>
                <w:b/>
                <w:sz w:val="24"/>
              </w:rPr>
              <w:t>【键入内容】</w:t>
            </w:r>
            <w:r>
              <w:rPr>
                <w:rFonts w:hint="eastAsia" w:ascii="宋体" w:hAnsi="宋体" w:eastAsia="宋体" w:cs="宋体"/>
                <w:color w:val="auto"/>
                <w:sz w:val="24"/>
                <w:szCs w:val="24"/>
                <w:lang w:val="en-US" w:eastAsia="zh-CN"/>
              </w:rPr>
              <w:t>年</w:t>
            </w:r>
            <w:r>
              <w:rPr>
                <w:rFonts w:hint="eastAsia" w:ascii="宋体" w:hAnsi="宋体" w:cs="宋体"/>
                <w:b/>
                <w:sz w:val="24"/>
              </w:rPr>
              <w:t>【键入内容】</w:t>
            </w:r>
            <w:r>
              <w:rPr>
                <w:rFonts w:hint="eastAsia" w:ascii="宋体" w:hAnsi="宋体" w:eastAsia="宋体" w:cs="宋体"/>
                <w:color w:val="auto"/>
                <w:sz w:val="24"/>
                <w:szCs w:val="24"/>
                <w:lang w:val="en-US" w:eastAsia="zh-CN"/>
              </w:rPr>
              <w:t>月</w:t>
            </w:r>
            <w:r>
              <w:rPr>
                <w:rFonts w:hint="eastAsia" w:ascii="宋体" w:hAnsi="宋体" w:cs="宋体"/>
                <w:b/>
                <w:sz w:val="24"/>
              </w:rPr>
              <w:t>【键入内容】</w:t>
            </w:r>
            <w:r>
              <w:rPr>
                <w:rFonts w:hint="eastAsia" w:ascii="宋体" w:hAnsi="宋体" w:eastAsia="宋体" w:cs="宋体"/>
                <w:color w:val="auto"/>
                <w:sz w:val="24"/>
                <w:szCs w:val="24"/>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0" w:type="auto"/>
            <w:vAlign w:val="center"/>
          </w:tcPr>
          <w:p>
            <w:pPr>
              <w:pStyle w:val="12"/>
              <w:keepNext w:val="0"/>
              <w:keepLines w:val="0"/>
              <w:pageBreakBefore w:val="0"/>
              <w:kinsoku/>
              <w:wordWrap/>
              <w:overflowPunct/>
              <w:topLinePunct w:val="0"/>
              <w:bidi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供货量（吨）</w:t>
            </w:r>
          </w:p>
        </w:tc>
        <w:tc>
          <w:tcPr>
            <w:tcW w:w="0" w:type="auto"/>
            <w:vAlign w:val="center"/>
          </w:tcPr>
          <w:p>
            <w:pPr>
              <w:pStyle w:val="12"/>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cs="宋体"/>
                <w:b/>
                <w:sz w:val="24"/>
              </w:rPr>
              <w:t>【键入内容】</w:t>
            </w:r>
            <w:r>
              <w:rPr>
                <w:rFonts w:hint="eastAsia" w:ascii="宋体" w:hAnsi="宋体" w:eastAsia="宋体" w:cs="宋体"/>
                <w:color w:val="auto"/>
                <w:sz w:val="24"/>
                <w:szCs w:val="24"/>
                <w:vertAlign w:val="baseline"/>
                <w:lang w:val="en-US" w:eastAsia="zh-CN"/>
              </w:rPr>
              <w:t>吨</w:t>
            </w:r>
          </w:p>
        </w:tc>
      </w:tr>
    </w:tbl>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如因买方生产计划调整等原因导致交货量不足第2.2.1条约定数量，剩余数量顺期延后，不进行交付考核。</w:t>
      </w:r>
    </w:p>
    <w:p>
      <w:pPr>
        <w:spacing w:before="145" w:beforeLines="50" w:after="145" w:afterLines="50"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最终以双方书面确认的交货数量为准，结算数量以实际过磅到货量为准。卖方按买方要求数量交货，</w:t>
      </w:r>
      <w:r>
        <w:rPr>
          <w:rFonts w:hint="eastAsia" w:ascii="宋体" w:hAnsi="宋体" w:eastAsia="宋体" w:cs="宋体"/>
          <w:sz w:val="24"/>
        </w:rPr>
        <w:t>如</w:t>
      </w:r>
      <w:r>
        <w:rPr>
          <w:rFonts w:hint="eastAsia" w:ascii="宋体" w:hAnsi="宋体" w:eastAsia="宋体" w:cs="宋体"/>
          <w:sz w:val="24"/>
          <w:lang w:val="en-US" w:eastAsia="zh-CN"/>
        </w:rPr>
        <w:t>卖</w:t>
      </w:r>
      <w:r>
        <w:rPr>
          <w:rFonts w:hint="eastAsia" w:ascii="宋体" w:hAnsi="宋体" w:eastAsia="宋体" w:cs="宋体"/>
          <w:sz w:val="24"/>
        </w:rPr>
        <w:t>方需改变交货差额，</w:t>
      </w:r>
      <w:r>
        <w:rPr>
          <w:rFonts w:hint="eastAsia" w:ascii="宋体" w:hAnsi="宋体" w:eastAsia="宋体" w:cs="宋体"/>
          <w:sz w:val="24"/>
          <w:lang w:val="en-US" w:eastAsia="zh-CN"/>
        </w:rPr>
        <w:t>卖</w:t>
      </w:r>
      <w:r>
        <w:rPr>
          <w:rFonts w:hint="eastAsia" w:ascii="宋体" w:hAnsi="宋体" w:eastAsia="宋体" w:cs="宋体"/>
          <w:sz w:val="24"/>
        </w:rPr>
        <w:t>方应提前15天通过书面形式向</w:t>
      </w:r>
      <w:r>
        <w:rPr>
          <w:rFonts w:hint="eastAsia" w:ascii="宋体" w:hAnsi="宋体" w:eastAsia="宋体" w:cs="宋体"/>
          <w:sz w:val="24"/>
          <w:lang w:val="en-US" w:eastAsia="zh-CN"/>
        </w:rPr>
        <w:t>买</w:t>
      </w:r>
      <w:r>
        <w:rPr>
          <w:rFonts w:hint="eastAsia" w:ascii="宋体" w:hAnsi="宋体" w:eastAsia="宋体" w:cs="宋体"/>
          <w:sz w:val="24"/>
        </w:rPr>
        <w:t>方告知，正负差额由</w:t>
      </w:r>
      <w:r>
        <w:rPr>
          <w:rFonts w:hint="eastAsia" w:ascii="宋体" w:hAnsi="宋体" w:eastAsia="宋体" w:cs="宋体"/>
          <w:sz w:val="24"/>
          <w:lang w:val="en-US" w:eastAsia="zh-CN"/>
        </w:rPr>
        <w:t>买</w:t>
      </w:r>
      <w:r>
        <w:rPr>
          <w:rFonts w:hint="eastAsia" w:ascii="宋体" w:hAnsi="宋体" w:eastAsia="宋体" w:cs="宋体"/>
          <w:sz w:val="24"/>
        </w:rPr>
        <w:t>方书面同意</w:t>
      </w:r>
      <w:r>
        <w:rPr>
          <w:rFonts w:hint="eastAsia" w:ascii="宋体" w:hAnsi="宋体" w:eastAsia="宋体" w:cs="宋体"/>
          <w:sz w:val="24"/>
          <w:lang w:val="en-US" w:eastAsia="zh-CN"/>
        </w:rPr>
        <w:t>为准</w:t>
      </w:r>
      <w:r>
        <w:rPr>
          <w:rFonts w:hint="eastAsia" w:ascii="宋体" w:hAnsi="宋体" w:eastAsia="宋体" w:cs="宋体"/>
          <w:sz w:val="24"/>
        </w:rPr>
        <w:t>。</w:t>
      </w:r>
    </w:p>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卖方应满足买方确定的需求量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每月足额交付合同项下标的物</w:t>
      </w:r>
      <w:r>
        <w:rPr>
          <w:rFonts w:hint="eastAsia" w:ascii="宋体" w:hAnsi="宋体" w:eastAsia="宋体" w:cs="宋体"/>
          <w:color w:val="auto"/>
          <w:sz w:val="24"/>
          <w:szCs w:val="24"/>
          <w:highlight w:val="none"/>
        </w:rPr>
        <w:t>。如因自身问题不能满足需求时，卖方应提前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天以书面方式通知买方并取得书面同意；如因买方自身问题减少需求量时，买方应提前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天以书面方式通知卖方。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3.运输方式及目的地</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3.1 </w:t>
      </w:r>
      <w:r>
        <w:rPr>
          <w:rFonts w:hint="eastAsia" w:ascii="宋体" w:hAnsi="宋体" w:eastAsia="宋体" w:cs="宋体"/>
          <w:bCs/>
          <w:color w:val="auto"/>
          <w:sz w:val="24"/>
          <w:szCs w:val="24"/>
        </w:rPr>
        <w:t>运输方式：</w:t>
      </w:r>
      <w:r>
        <w:rPr>
          <w:rFonts w:hint="eastAsia" w:ascii="宋体" w:hAnsi="宋体" w:eastAsia="宋体" w:cs="宋体"/>
          <w:bCs/>
          <w:color w:val="auto"/>
          <w:sz w:val="24"/>
          <w:szCs w:val="24"/>
          <w:lang w:eastAsia="zh-CN"/>
        </w:rPr>
        <w:t>产品运输由卖方负责，</w:t>
      </w:r>
      <w:r>
        <w:rPr>
          <w:rFonts w:hint="eastAsia" w:ascii="宋体" w:hAnsi="宋体" w:eastAsia="宋体" w:cs="宋体"/>
          <w:color w:val="auto"/>
          <w:sz w:val="24"/>
          <w:szCs w:val="24"/>
          <w:lang w:eastAsia="zh-CN"/>
        </w:rPr>
        <w:t>卖方自行决定采用何种运输方式，</w:t>
      </w:r>
      <w:r>
        <w:rPr>
          <w:rFonts w:hint="eastAsia" w:ascii="宋体" w:hAnsi="宋体" w:eastAsia="宋体" w:cs="宋体"/>
          <w:color w:val="auto"/>
          <w:sz w:val="24"/>
          <w:szCs w:val="24"/>
          <w:lang w:val="en-US" w:eastAsia="zh-CN"/>
        </w:rPr>
        <w:t>但运输工具必须符合国家法定要求。</w:t>
      </w:r>
    </w:p>
    <w:p>
      <w:pPr>
        <w:pStyle w:val="2"/>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 xml:space="preserve">3.2 </w:t>
      </w:r>
      <w:r>
        <w:rPr>
          <w:rFonts w:hint="eastAsia" w:ascii="宋体" w:hAnsi="宋体" w:eastAsia="宋体" w:cs="宋体"/>
          <w:color w:val="auto"/>
          <w:kern w:val="2"/>
          <w:sz w:val="24"/>
          <w:szCs w:val="24"/>
        </w:rPr>
        <w:t>货物运输要求有良好的防潮、防</w:t>
      </w:r>
      <w:r>
        <w:rPr>
          <w:rFonts w:hint="eastAsia" w:ascii="宋体" w:hAnsi="宋体" w:eastAsia="宋体" w:cs="宋体"/>
          <w:color w:val="auto"/>
          <w:kern w:val="2"/>
          <w:sz w:val="24"/>
          <w:szCs w:val="24"/>
          <w:lang w:val="en-US" w:eastAsia="zh-CN"/>
        </w:rPr>
        <w:t>散落、防污染</w:t>
      </w:r>
      <w:r>
        <w:rPr>
          <w:rFonts w:hint="eastAsia" w:ascii="宋体" w:hAnsi="宋体" w:eastAsia="宋体" w:cs="宋体"/>
          <w:color w:val="auto"/>
          <w:kern w:val="2"/>
          <w:sz w:val="24"/>
          <w:szCs w:val="24"/>
        </w:rPr>
        <w:t>等保护措施。</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货物的装运工具(火车、汽车、轮船等)，必须在装运前清扫干净，不得使油类或其它杂质等污染</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。运输过程中必须有防雨措施，</w:t>
      </w:r>
      <w:r>
        <w:rPr>
          <w:rFonts w:hint="eastAsia" w:ascii="宋体" w:hAnsi="宋体" w:eastAsia="宋体" w:cs="宋体"/>
          <w:color w:val="auto"/>
          <w:sz w:val="24"/>
          <w:szCs w:val="24"/>
          <w:lang w:val="en-US" w:eastAsia="zh-CN"/>
        </w:rPr>
        <w:t>务必</w:t>
      </w:r>
      <w:r>
        <w:rPr>
          <w:rFonts w:hint="eastAsia" w:ascii="宋体" w:hAnsi="宋体" w:eastAsia="宋体" w:cs="宋体"/>
          <w:color w:val="auto"/>
          <w:sz w:val="24"/>
          <w:szCs w:val="24"/>
        </w:rPr>
        <w:t>使货物在运输途中不受雨淋水浸。</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交付地点</w:t>
      </w:r>
      <w:r>
        <w:rPr>
          <w:rFonts w:hint="eastAsia" w:ascii="宋体" w:hAnsi="宋体" w:eastAsia="宋体" w:cs="宋体"/>
          <w:color w:val="auto"/>
          <w:sz w:val="24"/>
          <w:szCs w:val="24"/>
        </w:rPr>
        <w:t>：</w:t>
      </w:r>
      <w:r>
        <w:rPr>
          <w:rFonts w:hint="eastAsia" w:ascii="宋体" w:hAnsi="宋体" w:cs="宋体"/>
          <w:b/>
          <w:sz w:val="24"/>
        </w:rPr>
        <w:t>【键入内容】</w:t>
      </w:r>
      <w:r>
        <w:rPr>
          <w:rFonts w:hint="eastAsia" w:ascii="宋体" w:hAnsi="宋体" w:eastAsia="宋体" w:cs="宋体"/>
          <w:color w:val="auto"/>
          <w:sz w:val="24"/>
          <w:szCs w:val="24"/>
          <w:lang w:val="en-US" w:eastAsia="zh-CN"/>
        </w:rPr>
        <w:t>。</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 交货方式：</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全部配送到</w:t>
      </w:r>
      <w:r>
        <w:rPr>
          <w:rFonts w:hint="eastAsia" w:ascii="宋体" w:hAnsi="宋体" w:eastAsia="宋体" w:cs="宋体"/>
          <w:color w:val="auto"/>
          <w:sz w:val="24"/>
          <w:szCs w:val="24"/>
          <w:lang w:eastAsia="zh-CN"/>
        </w:rPr>
        <w:t>买方</w:t>
      </w:r>
      <w:r>
        <w:rPr>
          <w:rFonts w:hint="eastAsia" w:ascii="宋体" w:hAnsi="宋体" w:eastAsia="宋体" w:cs="宋体"/>
          <w:color w:val="auto"/>
          <w:sz w:val="24"/>
          <w:szCs w:val="24"/>
          <w:lang w:val="en-US" w:eastAsia="zh-CN"/>
        </w:rPr>
        <w:t>生产</w:t>
      </w:r>
      <w:r>
        <w:rPr>
          <w:rFonts w:hint="eastAsia" w:ascii="宋体" w:hAnsi="宋体" w:eastAsia="宋体" w:cs="宋体"/>
          <w:color w:val="auto"/>
          <w:sz w:val="24"/>
          <w:szCs w:val="24"/>
        </w:rPr>
        <w:t>现场，并根据本</w:t>
      </w:r>
      <w:r>
        <w:rPr>
          <w:rFonts w:hint="eastAsia" w:ascii="宋体" w:hAnsi="宋体" w:eastAsia="宋体" w:cs="宋体"/>
          <w:color w:val="auto"/>
          <w:sz w:val="24"/>
          <w:szCs w:val="24"/>
          <w:lang w:val="en-US" w:eastAsia="zh-CN"/>
        </w:rPr>
        <w:t>合同及附件二</w:t>
      </w:r>
      <w:r>
        <w:rPr>
          <w:rFonts w:hint="eastAsia" w:ascii="宋体" w:hAnsi="宋体" w:eastAsia="宋体" w:cs="宋体"/>
          <w:color w:val="auto"/>
          <w:sz w:val="24"/>
          <w:szCs w:val="24"/>
        </w:rPr>
        <w:t>规定的标准、规程、规范进行验收，</w:t>
      </w:r>
      <w:r>
        <w:rPr>
          <w:rFonts w:hint="eastAsia" w:ascii="宋体" w:hAnsi="宋体" w:eastAsia="宋体" w:cs="宋体"/>
          <w:color w:val="auto"/>
          <w:sz w:val="24"/>
          <w:szCs w:val="24"/>
          <w:lang w:val="en-US" w:eastAsia="zh-CN"/>
        </w:rPr>
        <w:t>验收合格后</w:t>
      </w:r>
      <w:r>
        <w:rPr>
          <w:rFonts w:hint="eastAsia" w:ascii="宋体" w:hAnsi="宋体" w:eastAsia="宋体" w:cs="宋体"/>
          <w:color w:val="auto"/>
          <w:sz w:val="24"/>
          <w:szCs w:val="24"/>
        </w:rPr>
        <w:t>货物的所有权及货物损毁灭失风险</w:t>
      </w:r>
      <w:r>
        <w:rPr>
          <w:rFonts w:hint="eastAsia" w:ascii="宋体" w:hAnsi="宋体" w:eastAsia="宋体" w:cs="宋体"/>
          <w:color w:val="auto"/>
          <w:sz w:val="24"/>
          <w:szCs w:val="24"/>
          <w:lang w:val="en-US" w:eastAsia="zh-CN"/>
        </w:rPr>
        <w:t>才</w:t>
      </w:r>
      <w:r>
        <w:rPr>
          <w:rFonts w:hint="eastAsia" w:ascii="宋体" w:hAnsi="宋体" w:eastAsia="宋体" w:cs="宋体"/>
          <w:color w:val="auto"/>
          <w:sz w:val="24"/>
          <w:szCs w:val="24"/>
        </w:rPr>
        <w:t>转移给买方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在货物交付完成前，</w:t>
      </w:r>
      <w:r>
        <w:rPr>
          <w:rFonts w:hint="eastAsia" w:ascii="宋体" w:hAnsi="宋体" w:eastAsia="宋体" w:cs="宋体"/>
          <w:color w:val="auto"/>
          <w:sz w:val="24"/>
          <w:szCs w:val="24"/>
        </w:rPr>
        <w:t>货物</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损毁灭失风险</w:t>
      </w:r>
      <w:r>
        <w:rPr>
          <w:rFonts w:hint="eastAsia" w:ascii="宋体" w:hAnsi="宋体" w:eastAsia="宋体" w:cs="宋体"/>
          <w:color w:val="auto"/>
          <w:sz w:val="24"/>
          <w:szCs w:val="24"/>
          <w:lang w:val="en-US" w:eastAsia="zh-CN"/>
        </w:rPr>
        <w:t>由卖方自行承担</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4.价格</w:t>
      </w:r>
    </w:p>
    <w:p>
      <w:pPr>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4.1沥青</w:t>
      </w:r>
      <w:r>
        <w:rPr>
          <w:rFonts w:hint="eastAsia" w:ascii="宋体" w:hAnsi="宋体" w:eastAsia="宋体" w:cs="宋体"/>
          <w:color w:val="auto"/>
          <w:sz w:val="24"/>
          <w:szCs w:val="24"/>
          <w:u w:val="none"/>
          <w:lang w:val="en-US" w:eastAsia="zh-CN"/>
        </w:rPr>
        <w:t>基准价格为</w:t>
      </w:r>
      <w:r>
        <w:rPr>
          <w:rFonts w:hint="eastAsia" w:ascii="宋体" w:hAnsi="宋体" w:eastAsia="宋体" w:cs="宋体"/>
          <w:color w:val="auto"/>
          <w:sz w:val="24"/>
          <w:szCs w:val="24"/>
          <w:u w:val="single"/>
          <w:lang w:val="en-US" w:eastAsia="zh-CN"/>
        </w:rPr>
        <w:t>¥</w:t>
      </w:r>
      <w:r>
        <w:rPr>
          <w:rFonts w:hint="eastAsia" w:ascii="宋体" w:hAnsi="宋体" w:cs="宋体"/>
          <w:b/>
          <w:sz w:val="24"/>
          <w:u w:val="single"/>
        </w:rPr>
        <w:t>【键入内容】</w:t>
      </w:r>
      <w:r>
        <w:rPr>
          <w:rFonts w:hint="eastAsia" w:ascii="宋体" w:hAnsi="宋体" w:eastAsia="宋体" w:cs="宋体"/>
          <w:color w:val="auto"/>
          <w:sz w:val="24"/>
          <w:szCs w:val="24"/>
          <w:u w:val="single"/>
          <w:lang w:val="en-US" w:eastAsia="zh-CN"/>
        </w:rPr>
        <w:t>（大写：</w:t>
      </w:r>
      <w:r>
        <w:rPr>
          <w:rFonts w:hint="eastAsia" w:ascii="宋体" w:hAnsi="宋体" w:cs="宋体"/>
          <w:b/>
          <w:sz w:val="24"/>
          <w:u w:val="single"/>
        </w:rPr>
        <w:t>【键入内容】</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rPr>
        <w:t>元/吨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价格为货到工厂价格，包含但不限于货款、装车费、运输费、人工费、保险费等一切费用。</w:t>
      </w:r>
    </w:p>
    <w:p>
      <w:pPr>
        <w:keepNext w:val="0"/>
        <w:keepLines w:val="0"/>
        <w:pageBreakBefore w:val="0"/>
        <w:widowControl w:val="0"/>
        <w:tabs>
          <w:tab w:val="left" w:pos="567"/>
        </w:tabs>
        <w:kinsoku/>
        <w:wordWrap/>
        <w:overflowPunct/>
        <w:topLinePunct w:val="0"/>
        <w:bidi w:val="0"/>
        <w:snapToGrid w:val="0"/>
        <w:spacing w:before="-2147483648" w:beforeLines="-2147483648" w:beforeAutospacing="0" w:after="-2147483648" w:afterLines="-2147483648"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4.2本价格包含13%的增值税，若遇国家税率调整，应按调整后的最新税率计付合同款项，即合同不含税价格不受国家税率调整的影响。</w:t>
      </w:r>
    </w:p>
    <w:p>
      <w:pPr>
        <w:pStyle w:val="15"/>
        <w:keepNext w:val="0"/>
        <w:keepLines w:val="0"/>
        <w:pageBreakBefore w:val="0"/>
        <w:widowControl w:val="0"/>
        <w:kinsoku/>
        <w:wordWrap/>
        <w:overflowPunct/>
        <w:topLinePunct w:val="0"/>
        <w:bidi w:val="0"/>
        <w:spacing w:before="93" w:beforeAutospacing="0" w:after="93" w:afterAutospacing="0"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5.数量及重量核</w:t>
      </w:r>
      <w:r>
        <w:rPr>
          <w:rFonts w:hint="eastAsia" w:ascii="宋体" w:hAnsi="宋体" w:eastAsia="宋体" w:cs="宋体"/>
          <w:b/>
          <w:bCs/>
          <w:color w:val="auto"/>
          <w:sz w:val="24"/>
          <w:szCs w:val="24"/>
          <w:lang w:val="en-US" w:eastAsia="zh-CN"/>
        </w:rPr>
        <w:t>算</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lang w:val="en-US" w:eastAsia="zh-CN"/>
        </w:rPr>
        <w:t>卖</w:t>
      </w:r>
      <w:r>
        <w:rPr>
          <w:rFonts w:hint="eastAsia" w:ascii="宋体" w:hAnsi="宋体" w:eastAsia="宋体" w:cs="宋体"/>
          <w:bCs/>
          <w:color w:val="auto"/>
          <w:sz w:val="24"/>
        </w:rPr>
        <w:t>方可以于发货前过磅确认交货量，双方同意以</w:t>
      </w:r>
      <w:r>
        <w:rPr>
          <w:rFonts w:hint="eastAsia" w:ascii="宋体" w:hAnsi="宋体" w:eastAsia="宋体" w:cs="宋体"/>
          <w:bCs/>
          <w:color w:val="auto"/>
          <w:sz w:val="24"/>
          <w:lang w:val="en-US" w:eastAsia="zh-CN"/>
        </w:rPr>
        <w:t>买</w:t>
      </w:r>
      <w:r>
        <w:rPr>
          <w:rFonts w:hint="eastAsia" w:ascii="宋体" w:hAnsi="宋体" w:eastAsia="宋体" w:cs="宋体"/>
          <w:bCs/>
          <w:color w:val="auto"/>
          <w:sz w:val="24"/>
        </w:rPr>
        <w:t>方指定收货地磅单的实际重量为结算依据</w:t>
      </w:r>
      <w:r>
        <w:rPr>
          <w:rFonts w:hint="eastAsia" w:ascii="宋体" w:hAnsi="宋体" w:eastAsia="宋体" w:cs="宋体"/>
          <w:bCs/>
          <w:color w:val="auto"/>
          <w:sz w:val="24"/>
          <w:szCs w:val="24"/>
        </w:rPr>
        <w:t>。卖方必须是在符合国家规定的地磅进行过磅，并且提供机打</w:t>
      </w:r>
      <w:r>
        <w:rPr>
          <w:rFonts w:hint="eastAsia" w:ascii="宋体" w:hAnsi="宋体" w:eastAsia="宋体" w:cs="宋体"/>
          <w:bCs/>
          <w:color w:val="auto"/>
          <w:sz w:val="24"/>
          <w:szCs w:val="24"/>
          <w:lang w:val="en-US" w:eastAsia="zh-CN"/>
        </w:rPr>
        <w:t>磅</w:t>
      </w:r>
      <w:r>
        <w:rPr>
          <w:rFonts w:hint="eastAsia" w:ascii="宋体" w:hAnsi="宋体" w:eastAsia="宋体" w:cs="宋体"/>
          <w:bCs/>
          <w:color w:val="auto"/>
          <w:sz w:val="24"/>
          <w:szCs w:val="24"/>
        </w:rPr>
        <w:t>单，如因卖方在不符合规定的地磅过磅从而导致差额的，按轻的重量结算。</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.结算与付款</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6.1货款结算：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□先款后货：在卖方交付产品前，买方应按本合同约定的交（提）货进度提前将货款支付给卖方。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□先货后款：</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highlight w:val="none"/>
          <w:lang w:val="en-US" w:eastAsia="zh-CN" w:bidi="ar-SA"/>
        </w:rPr>
        <w:t>，签订合同后按约定的月交货量开始供货，到货量按当月验收合格的实际交货量及考核指标化验结果进行结算；卖方按约定时间交货后，买卖双方应于5个工作日内核定该批数量、价格及质量并确认（存在质量异议除外），以买方化验结果和磅单的实际收货重量作为结算依据办理结算。卖方按结算金额向买方开具13%增值税专用发票，买方在收到发票</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highlight w:val="none"/>
          <w:lang w:val="en-US" w:eastAsia="zh-CN" w:bidi="ar-SA"/>
        </w:rPr>
        <w:t>天内支付货款，遇节假日相应顺延。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6.2支付方式</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u w:val="none"/>
          <w:lang w:val="en-US" w:eastAsia="zh-CN"/>
        </w:rPr>
        <w:t>现汇</w:t>
      </w:r>
      <w:r>
        <w:rPr>
          <w:rFonts w:hint="eastAsia" w:ascii="宋体" w:hAnsi="宋体" w:eastAsia="宋体" w:cs="宋体"/>
          <w:bCs/>
          <w:color w:val="auto"/>
          <w:sz w:val="24"/>
          <w:szCs w:val="24"/>
          <w:lang w:val="en-US" w:eastAsia="zh-CN"/>
        </w:rPr>
        <w:t>支付。买方将货款汇入本合同中卖方指定的账户。</w:t>
      </w:r>
    </w:p>
    <w:p>
      <w:pPr>
        <w:adjustRightInd w:val="0"/>
        <w:snapToGrid w:val="0"/>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□银行承兑汇票支付。贴息费用由卖方承担。银行承兑汇票支付比例为全部货款的</w:t>
      </w:r>
      <w:r>
        <w:rPr>
          <w:rFonts w:hint="eastAsia" w:ascii="宋体" w:hAnsi="宋体" w:eastAsia="宋体" w:cs="宋体"/>
          <w:color w:val="auto"/>
          <w:sz w:val="24"/>
          <w:szCs w:val="24"/>
          <w:u w:val="single"/>
          <w:lang w:val="en-US" w:eastAsia="zh-CN"/>
        </w:rPr>
        <w:t>【键入内容】</w:t>
      </w:r>
      <w:r>
        <w:rPr>
          <w:rFonts w:hint="eastAsia" w:ascii="宋体" w:hAnsi="宋体" w:eastAsia="宋体" w:cs="宋体"/>
          <w:bCs/>
          <w:color w:val="auto"/>
          <w:sz w:val="24"/>
          <w:szCs w:val="24"/>
          <w:lang w:val="en-US" w:eastAsia="zh-CN"/>
        </w:rPr>
        <w:t>%，剩余货款用现汇支付。</w:t>
      </w:r>
    </w:p>
    <w:p>
      <w:pPr>
        <w:pStyle w:val="15"/>
        <w:spacing w:before="145" w:beforeLines="50" w:after="145" w:afterLines="50"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是否履约保证金</w:t>
      </w:r>
    </w:p>
    <w:p>
      <w:pPr>
        <w:pStyle w:val="15"/>
        <w:spacing w:before="145" w:beforeLines="50" w:after="145" w:afterLines="50"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□否</w:t>
      </w:r>
    </w:p>
    <w:p>
      <w:pPr>
        <w:pStyle w:val="15"/>
        <w:keepNext w:val="0"/>
        <w:keepLines w:val="0"/>
        <w:pageBreakBefore w:val="0"/>
        <w:widowControl w:val="0"/>
        <w:kinsoku/>
        <w:wordWrap/>
        <w:overflowPunct/>
        <w:topLinePunct w:val="0"/>
        <w:autoSpaceDE/>
        <w:autoSpaceDN/>
        <w:bidi w:val="0"/>
        <w:adjustRightInd/>
        <w:snapToGrid/>
        <w:spacing w:before="145" w:beforeLines="50" w:after="145" w:afterLines="50"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□是：</w:t>
      </w:r>
      <w:r>
        <w:rPr>
          <w:rFonts w:hint="eastAsia" w:ascii="宋体" w:hAnsi="宋体" w:eastAsia="宋体" w:cs="宋体"/>
          <w:color w:val="auto"/>
          <w:sz w:val="24"/>
          <w:szCs w:val="24"/>
          <w:lang w:val="en-US" w:eastAsia="zh-CN"/>
        </w:rPr>
        <w:t>合同生效后三日内，卖方应以现汇形式向买方支付相当于本合同总货款3%基准货款作为履约保证金，共计人民币(大写)</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)汇至此账户(单位全称:</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，账号:</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，开户行:</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w:t>
      </w:r>
    </w:p>
    <w:p>
      <w:pPr>
        <w:pStyle w:val="15"/>
        <w:spacing w:before="145" w:beforeLines="50" w:after="145" w:afterLines="50" w:line="440" w:lineRule="exact"/>
        <w:ind w:firstLine="480" w:firstLineChars="200"/>
        <w:rPr>
          <w:rFonts w:hint="eastAsia"/>
          <w:lang w:val="en-US" w:eastAsia="zh-CN"/>
        </w:rPr>
      </w:pPr>
      <w:r>
        <w:rPr>
          <w:rFonts w:hint="eastAsia" w:ascii="宋体" w:hAnsi="宋体" w:eastAsia="宋体" w:cs="宋体"/>
          <w:color w:val="auto"/>
          <w:sz w:val="24"/>
          <w:szCs w:val="24"/>
          <w:lang w:val="en-US" w:eastAsia="zh-CN"/>
        </w:rPr>
        <w:t>6.4 履约保证金退还:待合同约定全部标的物供货完成后，买卖双方均对合同执行过程及结算无异议情况下予以退还。</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.质量要求</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沥青的质量要求以第</w:t>
      </w:r>
      <w:r>
        <w:rPr>
          <w:rFonts w:hint="eastAsia" w:ascii="宋体" w:hAnsi="宋体" w:eastAsia="宋体" w:cs="宋体"/>
          <w:color w:val="auto"/>
          <w:sz w:val="24"/>
          <w:szCs w:val="24"/>
          <w:lang w:val="en-US" w:eastAsia="zh-CN"/>
        </w:rPr>
        <w:t>1.2条为准。</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.2卖方</w:t>
      </w:r>
      <w:r>
        <w:rPr>
          <w:rFonts w:hint="eastAsia" w:ascii="宋体" w:hAnsi="宋体" w:eastAsia="宋体" w:cs="宋体"/>
          <w:color w:val="auto"/>
          <w:sz w:val="24"/>
          <w:szCs w:val="24"/>
          <w:lang w:eastAsia="zh-CN"/>
        </w:rPr>
        <w:t>所供产品</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第</w:t>
      </w:r>
      <w:r>
        <w:rPr>
          <w:rFonts w:hint="eastAsia" w:ascii="宋体" w:hAnsi="宋体" w:eastAsia="宋体" w:cs="宋体"/>
          <w:color w:val="auto"/>
          <w:sz w:val="24"/>
          <w:szCs w:val="24"/>
          <w:lang w:val="en-US" w:eastAsia="zh-CN"/>
        </w:rPr>
        <w:t>1.2条</w:t>
      </w:r>
      <w:r>
        <w:rPr>
          <w:rFonts w:hint="eastAsia" w:ascii="宋体" w:hAnsi="宋体" w:eastAsia="宋体" w:cs="宋体"/>
          <w:color w:val="auto"/>
          <w:sz w:val="24"/>
          <w:szCs w:val="24"/>
          <w:lang w:eastAsia="zh-CN"/>
        </w:rPr>
        <w:t>质量要求</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可选择以下任一办法执行</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买方同意降低标准使用，</w:t>
      </w:r>
      <w:r>
        <w:rPr>
          <w:rFonts w:hint="eastAsia" w:ascii="宋体" w:hAnsi="宋体" w:eastAsia="宋体" w:cs="宋体"/>
          <w:color w:val="auto"/>
          <w:sz w:val="24"/>
          <w:szCs w:val="24"/>
          <w:lang w:val="en-US" w:eastAsia="zh-CN"/>
        </w:rPr>
        <w:t>但应</w:t>
      </w: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附件二</w:t>
      </w: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（沥青）理化性能质量考核细则</w:t>
      </w:r>
      <w:r>
        <w:rPr>
          <w:rFonts w:hint="eastAsia" w:ascii="宋体" w:hAnsi="宋体" w:eastAsia="宋体" w:cs="宋体"/>
          <w:color w:val="auto"/>
          <w:sz w:val="24"/>
          <w:szCs w:val="24"/>
        </w:rPr>
        <w:t>》规定</w:t>
      </w:r>
      <w:r>
        <w:rPr>
          <w:rFonts w:hint="eastAsia" w:ascii="宋体" w:hAnsi="宋体" w:eastAsia="宋体" w:cs="宋体"/>
          <w:color w:val="auto"/>
          <w:sz w:val="24"/>
          <w:szCs w:val="24"/>
          <w:lang w:eastAsia="zh-CN"/>
        </w:rPr>
        <w:t>进行扣款。</w:t>
      </w:r>
    </w:p>
    <w:p>
      <w:pPr>
        <w:keepNext w:val="0"/>
        <w:keepLines w:val="0"/>
        <w:pageBreakBefore w:val="0"/>
        <w:widowControl w:val="0"/>
        <w:kinsoku/>
        <w:wordWrap/>
        <w:overflowPunct/>
        <w:topLinePunct w:val="0"/>
        <w:bidi w:val="0"/>
        <w:spacing w:before="156" w:beforeLines="50" w:after="156" w:afterLines="5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某一批产品化验结果有一项指标达到退货标准的，该批产品按退货处理，</w:t>
      </w:r>
      <w:r>
        <w:rPr>
          <w:rFonts w:hint="eastAsia" w:ascii="宋体" w:hAnsi="宋体" w:eastAsia="宋体" w:cs="宋体"/>
          <w:color w:val="auto"/>
          <w:sz w:val="24"/>
          <w:szCs w:val="24"/>
          <w:highlight w:val="none"/>
          <w:lang w:val="en-US" w:eastAsia="zh-CN"/>
        </w:rPr>
        <w:t>由卖方承担退货费用。（退货标准详见附件二《（沥青）理化性能质量考核细则》）。</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w:t>
      </w:r>
      <w:r>
        <w:rPr>
          <w:rFonts w:hint="eastAsia" w:ascii="宋体" w:hAnsi="宋体" w:eastAsia="宋体" w:cs="宋体"/>
          <w:color w:val="auto"/>
          <w:sz w:val="24"/>
          <w:szCs w:val="24"/>
          <w:lang w:eastAsia="zh-CN"/>
        </w:rPr>
        <w:t>化验结果</w:t>
      </w:r>
      <w:r>
        <w:rPr>
          <w:rFonts w:hint="eastAsia" w:ascii="宋体" w:hAnsi="宋体" w:eastAsia="宋体" w:cs="宋体"/>
          <w:color w:val="auto"/>
          <w:sz w:val="24"/>
          <w:szCs w:val="24"/>
          <w:lang w:val="en-US" w:eastAsia="zh-CN"/>
        </w:rPr>
        <w:t>存在</w:t>
      </w:r>
      <w:r>
        <w:rPr>
          <w:rFonts w:hint="eastAsia" w:ascii="宋体" w:hAnsi="宋体" w:eastAsia="宋体" w:cs="宋体"/>
          <w:color w:val="auto"/>
          <w:sz w:val="24"/>
          <w:szCs w:val="24"/>
          <w:lang w:eastAsia="zh-CN"/>
        </w:rPr>
        <w:t>不符合项但未达到退货标准，</w:t>
      </w:r>
      <w:r>
        <w:rPr>
          <w:rFonts w:hint="eastAsia" w:ascii="宋体" w:hAnsi="宋体" w:eastAsia="宋体" w:cs="宋体"/>
          <w:color w:val="auto"/>
          <w:sz w:val="24"/>
          <w:szCs w:val="24"/>
        </w:rPr>
        <w:t>卖方不同意</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买方有权</w:t>
      </w:r>
      <w:r>
        <w:rPr>
          <w:rFonts w:hint="eastAsia" w:ascii="宋体" w:hAnsi="宋体" w:eastAsia="宋体" w:cs="宋体"/>
          <w:color w:val="auto"/>
          <w:sz w:val="24"/>
          <w:szCs w:val="24"/>
        </w:rPr>
        <w:t>退货</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.质量验收及异议期限</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w:t>
      </w:r>
      <w:r>
        <w:rPr>
          <w:rFonts w:hint="eastAsia" w:ascii="宋体" w:hAnsi="宋体" w:eastAsia="宋体" w:cs="宋体"/>
          <w:bCs/>
          <w:color w:val="auto"/>
          <w:sz w:val="24"/>
          <w:szCs w:val="24"/>
          <w:lang w:eastAsia="zh-CN"/>
        </w:rPr>
        <w:t>卖</w:t>
      </w:r>
      <w:r>
        <w:rPr>
          <w:rFonts w:hint="eastAsia" w:ascii="宋体" w:hAnsi="宋体" w:eastAsia="宋体" w:cs="宋体"/>
          <w:bCs/>
          <w:color w:val="auto"/>
          <w:sz w:val="24"/>
          <w:szCs w:val="24"/>
        </w:rPr>
        <w:t>方所供</w:t>
      </w:r>
      <w:r>
        <w:rPr>
          <w:rFonts w:hint="eastAsia" w:ascii="宋体" w:hAnsi="宋体" w:eastAsia="宋体" w:cs="宋体"/>
          <w:bCs/>
          <w:color w:val="auto"/>
          <w:sz w:val="24"/>
          <w:szCs w:val="24"/>
          <w:lang w:val="en-US" w:eastAsia="zh-CN"/>
        </w:rPr>
        <w:t>合同标的产品</w:t>
      </w:r>
      <w:r>
        <w:rPr>
          <w:rFonts w:hint="eastAsia" w:ascii="宋体" w:hAnsi="宋体" w:eastAsia="宋体" w:cs="宋体"/>
          <w:bCs/>
          <w:color w:val="auto"/>
          <w:sz w:val="24"/>
          <w:szCs w:val="24"/>
        </w:rPr>
        <w:t>由买方按国家有关规定的标准进行采样</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化验，并以化验的数据作为</w:t>
      </w:r>
      <w:r>
        <w:rPr>
          <w:rFonts w:hint="eastAsia" w:ascii="宋体" w:hAnsi="宋体" w:eastAsia="宋体" w:cs="宋体"/>
          <w:bCs/>
          <w:color w:val="auto"/>
          <w:sz w:val="24"/>
          <w:szCs w:val="24"/>
          <w:lang w:val="en-US" w:eastAsia="zh-CN"/>
        </w:rPr>
        <w:t>本合同</w:t>
      </w:r>
      <w:r>
        <w:rPr>
          <w:rFonts w:hint="eastAsia" w:ascii="宋体" w:hAnsi="宋体" w:eastAsia="宋体" w:cs="宋体"/>
          <w:bCs/>
          <w:color w:val="auto"/>
          <w:sz w:val="24"/>
          <w:szCs w:val="24"/>
        </w:rPr>
        <w:t>结算</w:t>
      </w:r>
      <w:r>
        <w:rPr>
          <w:rFonts w:hint="eastAsia" w:ascii="宋体" w:hAnsi="宋体" w:eastAsia="宋体" w:cs="宋体"/>
          <w:bCs/>
          <w:color w:val="auto"/>
          <w:sz w:val="24"/>
          <w:szCs w:val="24"/>
          <w:lang w:val="en-US" w:eastAsia="zh-CN"/>
        </w:rPr>
        <w:t>的</w:t>
      </w:r>
      <w:r>
        <w:rPr>
          <w:rFonts w:hint="eastAsia" w:ascii="宋体" w:hAnsi="宋体" w:eastAsia="宋体" w:cs="宋体"/>
          <w:bCs/>
          <w:color w:val="auto"/>
          <w:sz w:val="24"/>
          <w:szCs w:val="24"/>
        </w:rPr>
        <w:t>依据。沥青由</w:t>
      </w:r>
      <w:r>
        <w:rPr>
          <w:rFonts w:hint="eastAsia" w:ascii="宋体" w:hAnsi="宋体" w:eastAsia="宋体" w:cs="宋体"/>
          <w:bCs/>
          <w:color w:val="auto"/>
          <w:sz w:val="24"/>
          <w:szCs w:val="24"/>
          <w:lang w:val="en-US" w:eastAsia="zh-CN"/>
        </w:rPr>
        <w:t>买</w:t>
      </w:r>
      <w:r>
        <w:rPr>
          <w:rFonts w:hint="eastAsia" w:ascii="宋体" w:hAnsi="宋体" w:eastAsia="宋体" w:cs="宋体"/>
          <w:bCs/>
          <w:color w:val="auto"/>
          <w:sz w:val="24"/>
          <w:szCs w:val="24"/>
        </w:rPr>
        <w:t>方在</w:t>
      </w:r>
      <w:r>
        <w:rPr>
          <w:rFonts w:hint="eastAsia" w:ascii="宋体" w:hAnsi="宋体" w:eastAsia="宋体" w:cs="宋体"/>
          <w:bCs/>
          <w:color w:val="auto"/>
          <w:sz w:val="24"/>
          <w:szCs w:val="24"/>
          <w:lang w:val="en-US" w:eastAsia="zh-CN"/>
        </w:rPr>
        <w:t>买</w:t>
      </w:r>
      <w:r>
        <w:rPr>
          <w:rFonts w:hint="eastAsia" w:ascii="宋体" w:hAnsi="宋体" w:eastAsia="宋体" w:cs="宋体"/>
          <w:bCs/>
          <w:color w:val="auto"/>
          <w:sz w:val="24"/>
          <w:szCs w:val="24"/>
        </w:rPr>
        <w:t>方仓库内进行抽样检验。如检验结果与本合同的规定不符时，应及时向</w:t>
      </w:r>
      <w:r>
        <w:rPr>
          <w:rFonts w:hint="eastAsia" w:ascii="宋体" w:hAnsi="宋体" w:eastAsia="宋体" w:cs="宋体"/>
          <w:bCs/>
          <w:color w:val="auto"/>
          <w:sz w:val="24"/>
          <w:szCs w:val="24"/>
          <w:lang w:val="en-US" w:eastAsia="zh-CN"/>
        </w:rPr>
        <w:t>卖</w:t>
      </w:r>
      <w:r>
        <w:rPr>
          <w:rFonts w:hint="eastAsia" w:ascii="宋体" w:hAnsi="宋体" w:eastAsia="宋体" w:cs="宋体"/>
          <w:bCs/>
          <w:color w:val="auto"/>
          <w:sz w:val="24"/>
          <w:szCs w:val="24"/>
        </w:rPr>
        <w:t>方提出，</w:t>
      </w:r>
      <w:r>
        <w:rPr>
          <w:rFonts w:hint="eastAsia" w:ascii="宋体" w:hAnsi="宋体" w:eastAsia="宋体" w:cs="宋体"/>
          <w:bCs/>
          <w:color w:val="auto"/>
          <w:sz w:val="24"/>
          <w:szCs w:val="24"/>
          <w:lang w:val="en-US" w:eastAsia="zh-CN"/>
        </w:rPr>
        <w:t>卖</w:t>
      </w:r>
      <w:r>
        <w:rPr>
          <w:rFonts w:hint="eastAsia" w:ascii="宋体" w:hAnsi="宋体" w:eastAsia="宋体" w:cs="宋体"/>
          <w:bCs/>
          <w:color w:val="auto"/>
          <w:sz w:val="24"/>
          <w:szCs w:val="24"/>
        </w:rPr>
        <w:t>方收到</w:t>
      </w:r>
      <w:r>
        <w:rPr>
          <w:rFonts w:hint="eastAsia" w:ascii="宋体" w:hAnsi="宋体" w:eastAsia="宋体" w:cs="宋体"/>
          <w:bCs/>
          <w:color w:val="auto"/>
          <w:sz w:val="24"/>
          <w:szCs w:val="24"/>
          <w:lang w:val="en-US" w:eastAsia="zh-CN"/>
        </w:rPr>
        <w:t>买</w:t>
      </w:r>
      <w:r>
        <w:rPr>
          <w:rFonts w:hint="eastAsia" w:ascii="宋体" w:hAnsi="宋体" w:eastAsia="宋体" w:cs="宋体"/>
          <w:bCs/>
          <w:color w:val="auto"/>
          <w:sz w:val="24"/>
          <w:szCs w:val="24"/>
        </w:rPr>
        <w:t>方质量异常反馈后，应在3个工作日内处理，否则视为默认</w:t>
      </w:r>
      <w:r>
        <w:rPr>
          <w:rFonts w:hint="eastAsia" w:ascii="宋体" w:hAnsi="宋体" w:eastAsia="宋体" w:cs="宋体"/>
          <w:bCs/>
          <w:color w:val="auto"/>
          <w:sz w:val="24"/>
          <w:szCs w:val="24"/>
          <w:lang w:val="en-US" w:eastAsia="zh-CN"/>
        </w:rPr>
        <w:t>卖</w:t>
      </w:r>
      <w:r>
        <w:rPr>
          <w:rFonts w:hint="eastAsia" w:ascii="宋体" w:hAnsi="宋体" w:eastAsia="宋体" w:cs="宋体"/>
          <w:bCs/>
          <w:color w:val="auto"/>
          <w:sz w:val="24"/>
          <w:szCs w:val="24"/>
        </w:rPr>
        <w:t>方提出的异议和处理意见。验收过程中，出现任何一项质量指标不合格，判定该批次沥青不合格。沥青不得含有杂质，外观质量以目视检测。</w:t>
      </w:r>
      <w:r>
        <w:rPr>
          <w:rFonts w:hint="eastAsia" w:ascii="宋体" w:hAnsi="宋体" w:eastAsia="宋体" w:cs="宋体"/>
          <w:bCs/>
          <w:color w:val="auto"/>
          <w:sz w:val="24"/>
          <w:szCs w:val="24"/>
          <w:lang w:val="en-US" w:eastAsia="zh-CN"/>
        </w:rPr>
        <w:t>必要时，买方可依据订货单（或合同）约定，进入卖方现场对拟交货的产品进行供货前的检查。</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bCs/>
          <w:color w:val="auto"/>
          <w:sz w:val="24"/>
          <w:szCs w:val="24"/>
          <w:lang w:eastAsia="zh-CN"/>
        </w:rPr>
        <w:t>每批次产品出厂前卖方应取样自检，检验报告随货发出。</w:t>
      </w:r>
    </w:p>
    <w:p>
      <w:pPr>
        <w:pStyle w:val="2"/>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color w:val="auto"/>
          <w:kern w:val="2"/>
          <w:sz w:val="24"/>
          <w:szCs w:val="24"/>
          <w:lang w:val="zh-CN" w:eastAsia="zh-CN"/>
        </w:rPr>
        <w:t>8.</w:t>
      </w:r>
      <w:r>
        <w:rPr>
          <w:rFonts w:hint="eastAsia" w:ascii="宋体" w:hAnsi="宋体" w:cs="宋体"/>
          <w:color w:val="auto"/>
          <w:kern w:val="2"/>
          <w:sz w:val="24"/>
          <w:szCs w:val="24"/>
          <w:lang w:val="en-US" w:eastAsia="zh-CN"/>
        </w:rPr>
        <w:t>3</w:t>
      </w:r>
      <w:r>
        <w:rPr>
          <w:rFonts w:hint="eastAsia" w:ascii="宋体" w:hAnsi="宋体" w:eastAsia="宋体" w:cs="宋体"/>
          <w:color w:val="auto"/>
          <w:kern w:val="2"/>
          <w:sz w:val="24"/>
          <w:szCs w:val="24"/>
          <w:lang w:val="zh-CN" w:eastAsia="zh-CN"/>
        </w:rPr>
        <w:t xml:space="preserve"> </w:t>
      </w:r>
      <w:r>
        <w:rPr>
          <w:rFonts w:hint="eastAsia" w:ascii="宋体" w:hAnsi="宋体" w:eastAsia="宋体" w:cs="宋体"/>
          <w:bCs/>
          <w:color w:val="auto"/>
          <w:kern w:val="2"/>
          <w:sz w:val="24"/>
          <w:szCs w:val="24"/>
          <w:lang w:val="zh-CN" w:eastAsia="zh-CN" w:bidi="ar-SA"/>
        </w:rPr>
        <w:t>沥青的取样检验</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rPr>
        <w:t xml:space="preserve">8.3.1 </w:t>
      </w:r>
      <w:r>
        <w:rPr>
          <w:rFonts w:hint="eastAsia" w:ascii="宋体" w:hAnsi="宋体" w:eastAsia="宋体" w:cs="宋体"/>
          <w:bCs/>
          <w:color w:val="auto"/>
          <w:kern w:val="2"/>
          <w:sz w:val="24"/>
          <w:szCs w:val="24"/>
          <w:lang w:val="en-US" w:eastAsia="zh-CN" w:bidi="ar-SA"/>
        </w:rPr>
        <w:t>取样和制样:</w:t>
      </w:r>
      <w:r>
        <w:rPr>
          <w:rFonts w:hint="eastAsia" w:ascii="宋体" w:hAnsi="宋体" w:eastAsia="宋体" w:cs="宋体"/>
          <w:bCs/>
          <w:color w:val="auto"/>
          <w:kern w:val="2"/>
          <w:sz w:val="24"/>
          <w:szCs w:val="24"/>
          <w:lang w:val="zh-CN" w:eastAsia="zh-CN" w:bidi="ar-SA"/>
        </w:rPr>
        <w:t>试样的采取按GB/T2000焦化固体类产品取样方法、GB/T 26297.5铝用炭素材料取样方法第5部分：煤沥青相关规定进行，试样的制备按GB/T2291煤沥青试验室试样的制备方法规定进行</w:t>
      </w:r>
      <w:r>
        <w:rPr>
          <w:rFonts w:hint="eastAsia" w:ascii="宋体" w:hAnsi="宋体" w:eastAsia="宋体" w:cs="宋体"/>
          <w:bCs/>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kern w:val="2"/>
          <w:sz w:val="24"/>
          <w:szCs w:val="24"/>
          <w:lang w:val="en-US" w:eastAsia="zh-CN"/>
        </w:rPr>
        <w:t>8.3.2</w:t>
      </w:r>
      <w:r>
        <w:rPr>
          <w:rFonts w:hint="eastAsia" w:ascii="宋体" w:hAnsi="宋体" w:eastAsia="宋体" w:cs="宋体"/>
          <w:bCs/>
          <w:color w:val="auto"/>
          <w:sz w:val="24"/>
          <w:szCs w:val="24"/>
          <w:lang w:val="en-US" w:eastAsia="zh-CN"/>
        </w:rPr>
        <w:t>组批：每5车组批检测水分、灰分、结焦值、软化点（连续两日内到货量不足5车的同样组批检测）。对于常期供货且连续两个月质量稳定的供应商，同一供应商，每15车（约500吨）随机抽取5车综合成一个样品检测水分、灰分、结焦值、软化点。</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ascii="宋体" w:hAnsi="宋体" w:eastAsia="宋体" w:cs="宋体"/>
          <w:color w:val="auto"/>
          <w:spacing w:val="-1"/>
          <w:sz w:val="24"/>
          <w:szCs w:val="24"/>
        </w:rPr>
      </w:pPr>
      <w:r>
        <w:rPr>
          <w:rFonts w:hint="eastAsia" w:ascii="宋体" w:hAnsi="宋体" w:eastAsia="宋体" w:cs="宋体"/>
          <w:color w:val="auto"/>
          <w:kern w:val="2"/>
          <w:sz w:val="24"/>
          <w:szCs w:val="24"/>
          <w:lang w:val="en-US" w:eastAsia="zh-CN"/>
        </w:rPr>
        <w:t>8.3.3</w:t>
      </w:r>
      <w:r>
        <w:rPr>
          <w:rFonts w:ascii="宋体" w:hAnsi="宋体" w:eastAsia="宋体" w:cs="宋体"/>
          <w:color w:val="auto"/>
          <w:spacing w:val="-2"/>
          <w:sz w:val="24"/>
          <w:szCs w:val="24"/>
        </w:rPr>
        <w:t>对于沥青甲苯不溶物、喹啉不溶物、</w:t>
      </w:r>
      <w:r>
        <w:rPr>
          <w:rFonts w:ascii="宋体" w:hAnsi="宋体" w:eastAsia="宋体" w:cs="宋体"/>
          <w:color w:val="auto"/>
          <w:spacing w:val="-61"/>
          <w:sz w:val="24"/>
          <w:szCs w:val="24"/>
        </w:rPr>
        <w:t xml:space="preserve"> </w:t>
      </w:r>
      <w:r>
        <w:rPr>
          <w:rFonts w:ascii="宋体" w:hAnsi="宋体" w:eastAsia="宋体" w:cs="宋体"/>
          <w:color w:val="auto"/>
          <w:spacing w:val="-2"/>
          <w:sz w:val="24"/>
          <w:szCs w:val="24"/>
        </w:rPr>
        <w:t>β树脂三项指标，新到货的供应商以每</w:t>
      </w:r>
      <w:r>
        <w:rPr>
          <w:rFonts w:ascii="宋体" w:hAnsi="宋体" w:eastAsia="宋体" w:cs="宋体"/>
          <w:color w:val="auto"/>
          <w:spacing w:val="-8"/>
          <w:sz w:val="24"/>
          <w:szCs w:val="24"/>
        </w:rPr>
        <w:t>15</w:t>
      </w:r>
      <w:r>
        <w:rPr>
          <w:rFonts w:ascii="宋体" w:hAnsi="宋体" w:eastAsia="宋体" w:cs="宋体"/>
          <w:color w:val="auto"/>
          <w:spacing w:val="-48"/>
          <w:sz w:val="24"/>
          <w:szCs w:val="24"/>
        </w:rPr>
        <w:t xml:space="preserve"> </w:t>
      </w:r>
      <w:r>
        <w:rPr>
          <w:rFonts w:ascii="宋体" w:hAnsi="宋体" w:eastAsia="宋体" w:cs="宋体"/>
          <w:color w:val="auto"/>
          <w:spacing w:val="-8"/>
          <w:sz w:val="24"/>
          <w:szCs w:val="24"/>
        </w:rPr>
        <w:t>车组批检测一次，当同一供应商连续两批次检测均合格后，转</w:t>
      </w:r>
      <w:r>
        <w:rPr>
          <w:rFonts w:ascii="宋体" w:hAnsi="宋体" w:eastAsia="宋体" w:cs="宋体"/>
          <w:color w:val="auto"/>
          <w:spacing w:val="-9"/>
          <w:sz w:val="24"/>
          <w:szCs w:val="24"/>
        </w:rPr>
        <w:t>为每月随机抽检一次，</w:t>
      </w:r>
      <w:r>
        <w:rPr>
          <w:rFonts w:ascii="宋体" w:hAnsi="宋体" w:eastAsia="宋体" w:cs="宋体"/>
          <w:color w:val="auto"/>
          <w:spacing w:val="1"/>
          <w:sz w:val="24"/>
          <w:szCs w:val="24"/>
        </w:rPr>
        <w:t>当抽检过程中出现任何一项指标不合格时，立即转</w:t>
      </w:r>
      <w:r>
        <w:rPr>
          <w:rFonts w:ascii="宋体" w:hAnsi="宋体" w:eastAsia="宋体" w:cs="宋体"/>
          <w:color w:val="auto"/>
          <w:sz w:val="24"/>
          <w:szCs w:val="24"/>
        </w:rPr>
        <w:t>为以每</w:t>
      </w:r>
      <w:r>
        <w:rPr>
          <w:rFonts w:ascii="宋体" w:hAnsi="宋体" w:eastAsia="宋体" w:cs="宋体"/>
          <w:color w:val="auto"/>
          <w:spacing w:val="-31"/>
          <w:sz w:val="24"/>
          <w:szCs w:val="24"/>
        </w:rPr>
        <w:t xml:space="preserve"> </w:t>
      </w:r>
      <w:r>
        <w:rPr>
          <w:rFonts w:ascii="宋体" w:hAnsi="宋体" w:eastAsia="宋体" w:cs="宋体"/>
          <w:color w:val="auto"/>
          <w:sz w:val="24"/>
          <w:szCs w:val="24"/>
        </w:rPr>
        <w:t>15</w:t>
      </w:r>
      <w:r>
        <w:rPr>
          <w:rFonts w:ascii="宋体" w:hAnsi="宋体" w:eastAsia="宋体" w:cs="宋体"/>
          <w:color w:val="auto"/>
          <w:spacing w:val="-46"/>
          <w:sz w:val="24"/>
          <w:szCs w:val="24"/>
        </w:rPr>
        <w:t xml:space="preserve"> </w:t>
      </w:r>
      <w:r>
        <w:rPr>
          <w:rFonts w:ascii="宋体" w:hAnsi="宋体" w:eastAsia="宋体" w:cs="宋体"/>
          <w:color w:val="auto"/>
          <w:sz w:val="24"/>
          <w:szCs w:val="24"/>
        </w:rPr>
        <w:t>车组批抽检一次，连续</w:t>
      </w:r>
      <w:r>
        <w:rPr>
          <w:rFonts w:ascii="宋体" w:hAnsi="宋体" w:eastAsia="宋体" w:cs="宋体"/>
          <w:color w:val="auto"/>
          <w:spacing w:val="-1"/>
          <w:sz w:val="24"/>
          <w:szCs w:val="24"/>
        </w:rPr>
        <w:t>两批次检测合格后再转为以每月随机抽检一次。</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kern w:val="2"/>
          <w:sz w:val="24"/>
          <w:szCs w:val="24"/>
          <w:lang w:val="en-US" w:eastAsia="zh-CN"/>
        </w:rPr>
        <w:t>8.3.4</w:t>
      </w:r>
      <w:r>
        <w:rPr>
          <w:rFonts w:hint="eastAsia" w:ascii="宋体" w:hAnsi="宋体" w:eastAsia="宋体" w:cs="Times New Roman"/>
          <w:b w:val="0"/>
          <w:bCs w:val="0"/>
          <w:color w:val="auto"/>
          <w:kern w:val="10"/>
          <w:sz w:val="24"/>
          <w:highlight w:val="none"/>
          <w:lang w:val="en-US" w:eastAsia="zh-CN"/>
        </w:rPr>
        <w:t>沥青在使用过程中出现质量问题时，可不定时进行取样检验。若为沥青质量存在问题的，由卖方承担相关责任及赔偿相应损失。</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8.3.5</w:t>
      </w:r>
      <w:r>
        <w:rPr>
          <w:rFonts w:ascii="宋体" w:hAnsi="宋体" w:eastAsia="宋体" w:cs="宋体"/>
          <w:color w:val="auto"/>
          <w:spacing w:val="-2"/>
          <w:sz w:val="24"/>
          <w:szCs w:val="24"/>
        </w:rPr>
        <w:t>沥青封存试样保存期限不少于</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个月。</w:t>
      </w:r>
    </w:p>
    <w:p>
      <w:pPr>
        <w:keepNext w:val="0"/>
        <w:keepLines w:val="0"/>
        <w:pageBreakBefore w:val="0"/>
        <w:widowControl w:val="0"/>
        <w:tabs>
          <w:tab w:val="left" w:pos="567"/>
        </w:tabs>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rPr>
        <w:t>8.3.6</w:t>
      </w:r>
      <w:r>
        <w:rPr>
          <w:rFonts w:hint="eastAsia" w:ascii="宋体" w:hAnsi="宋体" w:eastAsia="宋体" w:cs="宋体"/>
          <w:color w:val="auto"/>
          <w:sz w:val="24"/>
          <w:szCs w:val="24"/>
          <w:lang w:val="en-US" w:eastAsia="zh-CN"/>
        </w:rPr>
        <w:t>当抽检过程中出现一次样品某一指标超出规定范围时，由买方及时通知卖方，由买卖双方协商解决，如卖方有异议时，可以由买卖双方共同取样复查。如复查仍不合格，按沥青</w:t>
      </w:r>
      <w:r>
        <w:rPr>
          <w:rFonts w:hint="eastAsia" w:ascii="宋体" w:hAnsi="宋体" w:eastAsia="宋体" w:cs="宋体"/>
          <w:color w:val="auto"/>
          <w:sz w:val="24"/>
          <w:szCs w:val="24"/>
          <w:lang w:eastAsia="zh-CN"/>
        </w:rPr>
        <w:t>理化性能细则进行考核。</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11" w:right="57"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8.4复检</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right="0" w:firstLine="480" w:firstLineChars="200"/>
        <w:textAlignment w:val="auto"/>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8.4.1</w:t>
      </w:r>
      <w:r>
        <w:rPr>
          <w:rFonts w:ascii="宋体" w:hAnsi="宋体" w:eastAsia="宋体" w:cs="宋体"/>
          <w:color w:val="auto"/>
          <w:spacing w:val="-1"/>
          <w:sz w:val="24"/>
          <w:szCs w:val="24"/>
        </w:rPr>
        <w:t>复检方式：</w:t>
      </w:r>
      <w:r>
        <w:rPr>
          <w:rFonts w:hint="eastAsia" w:ascii="宋体" w:hAnsi="宋体" w:eastAsia="宋体" w:cs="宋体"/>
          <w:color w:val="auto"/>
          <w:spacing w:val="-1"/>
          <w:sz w:val="24"/>
          <w:szCs w:val="24"/>
          <w:lang w:val="en-US" w:eastAsia="zh-CN"/>
        </w:rPr>
        <w:t>买卖</w:t>
      </w:r>
      <w:r>
        <w:rPr>
          <w:rFonts w:ascii="宋体" w:hAnsi="宋体" w:eastAsia="宋体" w:cs="宋体"/>
          <w:color w:val="auto"/>
          <w:spacing w:val="-1"/>
          <w:sz w:val="24"/>
          <w:szCs w:val="24"/>
        </w:rPr>
        <w:t>双方在验收过程中就质量问题发生争议时，</w:t>
      </w:r>
      <w:r>
        <w:rPr>
          <w:rFonts w:hint="eastAsia" w:ascii="宋体" w:hAnsi="宋体" w:eastAsia="宋体" w:cs="宋体"/>
          <w:color w:val="auto"/>
          <w:spacing w:val="-1"/>
          <w:sz w:val="24"/>
          <w:szCs w:val="24"/>
          <w:lang w:val="en-US" w:eastAsia="zh-CN"/>
        </w:rPr>
        <w:t>卖</w:t>
      </w:r>
      <w:r>
        <w:rPr>
          <w:rFonts w:ascii="宋体" w:hAnsi="宋体" w:eastAsia="宋体" w:cs="宋体"/>
          <w:color w:val="auto"/>
          <w:spacing w:val="-1"/>
          <w:sz w:val="24"/>
          <w:szCs w:val="24"/>
        </w:rPr>
        <w:t>方需在</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个工作日内，以函件的方式向</w:t>
      </w:r>
      <w:r>
        <w:rPr>
          <w:rFonts w:hint="eastAsia" w:ascii="宋体" w:hAnsi="宋体" w:eastAsia="宋体" w:cs="宋体"/>
          <w:color w:val="auto"/>
          <w:spacing w:val="-1"/>
          <w:sz w:val="24"/>
          <w:szCs w:val="24"/>
          <w:lang w:val="en-US" w:eastAsia="zh-CN"/>
        </w:rPr>
        <w:t>买</w:t>
      </w:r>
      <w:r>
        <w:rPr>
          <w:rFonts w:ascii="宋体" w:hAnsi="宋体" w:eastAsia="宋体" w:cs="宋体"/>
          <w:color w:val="auto"/>
          <w:spacing w:val="-1"/>
          <w:sz w:val="24"/>
          <w:szCs w:val="24"/>
        </w:rPr>
        <w:t>方提出复检申请。</w:t>
      </w:r>
      <w:r>
        <w:rPr>
          <w:rFonts w:ascii="宋体" w:hAnsi="宋体" w:eastAsia="宋体" w:cs="宋体"/>
          <w:color w:val="auto"/>
          <w:spacing w:val="-2"/>
          <w:sz w:val="24"/>
          <w:szCs w:val="24"/>
        </w:rPr>
        <w:t>复检优先选择在</w:t>
      </w:r>
      <w:r>
        <w:rPr>
          <w:rFonts w:hint="eastAsia" w:ascii="宋体" w:hAnsi="宋体" w:eastAsia="宋体" w:cs="宋体"/>
          <w:color w:val="auto"/>
          <w:spacing w:val="-2"/>
          <w:sz w:val="24"/>
          <w:szCs w:val="24"/>
          <w:lang w:val="en-US" w:eastAsia="zh-CN"/>
        </w:rPr>
        <w:t>买</w:t>
      </w:r>
      <w:r>
        <w:rPr>
          <w:rFonts w:ascii="宋体" w:hAnsi="宋体" w:eastAsia="宋体" w:cs="宋体"/>
          <w:color w:val="auto"/>
          <w:spacing w:val="-2"/>
          <w:sz w:val="24"/>
          <w:szCs w:val="24"/>
        </w:rPr>
        <w:t>方实验室进行，当争</w:t>
      </w:r>
      <w:r>
        <w:rPr>
          <w:rFonts w:ascii="宋体" w:hAnsi="宋体" w:eastAsia="宋体" w:cs="宋体"/>
          <w:color w:val="auto"/>
          <w:spacing w:val="-1"/>
          <w:sz w:val="24"/>
          <w:szCs w:val="24"/>
        </w:rPr>
        <w:t>议较大或</w:t>
      </w:r>
      <w:r>
        <w:rPr>
          <w:rFonts w:hint="eastAsia" w:ascii="宋体" w:hAnsi="宋体" w:eastAsia="宋体" w:cs="宋体"/>
          <w:color w:val="auto"/>
          <w:spacing w:val="-1"/>
          <w:sz w:val="24"/>
          <w:szCs w:val="24"/>
          <w:lang w:val="en-US" w:eastAsia="zh-CN"/>
        </w:rPr>
        <w:t>卖</w:t>
      </w:r>
      <w:r>
        <w:rPr>
          <w:rFonts w:ascii="宋体" w:hAnsi="宋体" w:eastAsia="宋体" w:cs="宋体"/>
          <w:color w:val="auto"/>
          <w:spacing w:val="-1"/>
          <w:sz w:val="24"/>
          <w:szCs w:val="24"/>
        </w:rPr>
        <w:t>方有充分理由时，也可选择在双方</w:t>
      </w:r>
      <w:r>
        <w:rPr>
          <w:rFonts w:ascii="宋体" w:hAnsi="宋体" w:eastAsia="宋体" w:cs="宋体"/>
          <w:color w:val="auto"/>
          <w:spacing w:val="-2"/>
          <w:sz w:val="24"/>
          <w:szCs w:val="24"/>
        </w:rPr>
        <w:t>认可的具有资质的第三方实验室进行复</w:t>
      </w:r>
      <w:r>
        <w:rPr>
          <w:rFonts w:ascii="宋体" w:hAnsi="宋体" w:eastAsia="宋体" w:cs="宋体"/>
          <w:color w:val="auto"/>
          <w:spacing w:val="-1"/>
          <w:sz w:val="24"/>
          <w:szCs w:val="24"/>
        </w:rPr>
        <w:t>检（由</w:t>
      </w:r>
      <w:r>
        <w:rPr>
          <w:rFonts w:hint="eastAsia" w:ascii="宋体" w:hAnsi="宋体" w:eastAsia="宋体" w:cs="宋体"/>
          <w:color w:val="auto"/>
          <w:spacing w:val="-1"/>
          <w:sz w:val="24"/>
          <w:szCs w:val="24"/>
          <w:lang w:val="en-US" w:eastAsia="zh-CN"/>
        </w:rPr>
        <w:t>买</w:t>
      </w:r>
      <w:r>
        <w:rPr>
          <w:rFonts w:ascii="宋体" w:hAnsi="宋体" w:eastAsia="宋体" w:cs="宋体"/>
          <w:color w:val="auto"/>
          <w:spacing w:val="-1"/>
          <w:sz w:val="24"/>
          <w:szCs w:val="24"/>
        </w:rPr>
        <w:t>方在</w:t>
      </w:r>
      <w:r>
        <w:rPr>
          <w:rFonts w:hint="eastAsia" w:ascii="宋体" w:hAnsi="宋体" w:eastAsia="宋体" w:cs="宋体"/>
          <w:color w:val="auto"/>
          <w:spacing w:val="-1"/>
          <w:sz w:val="24"/>
          <w:szCs w:val="24"/>
          <w:lang w:val="en-US" w:eastAsia="zh-CN"/>
        </w:rPr>
        <w:t>买卖</w:t>
      </w:r>
      <w:r>
        <w:rPr>
          <w:rFonts w:ascii="宋体" w:hAnsi="宋体" w:eastAsia="宋体" w:cs="宋体"/>
          <w:color w:val="auto"/>
          <w:spacing w:val="-1"/>
          <w:sz w:val="24"/>
          <w:szCs w:val="24"/>
        </w:rPr>
        <w:t>双方认可的具有资质的第三方实验</w:t>
      </w:r>
      <w:r>
        <w:rPr>
          <w:rFonts w:ascii="宋体" w:hAnsi="宋体" w:eastAsia="宋体" w:cs="宋体"/>
          <w:color w:val="auto"/>
          <w:spacing w:val="-2"/>
          <w:sz w:val="24"/>
          <w:szCs w:val="24"/>
        </w:rPr>
        <w:t>室中随机选择一家进行复检）。</w:t>
      </w:r>
      <w:r>
        <w:rPr>
          <w:rFonts w:ascii="宋体" w:hAnsi="宋体" w:eastAsia="宋体" w:cs="宋体"/>
          <w:color w:val="auto"/>
          <w:spacing w:val="-1"/>
          <w:sz w:val="24"/>
          <w:szCs w:val="24"/>
        </w:rPr>
        <w:t>以上复检方式只可选择其中一种，不可两种同</w:t>
      </w:r>
      <w:r>
        <w:rPr>
          <w:rFonts w:ascii="宋体" w:hAnsi="宋体" w:eastAsia="宋体" w:cs="宋体"/>
          <w:color w:val="auto"/>
          <w:spacing w:val="-2"/>
          <w:sz w:val="24"/>
          <w:szCs w:val="24"/>
        </w:rPr>
        <w:t>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right="0" w:firstLine="480" w:firstLineChars="200"/>
        <w:textAlignment w:val="auto"/>
        <w:rPr>
          <w:rFonts w:ascii="宋体" w:hAnsi="宋体" w:eastAsia="宋体" w:cs="宋体"/>
          <w:color w:val="auto"/>
          <w:spacing w:val="-1"/>
          <w:sz w:val="24"/>
          <w:szCs w:val="24"/>
        </w:rPr>
      </w:pPr>
      <w:r>
        <w:rPr>
          <w:rFonts w:hint="eastAsia" w:ascii="宋体" w:hAnsi="宋体" w:eastAsia="宋体" w:cs="宋体"/>
          <w:color w:val="auto"/>
          <w:sz w:val="24"/>
          <w:szCs w:val="24"/>
          <w:lang w:val="en-US" w:eastAsia="zh-CN"/>
        </w:rPr>
        <w:t>8.4.2</w:t>
      </w:r>
      <w:r>
        <w:rPr>
          <w:rFonts w:ascii="宋体" w:hAnsi="宋体" w:eastAsia="宋体" w:cs="宋体"/>
          <w:color w:val="auto"/>
          <w:spacing w:val="-1"/>
          <w:sz w:val="24"/>
          <w:szCs w:val="24"/>
        </w:rPr>
        <w:t>复检样品：采用</w:t>
      </w:r>
      <w:r>
        <w:rPr>
          <w:rFonts w:hint="eastAsia" w:ascii="宋体" w:hAnsi="宋体" w:eastAsia="宋体" w:cs="宋体"/>
          <w:color w:val="auto"/>
          <w:spacing w:val="-1"/>
          <w:sz w:val="24"/>
          <w:szCs w:val="24"/>
          <w:lang w:val="en-US" w:eastAsia="zh-CN"/>
        </w:rPr>
        <w:t>买</w:t>
      </w:r>
      <w:r>
        <w:rPr>
          <w:rFonts w:ascii="宋体" w:hAnsi="宋体" w:eastAsia="宋体" w:cs="宋体"/>
          <w:color w:val="auto"/>
          <w:spacing w:val="-1"/>
          <w:sz w:val="24"/>
          <w:szCs w:val="24"/>
        </w:rPr>
        <w:t>方到货验收时的封存样品进行复检。</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right="0" w:firstLine="480" w:firstLineChars="200"/>
        <w:textAlignment w:val="auto"/>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8.4.3</w:t>
      </w:r>
      <w:r>
        <w:rPr>
          <w:rFonts w:ascii="宋体" w:hAnsi="宋体" w:eastAsia="宋体" w:cs="宋体"/>
          <w:color w:val="auto"/>
          <w:spacing w:val="1"/>
          <w:sz w:val="24"/>
          <w:szCs w:val="24"/>
        </w:rPr>
        <w:t>复检结果的应用：当复检结果在该项指</w:t>
      </w:r>
      <w:r>
        <w:rPr>
          <w:rFonts w:ascii="宋体" w:hAnsi="宋体" w:eastAsia="宋体" w:cs="宋体"/>
          <w:color w:val="auto"/>
          <w:sz w:val="24"/>
          <w:szCs w:val="24"/>
        </w:rPr>
        <w:t>标检测标准规定再现性范围内的，以</w:t>
      </w:r>
      <w:r>
        <w:rPr>
          <w:rFonts w:hint="eastAsia" w:ascii="宋体" w:hAnsi="宋体" w:eastAsia="宋体" w:cs="宋体"/>
          <w:color w:val="auto"/>
          <w:sz w:val="24"/>
          <w:szCs w:val="24"/>
          <w:lang w:val="en-US" w:eastAsia="zh-CN"/>
        </w:rPr>
        <w:t>买</w:t>
      </w:r>
      <w:r>
        <w:rPr>
          <w:rFonts w:ascii="宋体" w:hAnsi="宋体" w:eastAsia="宋体" w:cs="宋体"/>
          <w:color w:val="auto"/>
          <w:spacing w:val="-2"/>
          <w:sz w:val="24"/>
          <w:szCs w:val="24"/>
        </w:rPr>
        <w:t>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8.4.4当复检结果超出原化验结果时则按复检结果进行结算。已开发票结算的批次，不得申请复检。</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8.4.5</w:t>
      </w:r>
      <w:r>
        <w:rPr>
          <w:rFonts w:hint="eastAsia" w:ascii="宋体" w:hAnsi="宋体" w:eastAsia="宋体" w:cs="Times New Roman"/>
          <w:color w:val="auto"/>
          <w:kern w:val="10"/>
          <w:sz w:val="24"/>
          <w:highlight w:val="none"/>
          <w:lang w:val="en-US" w:eastAsia="zh-CN"/>
        </w:rPr>
        <w:t>复检费用：在买方实验室进行复检的，复检费用由买方承担；由具有资质的第三方实验室复检的，复检费用由提出异议方承担。</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退货</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买方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进行监督检查，凡被买方检查发现</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有掺假、</w:t>
      </w:r>
      <w:r>
        <w:rPr>
          <w:rFonts w:hint="eastAsia" w:ascii="宋体" w:hAnsi="宋体" w:eastAsia="宋体" w:cs="宋体"/>
          <w:color w:val="auto"/>
          <w:sz w:val="24"/>
          <w:szCs w:val="24"/>
          <w:lang w:val="en-US" w:eastAsia="zh-CN"/>
        </w:rPr>
        <w:t>杂质、</w:t>
      </w:r>
      <w:r>
        <w:rPr>
          <w:rFonts w:hint="eastAsia" w:ascii="宋体" w:hAnsi="宋体" w:eastAsia="宋体" w:cs="宋体"/>
          <w:color w:val="auto"/>
          <w:sz w:val="24"/>
          <w:szCs w:val="24"/>
        </w:rPr>
        <w:t>夹层的车辆，买方有权拒绝其进厂，已进厂卸车的，买方有权对该车不予结算。</w:t>
      </w:r>
      <w:r>
        <w:rPr>
          <w:rFonts w:hint="eastAsia" w:ascii="宋体" w:hAnsi="宋体" w:eastAsia="宋体" w:cs="宋体"/>
          <w:color w:val="auto"/>
          <w:sz w:val="24"/>
          <w:szCs w:val="24"/>
          <w:lang w:eastAsia="zh-CN"/>
        </w:rPr>
        <w:t>因质量不符合要求造成退货的，退货必须在</w:t>
      </w:r>
      <w:r>
        <w:rPr>
          <w:rFonts w:hint="eastAsia" w:ascii="宋体" w:hAnsi="宋体" w:eastAsia="宋体" w:cs="宋体"/>
          <w:color w:val="auto"/>
          <w:sz w:val="24"/>
          <w:szCs w:val="24"/>
          <w:lang w:val="en-US" w:eastAsia="zh-CN"/>
        </w:rPr>
        <w:t>3天内完成，若因卖方原因3天内不能退货造成买方损失的一切费用由卖方负责赔偿</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退货所产生的包装、运输等费用由卖方自行承担</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0.沥青</w:t>
      </w:r>
      <w:r>
        <w:rPr>
          <w:rFonts w:hint="eastAsia" w:ascii="宋体" w:hAnsi="宋体" w:eastAsia="宋体" w:cs="宋体"/>
          <w:b/>
          <w:bCs/>
          <w:color w:val="auto"/>
          <w:sz w:val="24"/>
          <w:szCs w:val="24"/>
        </w:rPr>
        <w:t>质量仲裁结果处理办法</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所供</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无掺假和无夹层但对化验结果有异议时，可提出由有资质的第</w:t>
      </w:r>
      <w:r>
        <w:rPr>
          <w:rFonts w:hint="eastAsia" w:ascii="宋体" w:hAnsi="宋体" w:eastAsia="宋体" w:cs="宋体"/>
          <w:color w:val="auto"/>
          <w:sz w:val="24"/>
          <w:szCs w:val="24"/>
          <w:lang w:eastAsia="zh-CN"/>
        </w:rPr>
        <w:t>三方</w:t>
      </w:r>
      <w:r>
        <w:rPr>
          <w:rFonts w:hint="eastAsia" w:ascii="宋体" w:hAnsi="宋体" w:eastAsia="宋体" w:cs="宋体"/>
          <w:color w:val="auto"/>
          <w:sz w:val="24"/>
          <w:szCs w:val="24"/>
        </w:rPr>
        <w:t>化验或者鉴定机构仲裁。仲裁过程需</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全程参与，若</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无法参与，应向买方提供书面说明予以确认，仲裁流程和仲裁结果</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将视为完全认可。当仲裁结果与原化验结果</w:t>
      </w:r>
      <w:r>
        <w:rPr>
          <w:rFonts w:hint="eastAsia" w:ascii="宋体" w:hAnsi="宋体" w:eastAsia="宋体" w:cs="宋体"/>
          <w:color w:val="auto"/>
          <w:sz w:val="24"/>
          <w:szCs w:val="24"/>
          <w:lang w:eastAsia="zh-CN"/>
        </w:rPr>
        <w:t>符合第</w:t>
      </w:r>
      <w:r>
        <w:rPr>
          <w:rFonts w:hint="eastAsia" w:ascii="宋体" w:hAnsi="宋体" w:eastAsia="宋体" w:cs="宋体"/>
          <w:color w:val="auto"/>
          <w:sz w:val="24"/>
          <w:szCs w:val="24"/>
          <w:lang w:val="en-US" w:eastAsia="zh-CN"/>
        </w:rPr>
        <w:t>1.2条要求的则</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合同单价</w:t>
      </w:r>
      <w:r>
        <w:rPr>
          <w:rFonts w:hint="eastAsia" w:ascii="宋体" w:hAnsi="宋体" w:eastAsia="宋体" w:cs="宋体"/>
          <w:color w:val="auto"/>
          <w:sz w:val="24"/>
          <w:szCs w:val="24"/>
        </w:rPr>
        <w:t>进行结算，</w:t>
      </w:r>
      <w:r>
        <w:rPr>
          <w:rFonts w:hint="eastAsia" w:ascii="宋体" w:hAnsi="宋体" w:eastAsia="宋体" w:cs="宋体"/>
          <w:color w:val="auto"/>
          <w:sz w:val="24"/>
          <w:szCs w:val="24"/>
          <w:lang w:eastAsia="zh-CN"/>
        </w:rPr>
        <w:t>不符合要求</w:t>
      </w:r>
      <w:r>
        <w:rPr>
          <w:rFonts w:hint="eastAsia" w:ascii="宋体" w:hAnsi="宋体" w:eastAsia="宋体" w:cs="宋体"/>
          <w:color w:val="auto"/>
          <w:sz w:val="24"/>
          <w:szCs w:val="24"/>
        </w:rPr>
        <w:t>则按</w:t>
      </w:r>
      <w:r>
        <w:rPr>
          <w:rFonts w:hint="eastAsia" w:ascii="宋体" w:hAnsi="宋体" w:eastAsia="宋体" w:cs="宋体"/>
          <w:color w:val="auto"/>
          <w:sz w:val="24"/>
          <w:szCs w:val="24"/>
          <w:lang w:val="en-US" w:eastAsia="zh-CN"/>
        </w:rPr>
        <w:t>附件二《（沥青）理化性能质量考核细则》</w:t>
      </w:r>
      <w:r>
        <w:rPr>
          <w:rFonts w:hint="eastAsia" w:ascii="宋体" w:hAnsi="宋体" w:eastAsia="宋体" w:cs="宋体"/>
          <w:color w:val="auto"/>
          <w:sz w:val="24"/>
          <w:szCs w:val="24"/>
        </w:rPr>
        <w:t>进行</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结算</w:t>
      </w:r>
      <w:r>
        <w:rPr>
          <w:rFonts w:hint="eastAsia" w:ascii="宋体" w:hAnsi="宋体" w:eastAsia="宋体" w:cs="宋体"/>
          <w:color w:val="auto"/>
          <w:sz w:val="24"/>
          <w:szCs w:val="24"/>
          <w:lang w:eastAsia="zh-CN"/>
        </w:rPr>
        <w:t>或退货处理，</w:t>
      </w:r>
      <w:r>
        <w:rPr>
          <w:rFonts w:hint="eastAsia" w:ascii="宋体" w:hAnsi="宋体" w:eastAsia="宋体" w:cs="宋体"/>
          <w:color w:val="auto"/>
          <w:sz w:val="24"/>
          <w:szCs w:val="24"/>
        </w:rPr>
        <w:t>仲裁费由提出仲裁方负责</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.违约责任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.1卖方未能按供货计划如期交货，迟延交货超过5日不足15日的，应按照迟延交付供应量*本合同约定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rPr>
        <w:t>元/吨）的2%每天向买方支付违约金。如果迟延交货超过15日的，卖方应支付未供应量*本合同约定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rPr>
        <w:t>元/吨）的30%违约金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若因卖方设备故障等原因造成不能如期交货的延后交付，卖方不承担违约责任）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因卖方原因实际供货量不足</w:t>
      </w:r>
      <w:r>
        <w:rPr>
          <w:rFonts w:hint="eastAsia" w:ascii="宋体" w:hAnsi="宋体" w:eastAsia="宋体" w:cs="宋体"/>
          <w:color w:val="auto"/>
          <w:sz w:val="24"/>
          <w:szCs w:val="24"/>
          <w:lang w:val="en-US" w:eastAsia="zh-CN"/>
        </w:rPr>
        <w:t>每阶段</w:t>
      </w:r>
      <w:r>
        <w:rPr>
          <w:rFonts w:hint="eastAsia" w:ascii="宋体" w:hAnsi="宋体" w:eastAsia="宋体" w:cs="宋体"/>
          <w:color w:val="auto"/>
          <w:sz w:val="24"/>
          <w:szCs w:val="24"/>
        </w:rPr>
        <w:t>供货计划的60%的，买方有权解除合同并另行寻源。买方按照本合同第1.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条约定向第三方寻源采购，数量为卖方未完成的合同总量，卖方则应按照以下计算方式向买方承担违约金：（买方采购价格-本合同约定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）*卖方未完成的合同总量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（取绝对值）</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3签订合同后，除买方书面同意外，卖方单方面不履行合同或中途擅自中止/终止履行合同或任何形式的转包、分包行为，均视为违约，买方有权解除合同，卖方应向买方支付本合同总金额（合同基准单价</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sz w:val="24"/>
          <w:szCs w:val="24"/>
          <w:lang w:val="en-US" w:eastAsia="zh-CN"/>
        </w:rPr>
        <w:t>元/吨*本合同第2.1条约定的数量）30%的违约金。</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11.4卖方提供的沥青品质应符合1.2条规格要求，如果达不到合同约定的质量要求的，买方有权按照第7.2条、第9条处理直至退货。</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11.5本合同履行期间，买方累计发现卖方供应的沥青有掺假、夹层的次数达到3次的，买方有权解除合同并另行寻源。买方按照本合同第1.2条约定向第三方寻源采购，数量为卖方未完成的合同总量，卖方则应按照以下计算方式向买方承担违约金：（买方采购价格-本合同约定的基准价）*卖方未完成的合同总量。（取绝对值）</w:t>
      </w:r>
    </w:p>
    <w:p>
      <w:pPr>
        <w:pStyle w:val="15"/>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 w:val="0"/>
          <w:bCs w:val="0"/>
          <w:i w:val="0"/>
          <w:iCs w:val="0"/>
          <w:color w:val="auto"/>
          <w:spacing w:val="0"/>
          <w:sz w:val="24"/>
          <w:szCs w:val="24"/>
          <w:highlight w:val="none"/>
          <w:shd w:val="clear" w:color="auto" w:fill="auto"/>
          <w:lang w:val="en-US" w:eastAsia="zh-CN"/>
        </w:rPr>
      </w:pPr>
      <w:r>
        <w:rPr>
          <w:rFonts w:hint="eastAsia" w:ascii="宋体" w:hAnsi="宋体" w:eastAsia="宋体" w:cs="宋体"/>
          <w:color w:val="auto"/>
          <w:sz w:val="24"/>
          <w:szCs w:val="24"/>
          <w:highlight w:val="none"/>
          <w:lang w:val="en-US" w:eastAsia="zh-CN"/>
        </w:rPr>
        <w:t>11.6</w:t>
      </w:r>
      <w:r>
        <w:rPr>
          <w:rFonts w:hint="eastAsia" w:ascii="宋体" w:hAnsi="宋体" w:eastAsia="宋体" w:cs="宋体"/>
          <w:color w:val="auto"/>
          <w:sz w:val="24"/>
          <w:szCs w:val="24"/>
          <w:highlight w:val="none"/>
        </w:rPr>
        <w:t>若买方不能按照本合同第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条的约定付款的，</w:t>
      </w:r>
      <w:r>
        <w:rPr>
          <w:rFonts w:hint="eastAsia" w:ascii="宋体" w:hAnsi="宋体" w:eastAsia="宋体" w:cs="宋体"/>
          <w:b w:val="0"/>
          <w:bCs w:val="0"/>
          <w:i w:val="0"/>
          <w:iCs w:val="0"/>
          <w:color w:val="auto"/>
          <w:spacing w:val="0"/>
          <w:sz w:val="24"/>
          <w:szCs w:val="24"/>
          <w:highlight w:val="none"/>
          <w:shd w:val="clear" w:color="auto" w:fill="auto"/>
          <w:lang w:val="en-US" w:eastAsia="zh-CN"/>
        </w:rPr>
        <w:t>如超期付款超过5日的，按应付余额的2%支付卖方违约金，超期付款超过15日的，按应付余额的30%支付卖方违约金。</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11.7</w:t>
      </w:r>
      <w:r>
        <w:rPr>
          <w:rFonts w:hint="eastAsia" w:ascii="宋体" w:hAnsi="宋体" w:eastAsia="宋体" w:cs="宋体"/>
          <w:color w:val="auto"/>
          <w:sz w:val="24"/>
          <w:szCs w:val="24"/>
          <w:lang w:eastAsia="zh-CN"/>
        </w:rPr>
        <w:t>买方可依据本合同规定，直接从卖方的应付账款及履约保证金中扣除卖方因索赔、违约责任与相关事宜所应当承担的款项。不足部分卖方应继续支付。</w:t>
      </w:r>
    </w:p>
    <w:p>
      <w:pPr>
        <w:keepNext w:val="0"/>
        <w:keepLines w:val="0"/>
        <w:pageBreakBefore w:val="0"/>
        <w:widowControl w:val="0"/>
        <w:kinsoku/>
        <w:wordWrap/>
        <w:overflowPunct/>
        <w:topLinePunct w:val="0"/>
        <w:bidi w:val="0"/>
        <w:adjustRightInd/>
        <w:snapToGrid w:val="0"/>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诚信自律</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val="0"/>
          <w:color w:val="auto"/>
          <w:kern w:val="2"/>
          <w:sz w:val="24"/>
          <w:szCs w:val="24"/>
          <w:lang w:eastAsia="zh-CN"/>
        </w:rPr>
        <w:t>买卖</w:t>
      </w:r>
      <w:r>
        <w:rPr>
          <w:rFonts w:hint="eastAsia" w:ascii="宋体" w:hAnsi="宋体" w:eastAsia="宋体" w:cs="宋体"/>
          <w:bCs w:val="0"/>
          <w:color w:val="auto"/>
          <w:kern w:val="2"/>
          <w:sz w:val="24"/>
          <w:szCs w:val="24"/>
        </w:rPr>
        <w:t>双方承诺在业务往来期间严格遵守诚信自律协议约定，具体详见附件</w:t>
      </w:r>
      <w:r>
        <w:rPr>
          <w:rFonts w:hint="eastAsia" w:ascii="宋体" w:hAnsi="宋体" w:eastAsia="宋体" w:cs="宋体"/>
          <w:bCs w:val="0"/>
          <w:color w:val="auto"/>
          <w:kern w:val="2"/>
          <w:sz w:val="24"/>
          <w:szCs w:val="24"/>
          <w:lang w:val="en-US" w:eastAsia="zh-CN"/>
        </w:rPr>
        <w:t>一</w:t>
      </w:r>
      <w:r>
        <w:rPr>
          <w:rFonts w:hint="eastAsia" w:ascii="宋体" w:hAnsi="宋体" w:eastAsia="宋体" w:cs="宋体"/>
          <w:bCs w:val="0"/>
          <w:color w:val="auto"/>
          <w:kern w:val="2"/>
          <w:sz w:val="24"/>
          <w:szCs w:val="24"/>
        </w:rPr>
        <w:t>《诚信自律特别协议》。</w:t>
      </w:r>
    </w:p>
    <w:p>
      <w:pPr>
        <w:keepNext w:val="0"/>
        <w:keepLines w:val="0"/>
        <w:pageBreakBefore w:val="0"/>
        <w:kinsoku/>
        <w:wordWrap/>
        <w:overflowPunct/>
        <w:topLinePunct w:val="0"/>
        <w:bidi w:val="0"/>
        <w:spacing w:before="156" w:beforeLines="50" w:after="156" w:afterLines="50"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 xml:space="preserve"> 安全条款 </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.1卖方派往买方送货的人员，进厂前，有责任了解买方的入厂（矿区）</w:t>
      </w:r>
      <w:r>
        <w:rPr>
          <w:rFonts w:hint="eastAsia" w:ascii="宋体" w:hAnsi="宋体" w:eastAsia="宋体" w:cs="宋体"/>
          <w:bCs w:val="0"/>
          <w:color w:val="auto"/>
          <w:kern w:val="2"/>
          <w:sz w:val="24"/>
          <w:szCs w:val="24"/>
          <w:lang w:val="en-US" w:eastAsia="zh-CN"/>
        </w:rPr>
        <w:t>须</w:t>
      </w:r>
      <w:r>
        <w:rPr>
          <w:rFonts w:hint="eastAsia" w:ascii="宋体" w:hAnsi="宋体" w:eastAsia="宋体" w:cs="宋体"/>
          <w:bCs w:val="0"/>
          <w:color w:val="auto"/>
          <w:kern w:val="2"/>
          <w:sz w:val="24"/>
          <w:szCs w:val="24"/>
          <w:lang w:eastAsia="zh-CN"/>
        </w:rPr>
        <w:t>知，遵守买方有关的安全和环保要求；卖方有关办事人员或受雇于卖方的人员在买方厂区（矿区）内应遵守买方所有厂规厂纪。</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2卖方相关人员进入买方厂区（矿区），要严格遵守买方公司管理制度配戴劳保用品并服从买方管理。如发现卖方人员未按要求穿戴安全防护用品，买方有权对其行为进行罚款200元/人次。因卖方自身防护不当造成人身伤亡事故的，由卖方承担全部经济和法律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.3因卖方工作人员的过错造成对买方或第三方人身伤害及财产的损失，由卖方承担全部法律责任。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.4未经买方允许，卖方人员不能随意进入买方厂区（矿区）。</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.不可抗力事件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由于地震、台风、水灾、战争</w:t>
      </w:r>
      <w:r>
        <w:rPr>
          <w:rFonts w:hint="eastAsia" w:ascii="宋体" w:hAnsi="宋体" w:eastAsia="宋体" w:cs="宋体"/>
          <w:color w:val="auto"/>
          <w:sz w:val="24"/>
          <w:szCs w:val="24"/>
          <w:lang w:eastAsia="zh-CN"/>
        </w:rPr>
        <w:t>、因疫情防控原因造成的无法供货情况</w:t>
      </w:r>
      <w:r>
        <w:rPr>
          <w:rFonts w:hint="eastAsia" w:ascii="宋体" w:hAnsi="宋体" w:eastAsia="宋体" w:cs="宋体"/>
          <w:color w:val="auto"/>
          <w:sz w:val="24"/>
          <w:szCs w:val="24"/>
        </w:rPr>
        <w:t>和国家宏观调控政策影响等以及其它不能预见并且对其发生或后果不能防或避免的不可抗力事件，致使直接影响到本合同的履行或者无法按约定条件履行，遇不可抗力事件的一方应在15日内书面通知另一方，并提交由当地公证机关出具的不可抗力事件发生的有效证明。</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在受不可抗力事件影响的范围内，当事人可免除履行本合同的责任。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14.3</w:t>
      </w:r>
      <w:r>
        <w:rPr>
          <w:rFonts w:hint="eastAsia" w:ascii="宋体" w:hAnsi="宋体" w:eastAsia="宋体" w:cs="宋体"/>
          <w:color w:val="auto"/>
          <w:sz w:val="24"/>
          <w:szCs w:val="24"/>
        </w:rPr>
        <w:t>不可抗力解除后，买、卖双方是否延期履行、部分履行或取消履行本合同，双方应本着相互谅解、互惠互利原则协商确定。</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.争议的解决</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凡因本合同或与本合同有关而发生的争议，</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应友好协商解决。协商不成的，可向</w:t>
      </w:r>
      <w:r>
        <w:rPr>
          <w:rFonts w:hint="eastAsia" w:ascii="宋体" w:hAnsi="宋体" w:eastAsia="宋体" w:cs="宋体"/>
          <w:color w:val="auto"/>
          <w:sz w:val="24"/>
          <w:szCs w:val="24"/>
          <w:highlight w:val="none"/>
        </w:rPr>
        <w:t>买方所在</w:t>
      </w:r>
      <w:r>
        <w:rPr>
          <w:rFonts w:hint="eastAsia" w:ascii="宋体" w:hAnsi="宋体" w:eastAsia="宋体" w:cs="宋体"/>
          <w:color w:val="auto"/>
          <w:sz w:val="24"/>
          <w:szCs w:val="24"/>
        </w:rPr>
        <w:t>地有管辖权的人民法院提起诉讼。</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.生效及其它</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 本合同经买卖双方法定代表人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授权代表人签字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盖法人代表姓名章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并加盖合同专用章或公章后生效。</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.2 在本合同履行期间，</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应根据买方通知的时间和数量来进行</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发运。本合同项下价格除非特别说明，否则均应为含税价。</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 在本合同履行期间，买方可根据生产及库存情况，提前2日以书面或电话、微信等形式通知</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lang w:val="en-US" w:eastAsia="zh-CN"/>
        </w:rPr>
        <w:t>供货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因买方原因导致交货期延迟的，合同交货期顺延。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.4 </w:t>
      </w:r>
      <w:r>
        <w:rPr>
          <w:rFonts w:hint="eastAsia" w:ascii="宋体" w:hAnsi="宋体" w:eastAsia="宋体" w:cs="宋体"/>
          <w:color w:val="auto"/>
          <w:kern w:val="2"/>
          <w:sz w:val="24"/>
          <w:szCs w:val="24"/>
          <w:lang w:val="en-US"/>
        </w:rPr>
        <w:t>合同一经生效，任何一方不得擅自变更、修改和终止。如一方需要变更、修改和终止合同的，应当以书面形式向对方提出建议，经双方协商达成一致意见的，应订立补充协议或解除协议</w:t>
      </w:r>
      <w:r>
        <w:rPr>
          <w:rFonts w:hint="eastAsia" w:ascii="宋体" w:hAnsi="宋体" w:eastAsia="宋体" w:cs="宋体"/>
          <w:color w:val="auto"/>
          <w:kern w:val="2"/>
          <w:sz w:val="24"/>
          <w:szCs w:val="24"/>
          <w:lang w:val="en-US" w:eastAsia="zh-CN"/>
        </w:rPr>
        <w:t>并</w:t>
      </w:r>
      <w:r>
        <w:rPr>
          <w:rFonts w:hint="eastAsia" w:ascii="宋体" w:hAnsi="宋体" w:eastAsia="宋体" w:cs="宋体"/>
          <w:color w:val="auto"/>
          <w:kern w:val="2"/>
          <w:sz w:val="24"/>
          <w:szCs w:val="24"/>
          <w:lang w:val="en-US"/>
        </w:rPr>
        <w:t>经双方加盖合同印章确认</w:t>
      </w:r>
      <w:r>
        <w:rPr>
          <w:rFonts w:hint="eastAsia" w:ascii="宋体" w:hAnsi="宋体" w:eastAsia="宋体" w:cs="宋体"/>
          <w:color w:val="auto"/>
          <w:kern w:val="2"/>
          <w:sz w:val="24"/>
          <w:szCs w:val="24"/>
          <w:lang w:val="en-US" w:eastAsia="zh-CN"/>
        </w:rPr>
        <w:t>或公章印章确认</w:t>
      </w:r>
      <w:r>
        <w:rPr>
          <w:rFonts w:hint="eastAsia" w:ascii="宋体" w:hAnsi="宋体" w:eastAsia="宋体" w:cs="宋体"/>
          <w:color w:val="auto"/>
          <w:kern w:val="2"/>
          <w:sz w:val="24"/>
          <w:szCs w:val="24"/>
          <w:lang w:val="en-US"/>
        </w:rPr>
        <w:t>，视为本合同有效组成部分，与本合同具有同等效力。</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rPr>
        <w:t>16.5</w:t>
      </w:r>
      <w:r>
        <w:rPr>
          <w:rFonts w:hint="eastAsia" w:ascii="宋体" w:hAnsi="宋体" w:eastAsia="宋体" w:cs="宋体"/>
          <w:color w:val="auto"/>
          <w:kern w:val="2"/>
          <w:sz w:val="24"/>
          <w:szCs w:val="24"/>
          <w:lang w:val="en-US"/>
        </w:rPr>
        <w:t xml:space="preserve"> 买方履行本合同需以当面交付、邮寄、电子邮件将相关声明、资料、文件通知</w:t>
      </w:r>
      <w:r>
        <w:rPr>
          <w:rFonts w:hint="eastAsia" w:ascii="宋体" w:hAnsi="宋体" w:eastAsia="宋体" w:cs="宋体"/>
          <w:color w:val="auto"/>
          <w:kern w:val="2"/>
          <w:sz w:val="24"/>
          <w:szCs w:val="24"/>
          <w:lang w:val="en-US" w:eastAsia="zh-CN"/>
        </w:rPr>
        <w:t>卖方</w:t>
      </w:r>
      <w:r>
        <w:rPr>
          <w:rFonts w:hint="eastAsia" w:ascii="宋体" w:hAnsi="宋体" w:eastAsia="宋体" w:cs="宋体"/>
          <w:color w:val="auto"/>
          <w:kern w:val="2"/>
          <w:sz w:val="24"/>
          <w:szCs w:val="24"/>
          <w:lang w:val="en-US"/>
        </w:rPr>
        <w:t>，卖方同意以下方式进行：</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.1买方以当面交付方式通知卖方的，卖方联系人为：</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lang w:val="en-US"/>
        </w:rPr>
        <w:t>，联系电话：</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lang w:val="en-US"/>
        </w:rPr>
        <w:t>，自卖方联系人签字确认之时视为卖方已获悉该通知内容。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.2买方以邮寄方式通知卖方的，卖方邮寄地址为</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rPr>
        <w:t>自买方按本条约定地址快递寄出后5日视为卖方已获悉该通知内容。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.3买方以电子邮件方式通知卖方的，卖方电子邮箱地址为：</w:t>
      </w:r>
      <w:r>
        <w:rPr>
          <w:rFonts w:hint="eastAsia" w:ascii="宋体" w:hAnsi="宋体" w:eastAsia="宋体" w:cs="宋体"/>
          <w:color w:val="auto"/>
          <w:sz w:val="24"/>
          <w:szCs w:val="24"/>
          <w:u w:val="single"/>
          <w:lang w:val="en-US" w:eastAsia="zh-CN"/>
        </w:rPr>
        <w:t>【键入内容】</w:t>
      </w:r>
      <w:r>
        <w:rPr>
          <w:rFonts w:hint="eastAsia" w:ascii="宋体" w:hAnsi="宋体" w:eastAsia="宋体" w:cs="宋体"/>
          <w:color w:val="auto"/>
          <w:kern w:val="2"/>
          <w:sz w:val="24"/>
          <w:szCs w:val="24"/>
          <w:highlight w:val="none"/>
          <w:lang w:val="en-US"/>
        </w:rPr>
        <w:t>，自买方向本条约定</w:t>
      </w:r>
      <w:r>
        <w:rPr>
          <w:rFonts w:hint="eastAsia" w:ascii="宋体" w:hAnsi="宋体" w:eastAsia="宋体" w:cs="宋体"/>
          <w:color w:val="auto"/>
          <w:kern w:val="2"/>
          <w:sz w:val="24"/>
          <w:szCs w:val="24"/>
          <w:lang w:val="en-US"/>
        </w:rPr>
        <w:t>邮箱发出邮件之时视为卖方已获悉该通知内容。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.4买方有权选择以上任意一种方式，卖方在接到买方通知后应在 7日内作出书面答复；卖方未按本条约定进行答复的，视为承认并接受该通知内容，并承担由此产生的责任。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.5卖方联系人、邮寄地址、电子邮箱地址发生变更的，应在三日内以本合同约定方式通知买方；若卖方未履行上述义务，应承担由此产生的责任。</w:t>
      </w:r>
    </w:p>
    <w:p>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本合同正本壹式</w:t>
      </w:r>
      <w:r>
        <w:rPr>
          <w:rFonts w:hint="eastAsia" w:ascii="宋体" w:hAnsi="宋体" w:eastAsia="宋体" w:cs="宋体"/>
          <w:color w:val="auto"/>
          <w:sz w:val="24"/>
          <w:szCs w:val="24"/>
          <w:lang w:val="en-US" w:eastAsia="zh-CN"/>
        </w:rPr>
        <w:t>贰</w:t>
      </w:r>
      <w:r>
        <w:rPr>
          <w:rFonts w:hint="eastAsia" w:ascii="宋体" w:hAnsi="宋体" w:eastAsia="宋体" w:cs="宋体"/>
          <w:color w:val="auto"/>
          <w:sz w:val="24"/>
          <w:szCs w:val="24"/>
        </w:rPr>
        <w:t>份，买方执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份，卖方执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w:t>
      </w:r>
      <w:r>
        <w:rPr>
          <w:rFonts w:hint="eastAsia" w:ascii="宋体" w:hAnsi="宋体" w:eastAsia="宋体" w:cs="宋体"/>
          <w:color w:val="auto"/>
          <w:kern w:val="2"/>
          <w:sz w:val="24"/>
          <w:szCs w:val="24"/>
          <w:lang w:val="en-US" w:eastAsia="zh-CN"/>
        </w:rPr>
        <w:t>具有同等法律效力</w:t>
      </w:r>
      <w:r>
        <w:rPr>
          <w:rFonts w:hint="eastAsia" w:ascii="宋体" w:hAnsi="宋体" w:eastAsia="宋体" w:cs="宋体"/>
          <w:color w:val="auto"/>
          <w:kern w:val="2"/>
          <w:sz w:val="24"/>
          <w:szCs w:val="24"/>
          <w:lang w:val="en-US"/>
        </w:rPr>
        <w:t>。</w:t>
      </w:r>
    </w:p>
    <w:p>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16.7买卖双方签署了本合同意味着同意本合同及其附件的全部条款约定。</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rPr>
        <w:t>(以下无正文)</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附件一：《诚信自律特别协议》</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
          <w:bCs w:val="0"/>
          <w:color w:val="auto"/>
          <w:kern w:val="2"/>
          <w:sz w:val="24"/>
          <w:szCs w:val="24"/>
          <w:lang w:eastAsia="zh-CN"/>
        </w:rPr>
      </w:pPr>
      <w:r>
        <w:rPr>
          <w:rFonts w:hint="eastAsia" w:ascii="宋体" w:hAnsi="宋体" w:eastAsia="宋体" w:cs="宋体"/>
          <w:color w:val="auto"/>
          <w:sz w:val="24"/>
          <w:szCs w:val="24"/>
          <w:lang w:val="en-US" w:eastAsia="zh-CN"/>
        </w:rPr>
        <w:t>附件二：《（沥青）理化性能质量考核细则》</w:t>
      </w:r>
    </w:p>
    <w:p>
      <w:pPr>
        <w:pStyle w:val="2"/>
        <w:keepNext w:val="0"/>
        <w:keepLines w:val="0"/>
        <w:pageBreakBefore w:val="0"/>
        <w:kinsoku/>
        <w:wordWrap/>
        <w:overflowPunct/>
        <w:topLinePunct w:val="0"/>
        <w:bidi w:val="0"/>
        <w:spacing w:line="360" w:lineRule="auto"/>
        <w:rPr>
          <w:rFonts w:hint="eastAsia" w:ascii="宋体" w:hAnsi="宋体" w:eastAsia="宋体" w:cs="宋体"/>
          <w:b/>
          <w:bCs w:val="0"/>
          <w:sz w:val="36"/>
          <w:szCs w:val="36"/>
        </w:rPr>
      </w:pPr>
      <w:r>
        <w:rPr>
          <w:rFonts w:hint="eastAsia" w:ascii="宋体" w:hAnsi="宋体" w:eastAsia="宋体" w:cs="宋体"/>
          <w:b/>
          <w:bCs w:val="0"/>
          <w:color w:val="auto"/>
          <w:kern w:val="2"/>
          <w:sz w:val="24"/>
          <w:szCs w:val="24"/>
          <w:lang w:eastAsia="zh-CN"/>
        </w:rPr>
        <w:t>附件</w:t>
      </w:r>
      <w:r>
        <w:rPr>
          <w:rFonts w:hint="eastAsia" w:ascii="宋体" w:hAnsi="宋体" w:eastAsia="宋体" w:cs="宋体"/>
          <w:b/>
          <w:bCs w:val="0"/>
          <w:color w:val="auto"/>
          <w:kern w:val="2"/>
          <w:sz w:val="24"/>
          <w:szCs w:val="24"/>
          <w:lang w:val="en-US" w:eastAsia="zh-CN"/>
        </w:rPr>
        <w:t>一</w:t>
      </w:r>
    </w:p>
    <w:p>
      <w:pPr>
        <w:keepNext w:val="0"/>
        <w:keepLines w:val="0"/>
        <w:pageBreakBefore w:val="0"/>
        <w:kinsoku/>
        <w:wordWrap/>
        <w:overflowPunct/>
        <w:topLinePunct w:val="0"/>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b/>
          <w:sz w:val="36"/>
          <w:szCs w:val="36"/>
        </w:rPr>
        <w:t>诚信自律特别协议</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sz w:val="24"/>
          <w:szCs w:val="24"/>
          <w:u w:val="none"/>
        </w:rPr>
      </w:pPr>
      <w:r>
        <w:rPr>
          <w:rFonts w:hint="eastAsia" w:ascii="宋体" w:hAnsi="宋体" w:eastAsia="宋体" w:cs="宋体"/>
          <w:sz w:val="24"/>
          <w:szCs w:val="24"/>
          <w:lang w:eastAsia="zh-CN"/>
        </w:rPr>
        <w:t>买方</w:t>
      </w:r>
      <w:r>
        <w:rPr>
          <w:rFonts w:hint="eastAsia" w:ascii="宋体" w:hAnsi="宋体" w:eastAsia="宋体" w:cs="宋体"/>
          <w:sz w:val="24"/>
          <w:szCs w:val="24"/>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sz w:val="24"/>
          <w:szCs w:val="24"/>
          <w:u w:val="none"/>
        </w:rPr>
        <w:t xml:space="preserve">                </w:t>
      </w:r>
    </w:p>
    <w:p>
      <w:pPr>
        <w:keepNext w:val="0"/>
        <w:keepLines w:val="0"/>
        <w:pageBreakBefore w:val="0"/>
        <w:kinsoku/>
        <w:wordWrap/>
        <w:overflowPunct/>
        <w:topLinePunct w:val="0"/>
        <w:bidi w:val="0"/>
        <w:spacing w:beforeAutospacing="0" w:afterAutospacing="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lang w:eastAsia="zh-CN"/>
        </w:rPr>
        <w:t>卖方</w:t>
      </w:r>
      <w:r>
        <w:rPr>
          <w:rFonts w:hint="eastAsia" w:ascii="宋体" w:hAnsi="宋体" w:eastAsia="宋体" w:cs="宋体"/>
          <w:sz w:val="24"/>
          <w:szCs w:val="24"/>
        </w:rPr>
        <w:t>：</w:t>
      </w:r>
      <w:r>
        <w:rPr>
          <w:rFonts w:hint="eastAsia" w:ascii="宋体" w:hAnsi="宋体" w:eastAsia="宋体" w:cs="宋体"/>
          <w:color w:val="auto"/>
          <w:sz w:val="24"/>
          <w:szCs w:val="24"/>
          <w:u w:val="single"/>
          <w:lang w:val="en-US" w:eastAsia="zh-CN"/>
        </w:rPr>
        <w:t>【键入内容】</w:t>
      </w:r>
      <w:r>
        <w:rPr>
          <w:rFonts w:hint="eastAsia" w:ascii="宋体" w:hAnsi="宋体" w:eastAsia="宋体" w:cs="宋体"/>
          <w:b w:val="0"/>
          <w:bCs w:val="0"/>
          <w:i w:val="0"/>
          <w:iCs w:val="0"/>
          <w:color w:val="auto"/>
          <w:spacing w:val="0"/>
          <w:sz w:val="32"/>
          <w:szCs w:val="32"/>
          <w:u w:val="none"/>
          <w:shd w:val="clear" w:color="auto" w:fill="auto"/>
          <w:lang w:val="en-US" w:eastAsia="zh-CN"/>
        </w:rPr>
        <w:t xml:space="preserve">     </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鉴于</w:t>
      </w:r>
      <w:r>
        <w:rPr>
          <w:rFonts w:hint="eastAsia" w:ascii="宋体" w:hAnsi="宋体" w:eastAsia="宋体" w:cs="宋体"/>
          <w:sz w:val="24"/>
          <w:szCs w:val="24"/>
          <w:lang w:eastAsia="zh-CN"/>
        </w:rPr>
        <w:t>卖方</w:t>
      </w:r>
      <w:r>
        <w:rPr>
          <w:rFonts w:hint="eastAsia" w:ascii="宋体" w:hAnsi="宋体" w:eastAsia="宋体" w:cs="宋体"/>
          <w:sz w:val="24"/>
          <w:szCs w:val="24"/>
        </w:rPr>
        <w:t>为</w:t>
      </w:r>
      <w:r>
        <w:rPr>
          <w:rFonts w:hint="eastAsia" w:ascii="宋体" w:hAnsi="宋体" w:eastAsia="宋体" w:cs="宋体"/>
          <w:sz w:val="24"/>
          <w:szCs w:val="24"/>
          <w:lang w:eastAsia="zh-CN"/>
        </w:rPr>
        <w:t>买方</w:t>
      </w:r>
      <w:r>
        <w:rPr>
          <w:rFonts w:hint="eastAsia" w:ascii="宋体" w:hAnsi="宋体" w:eastAsia="宋体" w:cs="宋体"/>
          <w:sz w:val="24"/>
          <w:szCs w:val="24"/>
        </w:rPr>
        <w:t>提供产品/服务/工程或双方存在其他经济业务往来，为促使双方建立长期的诚信合作关系，保证在公平、公正、公开原则下履行业务合同，依据相关法律法规，经</w:t>
      </w:r>
      <w:r>
        <w:rPr>
          <w:rFonts w:hint="eastAsia" w:ascii="宋体" w:hAnsi="宋体" w:eastAsia="宋体" w:cs="宋体"/>
          <w:sz w:val="24"/>
          <w:szCs w:val="24"/>
          <w:lang w:eastAsia="zh-CN"/>
        </w:rPr>
        <w:t>买卖双方</w:t>
      </w:r>
      <w:r>
        <w:rPr>
          <w:rFonts w:hint="eastAsia" w:ascii="宋体" w:hAnsi="宋体" w:eastAsia="宋体" w:cs="宋体"/>
          <w:sz w:val="24"/>
          <w:szCs w:val="24"/>
        </w:rPr>
        <w:t>友好协商，达成如下约定。</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第一条 诚信责任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卖方</w:t>
      </w:r>
      <w:r>
        <w:rPr>
          <w:rFonts w:hint="eastAsia" w:ascii="宋体" w:hAnsi="宋体" w:eastAsia="宋体" w:cs="宋体"/>
          <w:sz w:val="24"/>
          <w:szCs w:val="24"/>
        </w:rPr>
        <w:t>(包括</w:t>
      </w:r>
      <w:r>
        <w:rPr>
          <w:rFonts w:hint="eastAsia" w:ascii="宋体" w:hAnsi="宋体" w:eastAsia="宋体" w:cs="宋体"/>
          <w:sz w:val="24"/>
          <w:szCs w:val="24"/>
          <w:lang w:eastAsia="zh-CN"/>
        </w:rPr>
        <w:t>卖方</w:t>
      </w:r>
      <w:r>
        <w:rPr>
          <w:rFonts w:hint="eastAsia" w:ascii="宋体" w:hAnsi="宋体" w:eastAsia="宋体" w:cs="宋体"/>
          <w:sz w:val="24"/>
          <w:szCs w:val="24"/>
        </w:rPr>
        <w:t>、</w:t>
      </w:r>
      <w:r>
        <w:rPr>
          <w:rFonts w:hint="eastAsia" w:ascii="宋体" w:hAnsi="宋体" w:eastAsia="宋体" w:cs="宋体"/>
          <w:sz w:val="24"/>
          <w:szCs w:val="24"/>
          <w:lang w:eastAsia="zh-CN"/>
        </w:rPr>
        <w:t>卖方</w:t>
      </w:r>
      <w:r>
        <w:rPr>
          <w:rFonts w:hint="eastAsia" w:ascii="宋体" w:hAnsi="宋体" w:eastAsia="宋体" w:cs="宋体"/>
          <w:sz w:val="24"/>
          <w:szCs w:val="24"/>
        </w:rPr>
        <w:t>关联方及其相关工作人员，下同），应与</w:t>
      </w:r>
      <w:r>
        <w:rPr>
          <w:rFonts w:hint="eastAsia" w:ascii="宋体" w:hAnsi="宋体" w:eastAsia="宋体" w:cs="宋体"/>
          <w:sz w:val="24"/>
          <w:szCs w:val="24"/>
          <w:lang w:eastAsia="zh-CN"/>
        </w:rPr>
        <w:t>买方</w:t>
      </w:r>
      <w:r>
        <w:rPr>
          <w:rFonts w:hint="eastAsia" w:ascii="宋体" w:hAnsi="宋体" w:eastAsia="宋体" w:cs="宋体"/>
          <w:sz w:val="24"/>
          <w:szCs w:val="24"/>
        </w:rPr>
        <w:t>（包括</w:t>
      </w:r>
      <w:r>
        <w:rPr>
          <w:rFonts w:hint="eastAsia" w:ascii="宋体" w:hAnsi="宋体" w:eastAsia="宋体" w:cs="宋体"/>
          <w:sz w:val="24"/>
          <w:szCs w:val="24"/>
          <w:lang w:eastAsia="zh-CN"/>
        </w:rPr>
        <w:t>买方</w:t>
      </w:r>
      <w:r>
        <w:rPr>
          <w:rFonts w:hint="eastAsia" w:ascii="宋体" w:hAnsi="宋体" w:eastAsia="宋体" w:cs="宋体"/>
          <w:sz w:val="24"/>
          <w:szCs w:val="24"/>
        </w:rPr>
        <w:t>及其关联方，下同）人员（包括但不限于亲属、利益关系人等，下同）保持正常、合法的业务交往，按照有关法律法规和程序开展业务工作，严格履行双方合同约定。</w:t>
      </w:r>
      <w:r>
        <w:rPr>
          <w:rFonts w:hint="eastAsia" w:ascii="宋体" w:hAnsi="宋体" w:eastAsia="宋体" w:cs="宋体"/>
          <w:sz w:val="24"/>
          <w:szCs w:val="24"/>
          <w:lang w:eastAsia="zh-CN"/>
        </w:rPr>
        <w:t>卖方</w:t>
      </w:r>
      <w:r>
        <w:rPr>
          <w:rFonts w:hint="eastAsia" w:ascii="宋体" w:hAnsi="宋体" w:eastAsia="宋体" w:cs="宋体"/>
          <w:sz w:val="24"/>
          <w:szCs w:val="24"/>
        </w:rPr>
        <w:t xml:space="preserve">应当遵守以下要求： </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不得向</w:t>
      </w:r>
      <w:r>
        <w:rPr>
          <w:rFonts w:hint="eastAsia" w:ascii="宋体" w:hAnsi="宋体" w:eastAsia="宋体" w:cs="宋体"/>
          <w:sz w:val="24"/>
          <w:szCs w:val="24"/>
          <w:lang w:eastAsia="zh-CN"/>
        </w:rPr>
        <w:t>买方</w:t>
      </w:r>
      <w:r>
        <w:rPr>
          <w:rFonts w:hint="eastAsia" w:ascii="宋体" w:hAnsi="宋体" w:eastAsia="宋体" w:cs="宋体"/>
          <w:sz w:val="24"/>
          <w:szCs w:val="24"/>
        </w:rPr>
        <w:t>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不得以任何理由为</w:t>
      </w:r>
      <w:r>
        <w:rPr>
          <w:rFonts w:hint="eastAsia" w:ascii="宋体" w:hAnsi="宋体" w:eastAsia="宋体" w:cs="宋体"/>
          <w:sz w:val="24"/>
          <w:szCs w:val="24"/>
          <w:lang w:eastAsia="zh-CN"/>
        </w:rPr>
        <w:t>买方</w:t>
      </w:r>
      <w:r>
        <w:rPr>
          <w:rFonts w:hint="eastAsia" w:ascii="宋体" w:hAnsi="宋体" w:eastAsia="宋体" w:cs="宋体"/>
          <w:sz w:val="24"/>
          <w:szCs w:val="24"/>
        </w:rPr>
        <w:t>人员报销应由</w:t>
      </w:r>
      <w:r>
        <w:rPr>
          <w:rFonts w:hint="eastAsia" w:ascii="宋体" w:hAnsi="宋体" w:eastAsia="宋体" w:cs="宋体"/>
          <w:sz w:val="24"/>
          <w:szCs w:val="24"/>
          <w:lang w:eastAsia="zh-CN"/>
        </w:rPr>
        <w:t>买方</w:t>
      </w:r>
      <w:r>
        <w:rPr>
          <w:rFonts w:hint="eastAsia" w:ascii="宋体" w:hAnsi="宋体" w:eastAsia="宋体" w:cs="宋体"/>
          <w:sz w:val="24"/>
          <w:szCs w:val="24"/>
        </w:rPr>
        <w:t>或个人支付的费用；</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不得与</w:t>
      </w:r>
      <w:r>
        <w:rPr>
          <w:rFonts w:hint="eastAsia" w:ascii="宋体" w:hAnsi="宋体" w:eastAsia="宋体" w:cs="宋体"/>
          <w:sz w:val="24"/>
          <w:szCs w:val="24"/>
          <w:lang w:eastAsia="zh-CN"/>
        </w:rPr>
        <w:t>买方</w:t>
      </w:r>
      <w:r>
        <w:rPr>
          <w:rFonts w:hint="eastAsia" w:ascii="宋体" w:hAnsi="宋体" w:eastAsia="宋体" w:cs="宋体"/>
          <w:sz w:val="24"/>
          <w:szCs w:val="24"/>
        </w:rPr>
        <w:t>人员发生任何合资合作、借贷关系，也不得参与</w:t>
      </w:r>
      <w:r>
        <w:rPr>
          <w:rFonts w:hint="eastAsia" w:ascii="宋体" w:hAnsi="宋体" w:eastAsia="宋体" w:cs="宋体"/>
          <w:sz w:val="24"/>
          <w:szCs w:val="24"/>
          <w:lang w:eastAsia="zh-CN"/>
        </w:rPr>
        <w:t>买方</w:t>
      </w:r>
      <w:r>
        <w:rPr>
          <w:rFonts w:hint="eastAsia" w:ascii="宋体" w:hAnsi="宋体" w:eastAsia="宋体" w:cs="宋体"/>
          <w:sz w:val="24"/>
          <w:szCs w:val="24"/>
        </w:rPr>
        <w:t>人员的婚丧嫁娶活动；</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原则上不得与</w:t>
      </w:r>
      <w:r>
        <w:rPr>
          <w:rFonts w:hint="eastAsia" w:ascii="宋体" w:hAnsi="宋体" w:eastAsia="宋体" w:cs="宋体"/>
          <w:sz w:val="24"/>
          <w:szCs w:val="24"/>
          <w:lang w:eastAsia="zh-CN"/>
        </w:rPr>
        <w:t>买方</w:t>
      </w:r>
      <w:r>
        <w:rPr>
          <w:rFonts w:hint="eastAsia" w:ascii="宋体" w:hAnsi="宋体" w:eastAsia="宋体" w:cs="宋体"/>
          <w:sz w:val="24"/>
          <w:szCs w:val="24"/>
        </w:rPr>
        <w:t>人员发生例如房屋装修/租赁、车辆租赁等经济往来活动，如上述经济往来活动不存在可能影响</w:t>
      </w:r>
      <w:r>
        <w:rPr>
          <w:rFonts w:hint="eastAsia" w:ascii="宋体" w:hAnsi="宋体" w:eastAsia="宋体" w:cs="宋体"/>
          <w:sz w:val="24"/>
          <w:szCs w:val="24"/>
          <w:lang w:eastAsia="zh-CN"/>
        </w:rPr>
        <w:t>买方</w:t>
      </w:r>
      <w:r>
        <w:rPr>
          <w:rFonts w:hint="eastAsia" w:ascii="宋体" w:hAnsi="宋体" w:eastAsia="宋体" w:cs="宋体"/>
          <w:sz w:val="24"/>
          <w:szCs w:val="24"/>
        </w:rPr>
        <w:t>人员公正执行业务的，</w:t>
      </w:r>
      <w:r>
        <w:rPr>
          <w:rFonts w:hint="eastAsia" w:ascii="宋体" w:hAnsi="宋体" w:eastAsia="宋体" w:cs="宋体"/>
          <w:sz w:val="24"/>
          <w:szCs w:val="24"/>
          <w:lang w:eastAsia="zh-CN"/>
        </w:rPr>
        <w:t>卖方</w:t>
      </w:r>
      <w:r>
        <w:rPr>
          <w:rFonts w:hint="eastAsia" w:ascii="宋体" w:hAnsi="宋体" w:eastAsia="宋体" w:cs="宋体"/>
          <w:sz w:val="24"/>
          <w:szCs w:val="24"/>
        </w:rPr>
        <w:t>与</w:t>
      </w:r>
      <w:r>
        <w:rPr>
          <w:rFonts w:hint="eastAsia" w:ascii="宋体" w:hAnsi="宋体" w:eastAsia="宋体" w:cs="宋体"/>
          <w:sz w:val="24"/>
          <w:szCs w:val="24"/>
          <w:lang w:eastAsia="zh-CN"/>
        </w:rPr>
        <w:t>买方</w:t>
      </w:r>
      <w:r>
        <w:rPr>
          <w:rFonts w:hint="eastAsia" w:ascii="宋体" w:hAnsi="宋体" w:eastAsia="宋体" w:cs="宋体"/>
          <w:sz w:val="24"/>
          <w:szCs w:val="24"/>
        </w:rPr>
        <w:t>人员发生的经济往来活动应符合市场公允定价原则，且</w:t>
      </w:r>
      <w:r>
        <w:rPr>
          <w:rFonts w:hint="eastAsia" w:ascii="宋体" w:hAnsi="宋体" w:eastAsia="宋体" w:cs="宋体"/>
          <w:sz w:val="24"/>
          <w:szCs w:val="24"/>
          <w:lang w:eastAsia="zh-CN"/>
        </w:rPr>
        <w:t>卖方</w:t>
      </w:r>
      <w:r>
        <w:rPr>
          <w:rFonts w:hint="eastAsia" w:ascii="宋体" w:hAnsi="宋体" w:eastAsia="宋体" w:cs="宋体"/>
          <w:sz w:val="24"/>
          <w:szCs w:val="24"/>
        </w:rPr>
        <w:t>应当保留双方交易凭证；</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不得以任何理由为</w:t>
      </w:r>
      <w:r>
        <w:rPr>
          <w:rFonts w:hint="eastAsia" w:ascii="宋体" w:hAnsi="宋体" w:eastAsia="宋体" w:cs="宋体"/>
          <w:sz w:val="24"/>
          <w:szCs w:val="24"/>
          <w:lang w:eastAsia="zh-CN"/>
        </w:rPr>
        <w:t>买方</w:t>
      </w:r>
      <w:r>
        <w:rPr>
          <w:rFonts w:hint="eastAsia" w:ascii="宋体" w:hAnsi="宋体" w:eastAsia="宋体" w:cs="宋体"/>
          <w:sz w:val="24"/>
          <w:szCs w:val="24"/>
        </w:rPr>
        <w:t>人员提供黄赌毒等违法活动；</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卖方</w:t>
      </w:r>
      <w:r>
        <w:rPr>
          <w:rFonts w:hint="eastAsia" w:ascii="宋体" w:hAnsi="宋体" w:eastAsia="宋体" w:cs="宋体"/>
          <w:sz w:val="24"/>
          <w:szCs w:val="24"/>
        </w:rPr>
        <w:t>保证</w:t>
      </w:r>
      <w:r>
        <w:rPr>
          <w:rFonts w:hint="eastAsia" w:ascii="宋体" w:hAnsi="宋体" w:eastAsia="宋体" w:cs="宋体"/>
          <w:sz w:val="24"/>
          <w:szCs w:val="24"/>
          <w:lang w:eastAsia="zh-CN"/>
        </w:rPr>
        <w:t>买方</w:t>
      </w:r>
      <w:r>
        <w:rPr>
          <w:rFonts w:hint="eastAsia" w:ascii="宋体" w:hAnsi="宋体" w:eastAsia="宋体" w:cs="宋体"/>
          <w:sz w:val="24"/>
          <w:szCs w:val="24"/>
        </w:rPr>
        <w:t>人员没有直接或间接投资</w:t>
      </w:r>
      <w:r>
        <w:rPr>
          <w:rFonts w:hint="eastAsia" w:ascii="宋体" w:hAnsi="宋体" w:eastAsia="宋体" w:cs="宋体"/>
          <w:sz w:val="24"/>
          <w:szCs w:val="24"/>
          <w:lang w:eastAsia="zh-CN"/>
        </w:rPr>
        <w:t>卖方</w:t>
      </w:r>
      <w:r>
        <w:rPr>
          <w:rFonts w:hint="eastAsia" w:ascii="宋体" w:hAnsi="宋体" w:eastAsia="宋体" w:cs="宋体"/>
          <w:sz w:val="24"/>
          <w:szCs w:val="24"/>
        </w:rPr>
        <w:t>，没有直接或间接持有</w:t>
      </w:r>
      <w:r>
        <w:rPr>
          <w:rFonts w:hint="eastAsia" w:ascii="宋体" w:hAnsi="宋体" w:eastAsia="宋体" w:cs="宋体"/>
          <w:sz w:val="24"/>
          <w:szCs w:val="24"/>
          <w:lang w:eastAsia="zh-CN"/>
        </w:rPr>
        <w:t>卖方</w:t>
      </w:r>
      <w:r>
        <w:rPr>
          <w:rFonts w:hint="eastAsia" w:ascii="宋体" w:hAnsi="宋体" w:eastAsia="宋体" w:cs="宋体"/>
          <w:sz w:val="24"/>
          <w:szCs w:val="24"/>
        </w:rPr>
        <w:t>的股权或干股，也没有到</w:t>
      </w:r>
      <w:r>
        <w:rPr>
          <w:rFonts w:hint="eastAsia" w:ascii="宋体" w:hAnsi="宋体" w:eastAsia="宋体" w:cs="宋体"/>
          <w:sz w:val="24"/>
          <w:szCs w:val="24"/>
          <w:lang w:eastAsia="zh-CN"/>
        </w:rPr>
        <w:t>卖方</w:t>
      </w:r>
      <w:r>
        <w:rPr>
          <w:rFonts w:hint="eastAsia" w:ascii="宋体" w:hAnsi="宋体" w:eastAsia="宋体" w:cs="宋体"/>
          <w:sz w:val="24"/>
          <w:szCs w:val="24"/>
        </w:rPr>
        <w:t>任职（含兼职及担任董事、监事、高级管理人员等）。</w:t>
      </w:r>
      <w:r>
        <w:rPr>
          <w:rFonts w:hint="eastAsia" w:ascii="宋体" w:hAnsi="宋体" w:eastAsia="宋体" w:cs="宋体"/>
          <w:sz w:val="24"/>
          <w:szCs w:val="24"/>
          <w:lang w:eastAsia="zh-CN"/>
        </w:rPr>
        <w:t>卖方</w:t>
      </w:r>
      <w:r>
        <w:rPr>
          <w:rFonts w:hint="eastAsia" w:ascii="宋体" w:hAnsi="宋体" w:eastAsia="宋体" w:cs="宋体"/>
          <w:sz w:val="24"/>
          <w:szCs w:val="24"/>
        </w:rPr>
        <w:t>保证其股东、实际控制人、主要管理人员和</w:t>
      </w:r>
      <w:r>
        <w:rPr>
          <w:rFonts w:hint="eastAsia" w:ascii="宋体" w:hAnsi="宋体" w:eastAsia="宋体" w:cs="宋体"/>
          <w:sz w:val="24"/>
          <w:szCs w:val="24"/>
          <w:lang w:eastAsia="zh-CN"/>
        </w:rPr>
        <w:t>买方</w:t>
      </w:r>
      <w:r>
        <w:rPr>
          <w:rFonts w:hint="eastAsia" w:ascii="宋体" w:hAnsi="宋体" w:eastAsia="宋体" w:cs="宋体"/>
          <w:sz w:val="24"/>
          <w:szCs w:val="24"/>
        </w:rPr>
        <w:t>人员没有亲属关系或其他特殊关系；若有以上关系，</w:t>
      </w:r>
      <w:r>
        <w:rPr>
          <w:rFonts w:hint="eastAsia" w:ascii="宋体" w:hAnsi="宋体" w:eastAsia="宋体" w:cs="宋体"/>
          <w:sz w:val="24"/>
          <w:szCs w:val="24"/>
          <w:lang w:eastAsia="zh-CN"/>
        </w:rPr>
        <w:t>卖方</w:t>
      </w:r>
      <w:r>
        <w:rPr>
          <w:rFonts w:hint="eastAsia" w:ascii="宋体" w:hAnsi="宋体" w:eastAsia="宋体" w:cs="宋体"/>
          <w:sz w:val="24"/>
          <w:szCs w:val="24"/>
        </w:rPr>
        <w:t>应如实书面报告</w:t>
      </w:r>
      <w:r>
        <w:rPr>
          <w:rFonts w:hint="eastAsia" w:ascii="宋体" w:hAnsi="宋体" w:eastAsia="宋体" w:cs="宋体"/>
          <w:sz w:val="24"/>
          <w:szCs w:val="24"/>
          <w:lang w:eastAsia="zh-CN"/>
        </w:rPr>
        <w:t>买方</w:t>
      </w:r>
      <w:r>
        <w:rPr>
          <w:rFonts w:hint="eastAsia" w:ascii="宋体" w:hAnsi="宋体" w:eastAsia="宋体" w:cs="宋体"/>
          <w:sz w:val="24"/>
          <w:szCs w:val="24"/>
        </w:rPr>
        <w:t>；</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卖方</w:t>
      </w:r>
      <w:r>
        <w:rPr>
          <w:rFonts w:hint="eastAsia" w:ascii="宋体" w:hAnsi="宋体" w:eastAsia="宋体" w:cs="宋体"/>
          <w:sz w:val="24"/>
          <w:szCs w:val="24"/>
        </w:rPr>
        <w:t>不得以任何借口和理由给予</w:t>
      </w:r>
      <w:r>
        <w:rPr>
          <w:rFonts w:hint="eastAsia" w:ascii="宋体" w:hAnsi="宋体" w:eastAsia="宋体" w:cs="宋体"/>
          <w:sz w:val="24"/>
          <w:szCs w:val="24"/>
          <w:lang w:eastAsia="zh-CN"/>
        </w:rPr>
        <w:t>买方</w:t>
      </w:r>
      <w:r>
        <w:rPr>
          <w:rFonts w:hint="eastAsia" w:ascii="宋体" w:hAnsi="宋体" w:eastAsia="宋体" w:cs="宋体"/>
          <w:sz w:val="24"/>
          <w:szCs w:val="24"/>
        </w:rPr>
        <w:t>人员任何形式的利益或好处。</w:t>
      </w:r>
      <w:r>
        <w:rPr>
          <w:rFonts w:hint="eastAsia" w:ascii="宋体" w:hAnsi="宋体" w:eastAsia="宋体" w:cs="宋体"/>
          <w:sz w:val="24"/>
          <w:szCs w:val="24"/>
          <w:lang w:eastAsia="zh-CN"/>
        </w:rPr>
        <w:t>卖方</w:t>
      </w:r>
      <w:r>
        <w:rPr>
          <w:rFonts w:hint="eastAsia" w:ascii="宋体" w:hAnsi="宋体" w:eastAsia="宋体" w:cs="宋体"/>
          <w:sz w:val="24"/>
          <w:szCs w:val="24"/>
        </w:rPr>
        <w:t>同意约束其工作人员遵守上述约定并为其工作人员行为后果负责。</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第二条  违约责任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2.1在双方业务往来期间及合作终止后2年内：</w:t>
      </w:r>
      <w:r>
        <w:rPr>
          <w:rFonts w:hint="eastAsia" w:ascii="宋体" w:hAnsi="宋体" w:eastAsia="宋体" w:cs="宋体"/>
          <w:sz w:val="24"/>
          <w:szCs w:val="24"/>
          <w:lang w:eastAsia="zh-CN"/>
        </w:rPr>
        <w:t>卖方</w:t>
      </w:r>
      <w:r>
        <w:rPr>
          <w:rFonts w:hint="eastAsia" w:ascii="宋体" w:hAnsi="宋体" w:eastAsia="宋体" w:cs="宋体"/>
          <w:sz w:val="24"/>
          <w:szCs w:val="24"/>
        </w:rPr>
        <w:t>不得接受违反本诚信自律特别协议的</w:t>
      </w:r>
      <w:r>
        <w:rPr>
          <w:rFonts w:hint="eastAsia" w:ascii="宋体" w:hAnsi="宋体" w:eastAsia="宋体" w:cs="宋体"/>
          <w:sz w:val="24"/>
          <w:szCs w:val="24"/>
          <w:lang w:eastAsia="zh-CN"/>
        </w:rPr>
        <w:t>买方</w:t>
      </w:r>
      <w:r>
        <w:rPr>
          <w:rFonts w:hint="eastAsia" w:ascii="宋体" w:hAnsi="宋体" w:eastAsia="宋体" w:cs="宋体"/>
          <w:sz w:val="24"/>
          <w:szCs w:val="24"/>
        </w:rPr>
        <w:t>人员任职或提供服务；</w:t>
      </w:r>
      <w:r>
        <w:rPr>
          <w:rFonts w:hint="eastAsia" w:ascii="宋体" w:hAnsi="宋体" w:eastAsia="宋体" w:cs="宋体"/>
          <w:sz w:val="24"/>
          <w:szCs w:val="24"/>
          <w:lang w:eastAsia="zh-CN"/>
        </w:rPr>
        <w:t>卖方</w:t>
      </w:r>
      <w:r>
        <w:rPr>
          <w:rFonts w:hint="eastAsia" w:ascii="宋体" w:hAnsi="宋体" w:eastAsia="宋体" w:cs="宋体"/>
          <w:sz w:val="24"/>
          <w:szCs w:val="24"/>
        </w:rPr>
        <w:t>不得直接或间接游说、雇用或聘请与业务合同有直接关联的</w:t>
      </w:r>
      <w:r>
        <w:rPr>
          <w:rFonts w:hint="eastAsia" w:ascii="宋体" w:hAnsi="宋体" w:eastAsia="宋体" w:cs="宋体"/>
          <w:sz w:val="24"/>
          <w:szCs w:val="24"/>
          <w:lang w:eastAsia="zh-CN"/>
        </w:rPr>
        <w:t>买方</w:t>
      </w:r>
      <w:r>
        <w:rPr>
          <w:rFonts w:hint="eastAsia" w:ascii="宋体" w:hAnsi="宋体" w:eastAsia="宋体" w:cs="宋体"/>
          <w:sz w:val="24"/>
          <w:szCs w:val="24"/>
        </w:rPr>
        <w:t>人员；但</w:t>
      </w:r>
      <w:r>
        <w:rPr>
          <w:rFonts w:hint="eastAsia" w:ascii="宋体" w:hAnsi="宋体" w:eastAsia="宋体" w:cs="宋体"/>
          <w:sz w:val="24"/>
          <w:szCs w:val="24"/>
          <w:lang w:eastAsia="zh-CN"/>
        </w:rPr>
        <w:t>买方</w:t>
      </w:r>
      <w:r>
        <w:rPr>
          <w:rFonts w:hint="eastAsia" w:ascii="宋体" w:hAnsi="宋体" w:eastAsia="宋体" w:cs="宋体"/>
          <w:sz w:val="24"/>
          <w:szCs w:val="24"/>
        </w:rPr>
        <w:t xml:space="preserve">同意的除外。 </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买方</w:t>
      </w:r>
      <w:r>
        <w:rPr>
          <w:rFonts w:hint="eastAsia" w:ascii="宋体" w:hAnsi="宋体" w:eastAsia="宋体" w:cs="宋体"/>
          <w:sz w:val="24"/>
          <w:szCs w:val="24"/>
        </w:rPr>
        <w:t>人员如有违反本诚信自律特别协议的，一经查实，</w:t>
      </w:r>
      <w:r>
        <w:rPr>
          <w:rFonts w:hint="eastAsia" w:ascii="宋体" w:hAnsi="宋体" w:eastAsia="宋体" w:cs="宋体"/>
          <w:sz w:val="24"/>
          <w:szCs w:val="24"/>
          <w:lang w:eastAsia="zh-CN"/>
        </w:rPr>
        <w:t>买方</w:t>
      </w:r>
      <w:r>
        <w:rPr>
          <w:rFonts w:hint="eastAsia" w:ascii="宋体" w:hAnsi="宋体" w:eastAsia="宋体" w:cs="宋体"/>
          <w:sz w:val="24"/>
          <w:szCs w:val="24"/>
        </w:rPr>
        <w:t>将对责任人给予警告、处分直至解除劳动合同。涉嫌犯罪的，则送交司法机关追究其法律责任。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违反本诚信自律特别协议或</w:t>
      </w:r>
      <w:r>
        <w:rPr>
          <w:rFonts w:hint="eastAsia" w:ascii="宋体" w:hAnsi="宋体" w:eastAsia="宋体" w:cs="宋体"/>
          <w:sz w:val="24"/>
          <w:szCs w:val="24"/>
          <w:lang w:eastAsia="zh-CN"/>
        </w:rPr>
        <w:t>买方</w:t>
      </w:r>
      <w:r>
        <w:rPr>
          <w:rFonts w:hint="eastAsia" w:ascii="宋体" w:hAnsi="宋体" w:eastAsia="宋体" w:cs="宋体"/>
          <w:sz w:val="24"/>
          <w:szCs w:val="24"/>
        </w:rPr>
        <w:t>提出</w:t>
      </w:r>
      <w:r>
        <w:rPr>
          <w:rFonts w:hint="eastAsia" w:ascii="宋体" w:hAnsi="宋体" w:eastAsia="宋体" w:cs="宋体"/>
          <w:sz w:val="24"/>
          <w:szCs w:val="24"/>
          <w:lang w:eastAsia="zh-CN"/>
        </w:rPr>
        <w:t>卖方</w:t>
      </w:r>
      <w:r>
        <w:rPr>
          <w:rFonts w:hint="eastAsia" w:ascii="宋体" w:hAnsi="宋体" w:eastAsia="宋体" w:cs="宋体"/>
          <w:sz w:val="24"/>
          <w:szCs w:val="24"/>
        </w:rPr>
        <w:t>违反本协议约定的初步证据（如</w:t>
      </w:r>
      <w:r>
        <w:rPr>
          <w:rFonts w:hint="eastAsia" w:ascii="宋体" w:hAnsi="宋体" w:eastAsia="宋体" w:cs="宋体"/>
          <w:sz w:val="24"/>
          <w:szCs w:val="24"/>
          <w:lang w:eastAsia="zh-CN"/>
        </w:rPr>
        <w:t>买方</w:t>
      </w:r>
      <w:r>
        <w:rPr>
          <w:rFonts w:hint="eastAsia" w:ascii="宋体" w:hAnsi="宋体" w:eastAsia="宋体" w:cs="宋体"/>
          <w:sz w:val="24"/>
          <w:szCs w:val="24"/>
        </w:rPr>
        <w:t>员工的自述、相关证人证言及其他相关证据），</w:t>
      </w:r>
      <w:r>
        <w:rPr>
          <w:rFonts w:hint="eastAsia" w:ascii="宋体" w:hAnsi="宋体" w:eastAsia="宋体" w:cs="宋体"/>
          <w:sz w:val="24"/>
          <w:szCs w:val="24"/>
          <w:lang w:eastAsia="zh-CN"/>
        </w:rPr>
        <w:t>卖方</w:t>
      </w:r>
      <w:r>
        <w:rPr>
          <w:rFonts w:hint="eastAsia" w:ascii="宋体" w:hAnsi="宋体" w:eastAsia="宋体" w:cs="宋体"/>
          <w:sz w:val="24"/>
          <w:szCs w:val="24"/>
        </w:rPr>
        <w:t>同意自</w:t>
      </w:r>
      <w:r>
        <w:rPr>
          <w:rFonts w:hint="eastAsia" w:ascii="宋体" w:hAnsi="宋体" w:eastAsia="宋体" w:cs="宋体"/>
          <w:sz w:val="24"/>
          <w:szCs w:val="24"/>
          <w:lang w:eastAsia="zh-CN"/>
        </w:rPr>
        <w:t>卖方</w:t>
      </w:r>
      <w:r>
        <w:rPr>
          <w:rFonts w:hint="eastAsia" w:ascii="宋体" w:hAnsi="宋体" w:eastAsia="宋体" w:cs="宋体"/>
          <w:sz w:val="24"/>
          <w:szCs w:val="24"/>
        </w:rPr>
        <w:t>违约或</w:t>
      </w:r>
      <w:r>
        <w:rPr>
          <w:rFonts w:hint="eastAsia" w:ascii="宋体" w:hAnsi="宋体" w:eastAsia="宋体" w:cs="宋体"/>
          <w:sz w:val="24"/>
          <w:szCs w:val="24"/>
          <w:lang w:eastAsia="zh-CN"/>
        </w:rPr>
        <w:t>买方</w:t>
      </w:r>
      <w:r>
        <w:rPr>
          <w:rFonts w:hint="eastAsia" w:ascii="宋体" w:hAnsi="宋体" w:eastAsia="宋体" w:cs="宋体"/>
          <w:sz w:val="24"/>
          <w:szCs w:val="24"/>
        </w:rPr>
        <w:t>提出初步证据之日，</w:t>
      </w:r>
      <w:r>
        <w:rPr>
          <w:rFonts w:hint="eastAsia" w:ascii="宋体" w:hAnsi="宋体" w:eastAsia="宋体" w:cs="宋体"/>
          <w:sz w:val="24"/>
          <w:szCs w:val="24"/>
          <w:lang w:eastAsia="zh-CN"/>
        </w:rPr>
        <w:t>买方</w:t>
      </w:r>
      <w:r>
        <w:rPr>
          <w:rFonts w:hint="eastAsia" w:ascii="宋体" w:hAnsi="宋体" w:eastAsia="宋体" w:cs="宋体"/>
          <w:sz w:val="24"/>
          <w:szCs w:val="24"/>
        </w:rPr>
        <w:t>有权暂停支付</w:t>
      </w:r>
      <w:r>
        <w:rPr>
          <w:rFonts w:hint="eastAsia" w:ascii="宋体" w:hAnsi="宋体" w:eastAsia="宋体" w:cs="宋体"/>
          <w:sz w:val="24"/>
          <w:szCs w:val="24"/>
          <w:lang w:eastAsia="zh-CN"/>
        </w:rPr>
        <w:t>卖方</w:t>
      </w:r>
      <w:r>
        <w:rPr>
          <w:rFonts w:hint="eastAsia" w:ascii="宋体" w:hAnsi="宋体" w:eastAsia="宋体" w:cs="宋体"/>
          <w:sz w:val="24"/>
          <w:szCs w:val="24"/>
        </w:rPr>
        <w:t>的所有款项且不承担逾期付款的违约责任直至</w:t>
      </w:r>
      <w:r>
        <w:rPr>
          <w:rFonts w:hint="eastAsia" w:ascii="宋体" w:hAnsi="宋体" w:eastAsia="宋体" w:cs="宋体"/>
          <w:sz w:val="24"/>
          <w:szCs w:val="24"/>
          <w:lang w:eastAsia="zh-CN"/>
        </w:rPr>
        <w:t>买方</w:t>
      </w:r>
      <w:r>
        <w:rPr>
          <w:rFonts w:hint="eastAsia" w:ascii="宋体" w:hAnsi="宋体" w:eastAsia="宋体" w:cs="宋体"/>
          <w:sz w:val="24"/>
          <w:szCs w:val="24"/>
        </w:rPr>
        <w:t>出具调查结果。</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违反本诚信自律特别协议的，应按以下对应情形向</w:t>
      </w:r>
      <w:r>
        <w:rPr>
          <w:rFonts w:hint="eastAsia" w:ascii="宋体" w:hAnsi="宋体" w:eastAsia="宋体" w:cs="宋体"/>
          <w:sz w:val="24"/>
          <w:szCs w:val="24"/>
          <w:lang w:eastAsia="zh-CN"/>
        </w:rPr>
        <w:t>买方</w:t>
      </w:r>
      <w:r>
        <w:rPr>
          <w:rFonts w:hint="eastAsia" w:ascii="宋体" w:hAnsi="宋体" w:eastAsia="宋体" w:cs="宋体"/>
          <w:sz w:val="24"/>
          <w:szCs w:val="24"/>
        </w:rPr>
        <w:t>承担违约责任且</w:t>
      </w:r>
      <w:r>
        <w:rPr>
          <w:rFonts w:hint="eastAsia" w:ascii="宋体" w:hAnsi="宋体" w:eastAsia="宋体" w:cs="宋体"/>
          <w:sz w:val="24"/>
          <w:szCs w:val="24"/>
          <w:lang w:eastAsia="zh-CN"/>
        </w:rPr>
        <w:t>买方</w:t>
      </w:r>
      <w:r>
        <w:rPr>
          <w:rFonts w:hint="eastAsia" w:ascii="宋体" w:hAnsi="宋体" w:eastAsia="宋体" w:cs="宋体"/>
          <w:sz w:val="24"/>
          <w:szCs w:val="24"/>
        </w:rPr>
        <w:t>有权从应付款项或各类保证金中直接扣除</w:t>
      </w:r>
      <w:r>
        <w:rPr>
          <w:rFonts w:hint="eastAsia" w:ascii="宋体" w:hAnsi="宋体" w:eastAsia="宋体" w:cs="宋体"/>
          <w:sz w:val="24"/>
          <w:szCs w:val="24"/>
          <w:lang w:eastAsia="zh-CN"/>
        </w:rPr>
        <w:t>卖方</w:t>
      </w:r>
      <w:r>
        <w:rPr>
          <w:rFonts w:hint="eastAsia" w:ascii="宋体" w:hAnsi="宋体" w:eastAsia="宋体" w:cs="宋体"/>
          <w:sz w:val="24"/>
          <w:szCs w:val="24"/>
        </w:rPr>
        <w:t>应承担的赔偿金：</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卖方</w:t>
      </w:r>
      <w:r>
        <w:rPr>
          <w:rFonts w:hint="eastAsia" w:ascii="宋体" w:hAnsi="宋体" w:eastAsia="宋体" w:cs="宋体"/>
          <w:sz w:val="24"/>
          <w:szCs w:val="24"/>
        </w:rPr>
        <w:t>在调查期间积极配合</w:t>
      </w:r>
      <w:r>
        <w:rPr>
          <w:rFonts w:hint="eastAsia" w:ascii="宋体" w:hAnsi="宋体" w:eastAsia="宋体" w:cs="宋体"/>
          <w:sz w:val="24"/>
          <w:szCs w:val="24"/>
          <w:lang w:eastAsia="zh-CN"/>
        </w:rPr>
        <w:t>买方</w:t>
      </w:r>
      <w:r>
        <w:rPr>
          <w:rFonts w:hint="eastAsia" w:ascii="宋体" w:hAnsi="宋体" w:eastAsia="宋体" w:cs="宋体"/>
          <w:sz w:val="24"/>
          <w:szCs w:val="24"/>
        </w:rPr>
        <w:t>并主动提供证据的：如调查结果为</w:t>
      </w:r>
      <w:r>
        <w:rPr>
          <w:rFonts w:hint="eastAsia" w:ascii="宋体" w:hAnsi="宋体" w:eastAsia="宋体" w:cs="宋体"/>
          <w:sz w:val="24"/>
          <w:szCs w:val="24"/>
          <w:lang w:eastAsia="zh-CN"/>
        </w:rPr>
        <w:t>买方</w:t>
      </w:r>
      <w:r>
        <w:rPr>
          <w:rFonts w:hint="eastAsia" w:ascii="宋体" w:hAnsi="宋体" w:eastAsia="宋体" w:cs="宋体"/>
          <w:sz w:val="24"/>
          <w:szCs w:val="24"/>
        </w:rPr>
        <w:t>人员主动索贿导致</w:t>
      </w:r>
      <w:r>
        <w:rPr>
          <w:rFonts w:hint="eastAsia" w:ascii="宋体" w:hAnsi="宋体" w:eastAsia="宋体" w:cs="宋体"/>
          <w:sz w:val="24"/>
          <w:szCs w:val="24"/>
          <w:lang w:eastAsia="zh-CN"/>
        </w:rPr>
        <w:t>卖方</w:t>
      </w:r>
      <w:r>
        <w:rPr>
          <w:rFonts w:hint="eastAsia" w:ascii="宋体" w:hAnsi="宋体" w:eastAsia="宋体" w:cs="宋体"/>
          <w:sz w:val="24"/>
          <w:szCs w:val="24"/>
        </w:rPr>
        <w:t>输送不当利益的，则</w:t>
      </w:r>
      <w:r>
        <w:rPr>
          <w:rFonts w:hint="eastAsia" w:ascii="宋体" w:hAnsi="宋体" w:eastAsia="宋体" w:cs="宋体"/>
          <w:sz w:val="24"/>
          <w:szCs w:val="24"/>
          <w:lang w:eastAsia="zh-CN"/>
        </w:rPr>
        <w:t>卖方</w:t>
      </w:r>
      <w:r>
        <w:rPr>
          <w:rFonts w:hint="eastAsia" w:ascii="宋体" w:hAnsi="宋体" w:eastAsia="宋体" w:cs="宋体"/>
          <w:sz w:val="24"/>
          <w:szCs w:val="24"/>
        </w:rPr>
        <w:t>应赔偿</w:t>
      </w:r>
      <w:r>
        <w:rPr>
          <w:rFonts w:hint="eastAsia" w:ascii="宋体" w:hAnsi="宋体" w:eastAsia="宋体" w:cs="宋体"/>
          <w:sz w:val="24"/>
          <w:szCs w:val="24"/>
          <w:lang w:eastAsia="zh-CN"/>
        </w:rPr>
        <w:t>买方</w:t>
      </w:r>
      <w:r>
        <w:rPr>
          <w:rFonts w:hint="eastAsia" w:ascii="宋体" w:hAnsi="宋体" w:eastAsia="宋体" w:cs="宋体"/>
          <w:sz w:val="24"/>
          <w:szCs w:val="24"/>
        </w:rPr>
        <w:t>损失；如调查结果为</w:t>
      </w:r>
      <w:r>
        <w:rPr>
          <w:rFonts w:hint="eastAsia" w:ascii="宋体" w:hAnsi="宋体" w:eastAsia="宋体" w:cs="宋体"/>
          <w:sz w:val="24"/>
          <w:szCs w:val="24"/>
          <w:lang w:eastAsia="zh-CN"/>
        </w:rPr>
        <w:t>卖方</w:t>
      </w:r>
      <w:r>
        <w:rPr>
          <w:rFonts w:hint="eastAsia" w:ascii="宋体" w:hAnsi="宋体" w:eastAsia="宋体" w:cs="宋体"/>
          <w:sz w:val="24"/>
          <w:szCs w:val="24"/>
        </w:rPr>
        <w:t>主动向</w:t>
      </w:r>
      <w:r>
        <w:rPr>
          <w:rFonts w:hint="eastAsia" w:ascii="宋体" w:hAnsi="宋体" w:eastAsia="宋体" w:cs="宋体"/>
          <w:sz w:val="24"/>
          <w:szCs w:val="24"/>
          <w:lang w:eastAsia="zh-CN"/>
        </w:rPr>
        <w:t>买方</w:t>
      </w:r>
      <w:r>
        <w:rPr>
          <w:rFonts w:hint="eastAsia" w:ascii="宋体" w:hAnsi="宋体" w:eastAsia="宋体" w:cs="宋体"/>
          <w:sz w:val="24"/>
          <w:szCs w:val="24"/>
        </w:rPr>
        <w:t>人员输送不当利益的，</w:t>
      </w:r>
      <w:r>
        <w:rPr>
          <w:rFonts w:hint="eastAsia" w:ascii="宋体" w:hAnsi="宋体" w:eastAsia="宋体" w:cs="宋体"/>
          <w:sz w:val="24"/>
          <w:szCs w:val="24"/>
          <w:lang w:eastAsia="zh-CN"/>
        </w:rPr>
        <w:t>卖方</w:t>
      </w:r>
      <w:r>
        <w:rPr>
          <w:rFonts w:hint="eastAsia" w:ascii="宋体" w:hAnsi="宋体" w:eastAsia="宋体" w:cs="宋体"/>
          <w:sz w:val="24"/>
          <w:szCs w:val="24"/>
        </w:rPr>
        <w:t>应赔偿</w:t>
      </w:r>
      <w:r>
        <w:rPr>
          <w:rFonts w:hint="eastAsia" w:ascii="宋体" w:hAnsi="宋体" w:eastAsia="宋体" w:cs="宋体"/>
          <w:sz w:val="24"/>
          <w:szCs w:val="24"/>
          <w:lang w:eastAsia="zh-CN"/>
        </w:rPr>
        <w:t>买方</w:t>
      </w:r>
      <w:r>
        <w:rPr>
          <w:rFonts w:hint="eastAsia" w:ascii="宋体" w:hAnsi="宋体" w:eastAsia="宋体" w:cs="宋体"/>
          <w:sz w:val="24"/>
          <w:szCs w:val="24"/>
        </w:rPr>
        <w:t>损失并承担合同金额（非固定金额的合同按照实际已发生的金额，下同）10%的违约责任；无法确定合同金额的，</w:t>
      </w:r>
      <w:r>
        <w:rPr>
          <w:rFonts w:hint="eastAsia" w:ascii="宋体" w:hAnsi="宋体" w:eastAsia="宋体" w:cs="宋体"/>
          <w:sz w:val="24"/>
          <w:szCs w:val="24"/>
          <w:lang w:eastAsia="zh-CN"/>
        </w:rPr>
        <w:t>卖方</w:t>
      </w:r>
      <w:r>
        <w:rPr>
          <w:rFonts w:hint="eastAsia" w:ascii="宋体" w:hAnsi="宋体" w:eastAsia="宋体" w:cs="宋体"/>
          <w:sz w:val="24"/>
          <w:szCs w:val="24"/>
        </w:rPr>
        <w:t>应向</w:t>
      </w:r>
      <w:r>
        <w:rPr>
          <w:rFonts w:hint="eastAsia" w:ascii="宋体" w:hAnsi="宋体" w:eastAsia="宋体" w:cs="宋体"/>
          <w:sz w:val="24"/>
          <w:szCs w:val="24"/>
          <w:lang w:eastAsia="zh-CN"/>
        </w:rPr>
        <w:t>买方</w:t>
      </w:r>
      <w:r>
        <w:rPr>
          <w:rFonts w:hint="eastAsia" w:ascii="宋体" w:hAnsi="宋体" w:eastAsia="宋体" w:cs="宋体"/>
          <w:sz w:val="24"/>
          <w:szCs w:val="24"/>
        </w:rPr>
        <w:t>支付违约金10万元。</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卖方</w:t>
      </w:r>
      <w:r>
        <w:rPr>
          <w:rFonts w:hint="eastAsia" w:ascii="宋体" w:hAnsi="宋体" w:eastAsia="宋体" w:cs="宋体"/>
          <w:sz w:val="24"/>
          <w:szCs w:val="24"/>
        </w:rPr>
        <w:t>不配合调查或未提供证据的：</w:t>
      </w:r>
      <w:r>
        <w:rPr>
          <w:rFonts w:hint="eastAsia" w:ascii="宋体" w:hAnsi="宋体" w:eastAsia="宋体" w:cs="宋体"/>
          <w:sz w:val="24"/>
          <w:szCs w:val="24"/>
          <w:lang w:eastAsia="zh-CN"/>
        </w:rPr>
        <w:t>买方</w:t>
      </w:r>
      <w:r>
        <w:rPr>
          <w:rFonts w:hint="eastAsia" w:ascii="宋体" w:hAnsi="宋体" w:eastAsia="宋体" w:cs="宋体"/>
          <w:sz w:val="24"/>
          <w:szCs w:val="24"/>
        </w:rPr>
        <w:t>有权独立查实直至得出结论。如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违反本诚信自律特别协议的，</w:t>
      </w:r>
      <w:r>
        <w:rPr>
          <w:rFonts w:hint="eastAsia" w:ascii="宋体" w:hAnsi="宋体" w:eastAsia="宋体" w:cs="宋体"/>
          <w:sz w:val="24"/>
          <w:szCs w:val="24"/>
          <w:lang w:eastAsia="zh-CN"/>
        </w:rPr>
        <w:t>买方</w:t>
      </w:r>
      <w:r>
        <w:rPr>
          <w:rFonts w:hint="eastAsia" w:ascii="宋体" w:hAnsi="宋体" w:eastAsia="宋体" w:cs="宋体"/>
          <w:sz w:val="24"/>
          <w:szCs w:val="24"/>
        </w:rPr>
        <w:t>有权按合同金额的30%追究</w:t>
      </w:r>
      <w:r>
        <w:rPr>
          <w:rFonts w:hint="eastAsia" w:ascii="宋体" w:hAnsi="宋体" w:eastAsia="宋体" w:cs="宋体"/>
          <w:sz w:val="24"/>
          <w:szCs w:val="24"/>
          <w:lang w:eastAsia="zh-CN"/>
        </w:rPr>
        <w:t>卖方</w:t>
      </w:r>
      <w:r>
        <w:rPr>
          <w:rFonts w:hint="eastAsia" w:ascii="宋体" w:hAnsi="宋体" w:eastAsia="宋体" w:cs="宋体"/>
          <w:sz w:val="24"/>
          <w:szCs w:val="24"/>
        </w:rPr>
        <w:t>违约责任；无法确定合同金额的，</w:t>
      </w:r>
      <w:r>
        <w:rPr>
          <w:rFonts w:hint="eastAsia" w:ascii="宋体" w:hAnsi="宋体" w:eastAsia="宋体" w:cs="宋体"/>
          <w:sz w:val="24"/>
          <w:szCs w:val="24"/>
          <w:lang w:eastAsia="zh-CN"/>
        </w:rPr>
        <w:t>卖方</w:t>
      </w:r>
      <w:r>
        <w:rPr>
          <w:rFonts w:hint="eastAsia" w:ascii="宋体" w:hAnsi="宋体" w:eastAsia="宋体" w:cs="宋体"/>
          <w:sz w:val="24"/>
          <w:szCs w:val="24"/>
        </w:rPr>
        <w:t>应向</w:t>
      </w:r>
      <w:r>
        <w:rPr>
          <w:rFonts w:hint="eastAsia" w:ascii="宋体" w:hAnsi="宋体" w:eastAsia="宋体" w:cs="宋体"/>
          <w:sz w:val="24"/>
          <w:szCs w:val="24"/>
          <w:lang w:eastAsia="zh-CN"/>
        </w:rPr>
        <w:t>买方</w:t>
      </w:r>
      <w:r>
        <w:rPr>
          <w:rFonts w:hint="eastAsia" w:ascii="宋体" w:hAnsi="宋体" w:eastAsia="宋体" w:cs="宋体"/>
          <w:sz w:val="24"/>
          <w:szCs w:val="24"/>
        </w:rPr>
        <w:t>支付违约金30万元。涉嫌犯罪的，则送交司法机关追究其法律责任。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违反本诚信自律特别协议约定的，</w:t>
      </w:r>
      <w:r>
        <w:rPr>
          <w:rFonts w:hint="eastAsia" w:ascii="宋体" w:hAnsi="宋体" w:eastAsia="宋体" w:cs="宋体"/>
          <w:sz w:val="24"/>
          <w:szCs w:val="24"/>
          <w:lang w:eastAsia="zh-CN"/>
        </w:rPr>
        <w:t>买方</w:t>
      </w:r>
      <w:r>
        <w:rPr>
          <w:rFonts w:hint="eastAsia" w:ascii="宋体" w:hAnsi="宋体" w:eastAsia="宋体" w:cs="宋体"/>
          <w:sz w:val="24"/>
          <w:szCs w:val="24"/>
        </w:rPr>
        <w:t>均有权终止双方合作并将</w:t>
      </w:r>
      <w:r>
        <w:rPr>
          <w:rFonts w:hint="eastAsia" w:ascii="宋体" w:hAnsi="宋体" w:eastAsia="宋体" w:cs="宋体"/>
          <w:sz w:val="24"/>
          <w:szCs w:val="24"/>
          <w:lang w:eastAsia="zh-CN"/>
        </w:rPr>
        <w:t>卖方</w:t>
      </w:r>
      <w:r>
        <w:rPr>
          <w:rFonts w:hint="eastAsia" w:ascii="宋体" w:hAnsi="宋体" w:eastAsia="宋体" w:cs="宋体"/>
          <w:sz w:val="24"/>
          <w:szCs w:val="24"/>
        </w:rPr>
        <w:t>列入黑名单、以后不再作为供应商纳入等处理措施。</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第三条  举报</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卖方</w:t>
      </w:r>
      <w:r>
        <w:rPr>
          <w:rFonts w:hint="eastAsia" w:ascii="宋体" w:hAnsi="宋体" w:eastAsia="宋体" w:cs="宋体"/>
          <w:sz w:val="24"/>
          <w:szCs w:val="24"/>
        </w:rPr>
        <w:t>可通过以下方式对</w:t>
      </w:r>
      <w:r>
        <w:rPr>
          <w:rFonts w:hint="eastAsia" w:ascii="宋体" w:hAnsi="宋体" w:eastAsia="宋体" w:cs="宋体"/>
          <w:sz w:val="24"/>
          <w:szCs w:val="24"/>
          <w:lang w:eastAsia="zh-CN"/>
        </w:rPr>
        <w:t>买方</w:t>
      </w:r>
      <w:r>
        <w:rPr>
          <w:rFonts w:hint="eastAsia" w:ascii="宋体" w:hAnsi="宋体" w:eastAsia="宋体" w:cs="宋体"/>
          <w:sz w:val="24"/>
          <w:szCs w:val="24"/>
        </w:rPr>
        <w:t>人员违反本诚信自律特别协议的行为如实举报或投诉，</w:t>
      </w:r>
      <w:r>
        <w:rPr>
          <w:rFonts w:hint="eastAsia" w:ascii="宋体" w:hAnsi="宋体" w:eastAsia="宋体" w:cs="宋体"/>
          <w:sz w:val="24"/>
          <w:szCs w:val="24"/>
          <w:lang w:eastAsia="zh-CN"/>
        </w:rPr>
        <w:t>买方</w:t>
      </w:r>
      <w:r>
        <w:rPr>
          <w:rFonts w:hint="eastAsia" w:ascii="宋体" w:hAnsi="宋体" w:eastAsia="宋体" w:cs="宋体"/>
          <w:sz w:val="24"/>
          <w:szCs w:val="24"/>
        </w:rPr>
        <w:t>受理渠道为：吉利科技集团有限公司法务合规部，电话400-016-0023，邮箱</w:t>
      </w:r>
      <w:r>
        <w:fldChar w:fldCharType="begin"/>
      </w:r>
      <w:r>
        <w:instrText xml:space="preserve"> HYPERLINK "mailto:integrity@Geely.com" </w:instrText>
      </w:r>
      <w:r>
        <w:fldChar w:fldCharType="separate"/>
      </w:r>
      <w:r>
        <w:rPr>
          <w:rFonts w:hint="eastAsia" w:ascii="宋体" w:hAnsi="宋体" w:eastAsia="宋体" w:cs="宋体"/>
        </w:rPr>
        <w:t>COC-t@Geely.com</w:t>
      </w:r>
      <w:r>
        <w:rPr>
          <w:rFonts w:hint="eastAsia" w:ascii="宋体" w:hAnsi="宋体" w:eastAsia="宋体" w:cs="宋体"/>
        </w:rPr>
        <w:fldChar w:fldCharType="end"/>
      </w:r>
      <w:r>
        <w:rPr>
          <w:rFonts w:hint="eastAsia" w:ascii="宋体" w:hAnsi="宋体" w:eastAsia="宋体" w:cs="宋体"/>
          <w:lang w:eastAsia="zh-CN"/>
        </w:rPr>
        <w:t>。</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第四条  其他约定</w:t>
      </w:r>
    </w:p>
    <w:p>
      <w:pPr>
        <w:keepNext w:val="0"/>
        <w:keepLines w:val="0"/>
        <w:pageBreakBefore w:val="0"/>
        <w:kinsoku/>
        <w:wordWrap/>
        <w:overflowPunct/>
        <w:topLinePunct w:val="0"/>
        <w:bidi w:val="0"/>
        <w:adjustRightInd w:val="0"/>
        <w:snapToGrid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4.1本协议经双方法定代表人或授权代理人签字并盖章后生效。本</w:t>
      </w:r>
      <w:r>
        <w:rPr>
          <w:rFonts w:hint="eastAsia" w:ascii="宋体" w:hAnsi="宋体" w:eastAsia="宋体" w:cs="宋体"/>
          <w:sz w:val="24"/>
          <w:szCs w:val="24"/>
          <w:lang w:eastAsia="zh-CN"/>
        </w:rPr>
        <w:t>协议</w:t>
      </w:r>
      <w:r>
        <w:rPr>
          <w:rFonts w:hint="eastAsia" w:ascii="宋体" w:hAnsi="宋体" w:eastAsia="宋体" w:cs="宋体"/>
          <w:sz w:val="24"/>
          <w:szCs w:val="24"/>
        </w:rPr>
        <w:t>壹式</w:t>
      </w:r>
      <w:r>
        <w:rPr>
          <w:rFonts w:hint="eastAsia" w:ascii="宋体" w:hAnsi="宋体" w:eastAsia="宋体" w:cs="宋体"/>
          <w:sz w:val="24"/>
          <w:szCs w:val="24"/>
          <w:lang w:val="en-US" w:eastAsia="zh-CN"/>
        </w:rPr>
        <w:t>贰</w:t>
      </w:r>
      <w:r>
        <w:rPr>
          <w:rFonts w:hint="eastAsia" w:ascii="宋体" w:hAnsi="宋体" w:eastAsia="宋体" w:cs="宋体"/>
          <w:sz w:val="24"/>
          <w:szCs w:val="24"/>
        </w:rPr>
        <w:t>份，</w:t>
      </w:r>
      <w:r>
        <w:rPr>
          <w:rFonts w:hint="eastAsia" w:ascii="宋体" w:hAnsi="宋体" w:eastAsia="宋体" w:cs="宋体"/>
          <w:sz w:val="24"/>
          <w:szCs w:val="24"/>
          <w:lang w:eastAsia="zh-CN"/>
        </w:rPr>
        <w:t>买方</w:t>
      </w:r>
      <w:r>
        <w:rPr>
          <w:rFonts w:hint="eastAsia" w:ascii="宋体" w:hAnsi="宋体" w:eastAsia="宋体" w:cs="宋体"/>
          <w:sz w:val="24"/>
          <w:szCs w:val="24"/>
        </w:rPr>
        <w:t>执</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卖方</w:t>
      </w:r>
      <w:r>
        <w:rPr>
          <w:rFonts w:hint="eastAsia" w:ascii="宋体" w:hAnsi="宋体" w:eastAsia="宋体" w:cs="宋体"/>
          <w:sz w:val="24"/>
          <w:szCs w:val="24"/>
        </w:rPr>
        <w:t>执</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4.3业务合同的变更、转让、终止或被撤销、无效不影响本诚信自律特别协议的效力。</w:t>
      </w:r>
    </w:p>
    <w:p>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rPr>
      </w:pPr>
      <w:r>
        <w:rPr>
          <w:rFonts w:hint="eastAsia" w:ascii="宋体" w:hAnsi="宋体" w:eastAsia="宋体" w:cs="宋体"/>
          <w:sz w:val="24"/>
          <w:szCs w:val="24"/>
        </w:rPr>
        <w:t>4.4本协议履行中任何争议均应向</w:t>
      </w:r>
      <w:r>
        <w:rPr>
          <w:rFonts w:hint="eastAsia" w:ascii="宋体" w:hAnsi="宋体" w:eastAsia="宋体" w:cs="宋体"/>
          <w:sz w:val="24"/>
          <w:szCs w:val="24"/>
          <w:lang w:eastAsia="zh-CN"/>
        </w:rPr>
        <w:t>买方</w:t>
      </w:r>
      <w:r>
        <w:rPr>
          <w:rFonts w:hint="eastAsia" w:ascii="宋体" w:hAnsi="宋体" w:eastAsia="宋体" w:cs="宋体"/>
          <w:sz w:val="24"/>
          <w:szCs w:val="24"/>
        </w:rPr>
        <w:t>所在地人民法院诉讼解决。</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附件二</w:t>
      </w:r>
    </w:p>
    <w:p>
      <w:pPr>
        <w:pStyle w:val="13"/>
        <w:keepNext w:val="0"/>
        <w:keepLines w:val="0"/>
        <w:pageBreakBefore w:val="0"/>
        <w:kinsoku/>
        <w:wordWrap/>
        <w:overflowPunct/>
        <w:topLinePunct w:val="0"/>
        <w:bidi w:val="0"/>
        <w:spacing w:line="360" w:lineRule="auto"/>
        <w:jc w:val="center"/>
        <w:rPr>
          <w:rFonts w:hint="eastAsia"/>
          <w:sz w:val="32"/>
          <w:szCs w:val="32"/>
          <w:lang w:val="en-US" w:eastAsia="zh-CN"/>
        </w:rPr>
      </w:pPr>
      <w:r>
        <w:rPr>
          <w:rFonts w:hint="eastAsia" w:ascii="宋体" w:hAnsi="宋体" w:eastAsia="宋体" w:cs="宋体"/>
          <w:color w:val="auto"/>
          <w:sz w:val="32"/>
          <w:szCs w:val="32"/>
          <w:lang w:val="en-US" w:eastAsia="zh-CN"/>
        </w:rPr>
        <w:t>（沥青）理化性能质量考核细则</w:t>
      </w:r>
    </w:p>
    <w:p>
      <w:pPr>
        <w:pStyle w:val="2"/>
        <w:keepNext w:val="0"/>
        <w:keepLines w:val="0"/>
        <w:pageBreakBefore w:val="0"/>
        <w:kinsoku/>
        <w:wordWrap/>
        <w:overflowPunct/>
        <w:topLinePunct w:val="0"/>
        <w:bidi w:val="0"/>
        <w:spacing w:line="360" w:lineRule="auto"/>
        <w:jc w:val="both"/>
        <w:outlineLvl w:val="0"/>
        <w:rPr>
          <w:rFonts w:hint="eastAsia" w:ascii="宋体" w:hAnsi="宋体" w:eastAsia="宋体" w:cs="宋体"/>
          <w:b/>
          <w:bCs w:val="0"/>
          <w:kern w:val="10"/>
          <w:sz w:val="24"/>
          <w:lang w:val="zh-TW" w:eastAsia="zh-TW"/>
        </w:rPr>
      </w:pPr>
      <w:bookmarkStart w:id="0" w:name="_Toc738"/>
      <w:r>
        <w:rPr>
          <w:rStyle w:val="16"/>
          <w:rFonts w:hint="eastAsia" w:ascii="宋体" w:hAnsi="宋体" w:eastAsia="宋体" w:cs="宋体"/>
          <w:b/>
          <w:bCs w:val="0"/>
          <w:color w:val="auto"/>
          <w:sz w:val="24"/>
          <w:szCs w:val="24"/>
          <w:lang w:val="en-US" w:eastAsia="zh-CN" w:bidi="ar-SA"/>
        </w:rPr>
        <w:t xml:space="preserve">1 </w:t>
      </w:r>
      <w:r>
        <w:rPr>
          <w:rStyle w:val="16"/>
          <w:rFonts w:hint="eastAsia" w:ascii="宋体" w:hAnsi="宋体" w:eastAsia="宋体" w:cs="宋体"/>
          <w:b/>
          <w:bCs w:val="0"/>
          <w:color w:val="auto"/>
          <w:sz w:val="24"/>
          <w:szCs w:val="24"/>
          <w:lang w:val="zh-TW" w:eastAsia="zh-TW" w:bidi="ar-SA"/>
        </w:rPr>
        <w:t>前言</w:t>
      </w:r>
      <w:bookmarkEnd w:id="0"/>
      <w:r>
        <w:rPr>
          <w:rStyle w:val="16"/>
          <w:rFonts w:hint="eastAsia" w:ascii="宋体" w:hAnsi="宋体" w:eastAsia="宋体" w:cs="宋体"/>
          <w:b/>
          <w:bCs w:val="0"/>
          <w:color w:val="auto"/>
          <w:sz w:val="24"/>
          <w:szCs w:val="24"/>
          <w:lang w:val="zh-TW" w:eastAsia="zh-TW"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1.1本质量协议用于约定买方对卖方交付的产品及其质量要求，买方对卖方交付产品的实现过程的相关要求以及对卖方相关违约的管理要求。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1.2 买、卖双方应严格遵守本协议各条款的规定和要求，违约方应对其所造成的事故负全部责任，并按照协议的要求作出损失赔偿。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1.3本协议从双方签字盖章之日起生效，直到双方重新签订协议之前有效。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1.4本协议签订后，买卖双方对本协议的修改或补充应做成书面形式，经双方代表签字并加盖公章后执行。</w:t>
      </w:r>
    </w:p>
    <w:p>
      <w:pPr>
        <w:keepNext w:val="0"/>
        <w:keepLines w:val="0"/>
        <w:pageBreakBefore w:val="0"/>
        <w:widowControl w:val="0"/>
        <w:numPr>
          <w:ilvl w:val="0"/>
          <w:numId w:val="0"/>
        </w:numPr>
        <w:kinsoku/>
        <w:wordWrap/>
        <w:overflowPunct/>
        <w:topLinePunct w:val="0"/>
        <w:bidi w:val="0"/>
        <w:snapToGrid/>
        <w:spacing w:before="156" w:beforeLines="50" w:after="156" w:afterLines="50" w:line="360" w:lineRule="auto"/>
        <w:textAlignment w:val="auto"/>
        <w:outlineLvl w:val="0"/>
        <w:rPr>
          <w:rStyle w:val="16"/>
          <w:rFonts w:hint="eastAsia" w:ascii="宋体" w:hAnsi="宋体" w:eastAsia="宋体" w:cs="宋体"/>
          <w:b/>
          <w:bCs w:val="0"/>
          <w:color w:val="auto"/>
          <w:sz w:val="24"/>
          <w:szCs w:val="24"/>
          <w:lang w:val="en-US" w:eastAsia="zh-CN" w:bidi="ar-SA"/>
        </w:rPr>
      </w:pPr>
      <w:bookmarkStart w:id="1" w:name="_Toc18054"/>
      <w:r>
        <w:rPr>
          <w:rStyle w:val="16"/>
          <w:rFonts w:hint="eastAsia" w:ascii="宋体" w:hAnsi="宋体" w:eastAsia="宋体" w:cs="宋体"/>
          <w:b/>
          <w:bCs w:val="0"/>
          <w:color w:val="auto"/>
          <w:sz w:val="24"/>
          <w:szCs w:val="24"/>
          <w:lang w:val="en-US" w:eastAsia="zh-CN" w:bidi="ar-SA"/>
        </w:rPr>
        <w:t>2 产品质量要求</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sz w:val="24"/>
          <w:szCs w:val="24"/>
          <w:lang w:val="en-US" w:eastAsia="zh-CN"/>
        </w:rPr>
      </w:pPr>
      <w:bookmarkStart w:id="2" w:name="_Toc17078"/>
      <w:r>
        <w:rPr>
          <w:rFonts w:hint="eastAsia" w:ascii="宋体" w:hAnsi="宋体" w:eastAsia="宋体" w:cs="宋体"/>
          <w:b/>
          <w:bCs w:val="0"/>
          <w:kern w:val="10"/>
          <w:sz w:val="24"/>
          <w:lang w:val="en-US" w:eastAsia="zh-CN"/>
        </w:rPr>
        <w:t>2.1 范围</w:t>
      </w:r>
      <w:bookmarkEnd w:id="2"/>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本标准依据YB/T 5194-2015改质沥青标准，结合田田碳素实际生产运行情况编制，规定了改质沥青的技术要求、试验方法、检验规则、包装、运输、贮存和质量证明书、安全注意事项等。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适用于田田碳素采购改质沥青的质量检验及质量验证。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val="0"/>
          <w:kern w:val="10"/>
          <w:sz w:val="24"/>
          <w:lang w:val="en-US" w:eastAsia="zh-CN"/>
        </w:rPr>
      </w:pPr>
      <w:bookmarkStart w:id="3" w:name="_Toc14970"/>
      <w:r>
        <w:rPr>
          <w:rFonts w:hint="eastAsia" w:ascii="宋体" w:hAnsi="宋体" w:eastAsia="宋体" w:cs="宋体"/>
          <w:b/>
          <w:bCs w:val="0"/>
          <w:kern w:val="10"/>
          <w:sz w:val="24"/>
          <w:lang w:val="en-US" w:eastAsia="zh-CN"/>
        </w:rPr>
        <w:t>2.2 规范性引用文件</w:t>
      </w:r>
      <w:bookmarkEnd w:id="3"/>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下列文件中，除正在执行的合同中有明确规定外，其余最新版本（包括所有的修改单）适用于本标准。该部分标准的引用，包括（但不限于）取样方法、检测方法、重复性、再现性、数值修约等规定要求。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YB/T5194-2015 改质沥青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GB/T2000焦化固体类产品取样方法</w:t>
      </w:r>
    </w:p>
    <w:p>
      <w:pPr>
        <w:pStyle w:val="12"/>
        <w:keepNext w:val="0"/>
        <w:keepLines w:val="0"/>
        <w:pageBreakBefore w:val="0"/>
        <w:widowControl w:val="0"/>
        <w:kinsoku/>
        <w:wordWrap/>
        <w:overflowPunct/>
        <w:topLinePunct w:val="0"/>
        <w:autoSpaceDE/>
        <w:autoSpaceDN/>
        <w:bidi w:val="0"/>
        <w:snapToGrid/>
        <w:spacing w:line="500" w:lineRule="exact"/>
        <w:textAlignment w:val="auto"/>
        <w:rPr>
          <w:rFonts w:hint="default" w:ascii="宋体" w:hAnsi="宋体" w:eastAsia="宋体" w:cs="Times New Roman"/>
          <w:b w:val="0"/>
          <w:bCs w:val="0"/>
          <w:kern w:val="10"/>
          <w:sz w:val="24"/>
          <w:highlight w:val="none"/>
          <w:lang w:val="en-US" w:eastAsia="zh-CN"/>
        </w:rPr>
      </w:pPr>
      <w:r>
        <w:rPr>
          <w:rFonts w:hint="eastAsia" w:hAnsi="宋体" w:eastAsia="宋体" w:cs="Times New Roman"/>
          <w:b w:val="0"/>
          <w:bCs w:val="0"/>
          <w:kern w:val="10"/>
          <w:sz w:val="24"/>
          <w:highlight w:val="none"/>
          <w:lang w:val="en-US" w:eastAsia="zh-CN"/>
        </w:rPr>
        <w:t xml:space="preserve">    GB/T26297.5铝用炭素材料取样方法 第5部分：煤沥青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GB/T2288焦化产品水分测定方法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GB/T2291煤沥青试验室试样的制备方法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GB/T2292焦化产品甲苯不溶物含量的测定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GB/T2293焦化沥青类产品喹啉不溶物试验方法</w:t>
      </w:r>
    </w:p>
    <w:p>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GB/T2294焦化固体类产品软化点测定方法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GB/T2295焦化固体类产品灰分测定方法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GB/T8727煤沥青类产品结焦值的测定方法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color w:val="auto"/>
          <w:kern w:val="10"/>
          <w:sz w:val="24"/>
          <w:szCs w:val="24"/>
          <w:highlight w:val="none"/>
          <w:lang w:val="en-US" w:eastAsia="zh-CN"/>
        </w:rPr>
        <w:t>GB/T8170</w:t>
      </w:r>
      <w:r>
        <w:rPr>
          <w:rFonts w:hint="eastAsia" w:ascii="宋体" w:hAnsi="宋体" w:cs="Times New Roman"/>
          <w:color w:val="auto"/>
          <w:kern w:val="10"/>
          <w:sz w:val="24"/>
          <w:szCs w:val="24"/>
          <w:highlight w:val="none"/>
          <w:lang w:val="en-US" w:eastAsia="zh-CN"/>
        </w:rPr>
        <w:t xml:space="preserve"> </w:t>
      </w:r>
      <w:r>
        <w:rPr>
          <w:rFonts w:hint="eastAsia" w:ascii="宋体" w:hAnsi="宋体" w:eastAsia="宋体" w:cs="Times New Roman"/>
          <w:color w:val="auto"/>
          <w:kern w:val="10"/>
          <w:sz w:val="24"/>
          <w:szCs w:val="24"/>
          <w:highlight w:val="none"/>
          <w:lang w:val="en-US" w:eastAsia="zh-CN"/>
        </w:rPr>
        <w:t>数值修约规则与极限数值的表示和判定</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50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4" w:name="_Toc2296"/>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3</w:t>
      </w:r>
      <w:r>
        <w:rPr>
          <w:rFonts w:hint="eastAsia" w:ascii="宋体" w:hAnsi="宋体" w:eastAsia="宋体" w:cs="宋体"/>
          <w:b/>
          <w:bCs w:val="0"/>
          <w:kern w:val="10"/>
          <w:sz w:val="24"/>
          <w:szCs w:val="24"/>
          <w:lang w:val="en-US" w:eastAsia="zh-CN" w:bidi="ar-SA"/>
        </w:rPr>
        <w:t xml:space="preserve"> 技术要求</w:t>
      </w:r>
      <w:bookmarkEnd w:id="4"/>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10"/>
          <w:szCs w:val="24"/>
          <w:lang w:val="en-US" w:eastAsia="zh-CN" w:bidi="ar-SA"/>
        </w:rPr>
      </w:pPr>
      <w:r>
        <w:rPr>
          <w:rFonts w:hint="eastAsia" w:ascii="宋体" w:hAnsi="宋体" w:eastAsia="宋体" w:cs="宋体"/>
          <w:sz w:val="24"/>
          <w:szCs w:val="24"/>
          <w:lang w:val="en-US" w:eastAsia="zh-CN"/>
        </w:rPr>
        <w:t>2.3.1 改质沥青技术要求应符合表1规定。</w:t>
      </w:r>
    </w:p>
    <w:p>
      <w:pPr>
        <w:pStyle w:val="6"/>
        <w:keepNext w:val="0"/>
        <w:keepLines w:val="0"/>
        <w:pageBreakBefore w:val="0"/>
        <w:widowControl w:val="0"/>
        <w:tabs>
          <w:tab w:val="left" w:pos="3330"/>
        </w:tabs>
        <w:kinsoku/>
        <w:wordWrap/>
        <w:overflowPunct/>
        <w:topLinePunct w:val="0"/>
        <w:bidi w:val="0"/>
        <w:snapToGrid/>
        <w:spacing w:line="240" w:lineRule="auto"/>
        <w:jc w:val="both"/>
        <w:textAlignment w:val="auto"/>
        <w:rPr>
          <w:rFonts w:hint="eastAsia" w:ascii="黑体" w:hAnsi="黑体" w:eastAsia="黑体" w:cs="黑体"/>
          <w:kern w:val="10"/>
          <w:sz w:val="24"/>
          <w:szCs w:val="24"/>
          <w:lang w:val="en-US" w:eastAsia="zh-CN" w:bidi="ar-SA"/>
        </w:rPr>
      </w:pPr>
    </w:p>
    <w:p>
      <w:pPr>
        <w:pStyle w:val="6"/>
        <w:keepNext w:val="0"/>
        <w:keepLines w:val="0"/>
        <w:pageBreakBefore w:val="0"/>
        <w:widowControl w:val="0"/>
        <w:tabs>
          <w:tab w:val="left" w:pos="3330"/>
        </w:tabs>
        <w:kinsoku/>
        <w:wordWrap/>
        <w:overflowPunct/>
        <w:topLinePunct w:val="0"/>
        <w:bidi w:val="0"/>
        <w:snapToGrid/>
        <w:spacing w:line="240" w:lineRule="auto"/>
        <w:jc w:val="center"/>
        <w:textAlignment w:val="auto"/>
        <w:rPr>
          <w:rFonts w:hint="eastAsia" w:ascii="黑体" w:hAnsi="黑体" w:eastAsia="黑体" w:cs="黑体"/>
          <w:kern w:val="10"/>
          <w:sz w:val="24"/>
          <w:szCs w:val="24"/>
          <w:lang w:val="en-US" w:eastAsia="zh-CN" w:bidi="ar-SA"/>
        </w:rPr>
      </w:pPr>
      <w:r>
        <w:rPr>
          <w:rFonts w:hint="eastAsia" w:ascii="宋体" w:hAnsi="宋体" w:eastAsia="宋体" w:cs="宋体"/>
          <w:kern w:val="10"/>
          <w:sz w:val="24"/>
          <w:szCs w:val="24"/>
          <w:lang w:val="en-US" w:eastAsia="zh-CN" w:bidi="ar-SA"/>
        </w:rPr>
        <w:t>表1：改质沥青的技术要求</w:t>
      </w:r>
    </w:p>
    <w:tbl>
      <w:tblPr>
        <w:tblStyle w:val="14"/>
        <w:tblpPr w:leftFromText="180" w:rightFromText="180" w:vertAnchor="text" w:horzAnchor="page" w:tblpXSpec="center" w:tblpY="263"/>
        <w:tblOverlap w:val="never"/>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567"/>
        <w:gridCol w:w="1157"/>
        <w:gridCol w:w="11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restart"/>
            <w:tcBorders>
              <w:bottom w:val="nil"/>
            </w:tcBorders>
            <w:vAlign w:val="top"/>
          </w:tcPr>
          <w:p>
            <w:pPr>
              <w:spacing w:line="249" w:lineRule="auto"/>
              <w:ind w:left="210" w:leftChars="100"/>
              <w:rPr>
                <w:rFonts w:ascii="Arial"/>
                <w:b/>
                <w:bCs/>
                <w:sz w:val="21"/>
                <w:szCs w:val="21"/>
              </w:rPr>
            </w:pPr>
          </w:p>
          <w:p>
            <w:pPr>
              <w:spacing w:line="249" w:lineRule="auto"/>
              <w:ind w:left="210" w:leftChars="100"/>
              <w:rPr>
                <w:rFonts w:ascii="Arial"/>
                <w:b/>
                <w:bCs/>
                <w:sz w:val="21"/>
                <w:szCs w:val="21"/>
              </w:rPr>
            </w:pPr>
          </w:p>
          <w:p>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0" w:type="auto"/>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continue"/>
            <w:tcBorders>
              <w:top w:val="nil"/>
              <w:bottom w:val="nil"/>
            </w:tcBorders>
            <w:vAlign w:val="top"/>
          </w:tcPr>
          <w:p>
            <w:pPr>
              <w:ind w:left="210" w:leftChars="100"/>
              <w:rPr>
                <w:rFonts w:ascii="Arial"/>
                <w:b/>
                <w:bCs/>
                <w:sz w:val="21"/>
                <w:szCs w:val="21"/>
              </w:rPr>
            </w:pPr>
          </w:p>
        </w:tc>
        <w:tc>
          <w:tcPr>
            <w:tcW w:w="0" w:type="auto"/>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Merge w:val="continue"/>
            <w:tcBorders>
              <w:top w:val="nil"/>
            </w:tcBorders>
            <w:vAlign w:val="top"/>
          </w:tcPr>
          <w:p>
            <w:pPr>
              <w:ind w:left="210" w:leftChars="100"/>
              <w:rPr>
                <w:rFonts w:ascii="Arial"/>
                <w:b/>
                <w:bCs/>
                <w:sz w:val="21"/>
                <w:szCs w:val="21"/>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0" w:type="auto"/>
            <w:vAlign w:val="center"/>
          </w:tcPr>
          <w:p>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0" w:type="auto"/>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pacing w:val="-2"/>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数值修约比较按GB/T</w:t>
            </w:r>
            <w:r>
              <w:rPr>
                <w:rFonts w:hint="eastAsia" w:ascii="宋体" w:hAnsi="宋体" w:eastAsia="宋体" w:cs="宋体"/>
                <w:color w:val="auto"/>
                <w:sz w:val="21"/>
                <w:szCs w:val="21"/>
                <w:lang w:val="en-US" w:eastAsia="zh-CN"/>
              </w:rPr>
              <w:t>8170有关</w:t>
            </w:r>
            <w:r>
              <w:rPr>
                <w:rFonts w:hint="eastAsia" w:ascii="宋体" w:hAnsi="宋体" w:eastAsia="宋体" w:cs="宋体"/>
                <w:color w:val="auto"/>
                <w:sz w:val="21"/>
                <w:szCs w:val="21"/>
              </w:rPr>
              <w:t>规定进行，修约数位与表中所列极限数位一致</w:t>
            </w:r>
            <w:r>
              <w:rPr>
                <w:rFonts w:hint="eastAsia" w:ascii="宋体" w:hAnsi="宋体" w:eastAsia="宋体" w:cs="宋体"/>
                <w:color w:val="auto"/>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2.3.2 外观质量：沥青不得含有杂质。</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5" w:name="_Toc8591"/>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4</w:t>
      </w:r>
      <w:r>
        <w:rPr>
          <w:rFonts w:hint="eastAsia" w:ascii="宋体" w:hAnsi="宋体" w:eastAsia="宋体" w:cs="宋体"/>
          <w:b/>
          <w:bCs w:val="0"/>
          <w:kern w:val="10"/>
          <w:sz w:val="24"/>
          <w:szCs w:val="24"/>
          <w:lang w:val="en-US" w:eastAsia="zh-CN" w:bidi="ar-SA"/>
        </w:rPr>
        <w:t xml:space="preserve"> 试验方法</w:t>
      </w:r>
      <w:bookmarkEnd w:id="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2.4.1 软化点的测定按GB/T2294规定进行。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2.4.2 甲苯不溶物含量的测定按GB/T2292规定进行。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2.4.3 喹啉不溶物含量的测定按GB/T2293规定进行。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2.4.4 水分的测定按GB/T2288规定进行。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2.4.5 结焦值的测定按GB/T8727规定进行。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2.4.6 灰分的测定按GB/T2295规定进行。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kern w:val="10"/>
          <w:sz w:val="24"/>
          <w:lang w:val="en-US" w:eastAsia="zh-CN"/>
        </w:rPr>
      </w:pPr>
      <w:r>
        <w:rPr>
          <w:rFonts w:hint="eastAsia" w:ascii="宋体" w:hAnsi="宋体" w:eastAsia="宋体" w:cs="Times New Roman"/>
          <w:b w:val="0"/>
          <w:bCs w:val="0"/>
          <w:kern w:val="10"/>
          <w:sz w:val="24"/>
          <w:highlight w:val="none"/>
          <w:lang w:val="en-US" w:eastAsia="zh-CN"/>
        </w:rPr>
        <w:t>2.4.7 β树脂含量由甲苯不溶物含量和喹啉不溶物含量差值计算而得。</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6" w:name="_Toc6984"/>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5</w:t>
      </w:r>
      <w:r>
        <w:rPr>
          <w:rFonts w:hint="eastAsia" w:ascii="宋体" w:hAnsi="宋体" w:eastAsia="宋体" w:cs="宋体"/>
          <w:b/>
          <w:bCs w:val="0"/>
          <w:kern w:val="10"/>
          <w:sz w:val="24"/>
          <w:szCs w:val="24"/>
          <w:lang w:val="en-US" w:eastAsia="zh-CN" w:bidi="ar-SA"/>
        </w:rPr>
        <w:t xml:space="preserve"> 检验规则</w:t>
      </w:r>
      <w:bookmarkEnd w:id="6"/>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2.5</w:t>
      </w:r>
      <w:r>
        <w:rPr>
          <w:rFonts w:hint="eastAsia" w:ascii="宋体" w:hAnsi="宋体" w:eastAsia="宋体" w:cs="Times New Roman"/>
          <w:b/>
          <w:kern w:val="10"/>
          <w:sz w:val="24"/>
          <w:szCs w:val="24"/>
          <w:lang w:val="en-US" w:eastAsia="zh-CN" w:bidi="ar-SA"/>
        </w:rPr>
        <w:t>.1 检测和验收</w:t>
      </w:r>
    </w:p>
    <w:p>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 xml:space="preserve">2.5.1.1 </w:t>
      </w:r>
      <w:r>
        <w:rPr>
          <w:rFonts w:hint="eastAsia" w:ascii="宋体" w:hAnsi="宋体" w:eastAsia="宋体" w:cs="Times New Roman"/>
          <w:b w:val="0"/>
          <w:bCs w:val="0"/>
          <w:kern w:val="10"/>
          <w:sz w:val="24"/>
          <w:lang w:val="en-US" w:eastAsia="zh-CN"/>
        </w:rPr>
        <w:t>沥青由买方在买方仓库内进行抽样检验。如检验结果与本合同的规定不符时，应及时向卖方提出，卖方收到买方质量异常反馈后，应在3个工作日内处理，否则视为默认买方提出的异议和处理意见。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2.5.1.2 必要时，</w:t>
      </w:r>
      <w:r>
        <w:rPr>
          <w:rFonts w:hint="eastAsia" w:ascii="宋体" w:hAnsi="宋体" w:eastAsia="宋体" w:cs="Times New Roman"/>
          <w:b w:val="0"/>
          <w:bCs w:val="0"/>
          <w:kern w:val="10"/>
          <w:sz w:val="24"/>
          <w:lang w:val="en-US" w:eastAsia="zh-CN"/>
        </w:rPr>
        <w:t>买</w:t>
      </w:r>
      <w:r>
        <w:rPr>
          <w:rFonts w:hint="eastAsia" w:ascii="宋体" w:hAnsi="宋体" w:eastAsia="宋体" w:cs="Times New Roman"/>
          <w:b w:val="0"/>
          <w:bCs w:val="0"/>
          <w:kern w:val="10"/>
          <w:sz w:val="24"/>
          <w:highlight w:val="none"/>
          <w:lang w:val="en-US" w:eastAsia="zh-CN"/>
        </w:rPr>
        <w:t>方可依据订货单（或合同）约定，进入</w:t>
      </w:r>
      <w:r>
        <w:rPr>
          <w:rFonts w:hint="eastAsia" w:ascii="宋体" w:hAnsi="宋体" w:eastAsia="宋体" w:cs="Times New Roman"/>
          <w:b w:val="0"/>
          <w:bCs w:val="0"/>
          <w:kern w:val="10"/>
          <w:sz w:val="24"/>
          <w:lang w:val="en-US" w:eastAsia="zh-CN"/>
        </w:rPr>
        <w:t>卖</w:t>
      </w:r>
      <w:r>
        <w:rPr>
          <w:rFonts w:hint="eastAsia" w:ascii="宋体" w:hAnsi="宋体" w:eastAsia="宋体" w:cs="Times New Roman"/>
          <w:b w:val="0"/>
          <w:bCs w:val="0"/>
          <w:kern w:val="10"/>
          <w:sz w:val="24"/>
          <w:highlight w:val="none"/>
          <w:lang w:val="en-US" w:eastAsia="zh-CN"/>
        </w:rPr>
        <w:t>方现场对拟交货的产品进行供货前的检查。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2.5.2 组批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2.5.2.1 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FF0000"/>
          <w:kern w:val="10"/>
          <w:sz w:val="24"/>
          <w:highlight w:val="none"/>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2.5.2.2 对于沥青甲苯不溶物、喹啉不溶物、β树脂三项指标，新到货的供应商以每</w:t>
      </w:r>
      <w:r>
        <w:rPr>
          <w:rFonts w:hint="eastAsia" w:ascii="宋体" w:hAnsi="宋体" w:eastAsia="宋体" w:cs="Times New Roman"/>
          <w:b w:val="0"/>
          <w:bCs w:val="0"/>
          <w:color w:val="auto"/>
          <w:kern w:val="10"/>
          <w:sz w:val="24"/>
          <w:highlight w:val="none"/>
          <w:lang w:val="en-US" w:eastAsia="zh-CN"/>
        </w:rPr>
        <w:t>15</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车组批检测一次，当同一供应商连续两批次检测均合格后，转为每月随机抽检一次，当抽检过程中出现任何一项指标不合格时，立即转为以每</w:t>
      </w:r>
      <w:r>
        <w:rPr>
          <w:rFonts w:hint="eastAsia" w:ascii="宋体" w:hAnsi="宋体" w:eastAsia="宋体" w:cs="Times New Roman"/>
          <w:b w:val="0"/>
          <w:bCs w:val="0"/>
          <w:color w:val="auto"/>
          <w:kern w:val="10"/>
          <w:sz w:val="24"/>
          <w:highlight w:val="none"/>
          <w:lang w:val="en-US" w:eastAsia="zh-CN"/>
        </w:rPr>
        <w:t>15</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车组批抽检一次，连续两批次检测合格后再转为以每月随机抽检一次。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2.5.2.3 沥青在使用过程中出现质量问题时，可不定时进行取样检验。若为沥青质量存在问题的，由</w:t>
      </w:r>
      <w:r>
        <w:rPr>
          <w:rFonts w:hint="eastAsia" w:ascii="宋体" w:hAnsi="宋体" w:eastAsia="宋体" w:cs="Times New Roman"/>
          <w:b w:val="0"/>
          <w:bCs w:val="0"/>
          <w:kern w:val="10"/>
          <w:sz w:val="24"/>
          <w:lang w:val="en-US" w:eastAsia="zh-CN"/>
        </w:rPr>
        <w:t>卖</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方承担相关责任及赔偿相应损失。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2.5.3 检验项目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水分、灰分、软化点、结焦值、甲苯不溶物、喹啉不溶物、β树脂。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2.5.4 取样和制样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2.5.4.1 试样的采取按GB/T2000焦化固体类产品取样方法、GB/T26297.5铝用炭素材料取样方法第5部分：煤沥青相关规定进行，试样的制备按GB/T2291煤沥青试验室试样的制备方法规定进行。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2.5.4.2 沥青封存试样保存期限不少于3个月。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2.5.5 复检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2.5.5.1 复检方式：买卖双方在验收过程中就质量问题发生争议时，</w:t>
      </w:r>
      <w:r>
        <w:rPr>
          <w:rFonts w:hint="eastAsia" w:ascii="宋体" w:hAnsi="宋体" w:eastAsia="宋体" w:cs="Times New Roman"/>
          <w:b w:val="0"/>
          <w:bCs w:val="0"/>
          <w:kern w:val="10"/>
          <w:sz w:val="24"/>
          <w:lang w:val="en-US" w:eastAsia="zh-CN"/>
        </w:rPr>
        <w:t>卖</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方需在3个工作日内，以函件的方式向</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方提出复检申请。复检优先选择在</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方实验室进行，当争议较大或</w:t>
      </w:r>
      <w:r>
        <w:rPr>
          <w:rFonts w:hint="eastAsia" w:ascii="宋体" w:hAnsi="宋体" w:eastAsia="宋体" w:cs="Times New Roman"/>
          <w:b w:val="0"/>
          <w:bCs w:val="0"/>
          <w:kern w:val="10"/>
          <w:sz w:val="24"/>
          <w:lang w:val="en-US" w:eastAsia="zh-CN"/>
        </w:rPr>
        <w:t>卖</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方有充分理由时，也可选择在双方认可的具有资质的第三方实验室进行复检（由</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方在买卖双方认可的具有资质的第三方实验室中随机选择一家进行复检）。以上复检方式只可选择其中一种，不可两种同时进行。因水分会随外界环境变化，水分不接受复检申请。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2.5.5.2 复检样品：采用</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方到货验收时的封存样品进行复检。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2.5.5.3 复检结果的应用：当复检结果在该项指标检测标准规定再现性范围内的，以</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2.5.5.4 复检费用：在</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方实验室进行复检的，复检费用由</w:t>
      </w:r>
      <w:r>
        <w:rPr>
          <w:rFonts w:hint="eastAsia" w:ascii="宋体" w:hAnsi="宋体" w:eastAsia="宋体" w:cs="Times New Roman"/>
          <w:b w:val="0"/>
          <w:bCs w:val="0"/>
          <w:kern w:val="10"/>
          <w:sz w:val="24"/>
          <w:lang w:val="en-US" w:eastAsia="zh-CN"/>
        </w:rPr>
        <w:t>买</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方承担；由具有资质的第三方实验室复检的，复检费用由提出异议方承担。</w:t>
      </w:r>
    </w:p>
    <w:p>
      <w:pPr>
        <w:pStyle w:val="2"/>
        <w:rPr>
          <w:rFonts w:hint="default"/>
          <w:lang w:val="en-US" w:eastAsia="zh-CN"/>
        </w:rPr>
      </w:pPr>
      <w:r>
        <w:rPr>
          <w:rFonts w:hint="eastAsia" w:ascii="宋体" w:hAnsi="宋体" w:cs="Times New Roman"/>
          <w:color w:val="000000" w:themeColor="text1"/>
          <w:kern w:val="10"/>
          <w:sz w:val="24"/>
          <w:highlight w:val="none"/>
          <w:lang w:val="en-US" w:eastAsia="zh-CN"/>
          <w14:textFill>
            <w14:solidFill>
              <w14:schemeClr w14:val="tx1"/>
            </w14:solidFill>
          </w14:textFill>
        </w:rPr>
        <w:t>2.5.5.5复检再现性范围：</w:t>
      </w:r>
    </w:p>
    <w:p>
      <w:pPr>
        <w:pStyle w:val="18"/>
        <w:bidi w:val="0"/>
        <w:jc w:val="center"/>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表2：沥青复检仲裁再现性范围值</w:t>
      </w:r>
    </w:p>
    <w:tbl>
      <w:tblPr>
        <w:tblStyle w:val="9"/>
        <w:tblW w:w="86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5"/>
        <w:gridCol w:w="900"/>
        <w:gridCol w:w="1737"/>
        <w:gridCol w:w="1463"/>
        <w:gridCol w:w="3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64" w:type="dxa"/>
            <w:gridSpan w:val="5"/>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right="53" w:firstLine="13"/>
              <w:jc w:val="center"/>
              <w:rPr>
                <w:rFonts w:hint="default" w:ascii="仿宋" w:hAnsi="仿宋" w:eastAsia="仿宋" w:cs="仿宋"/>
                <w:b/>
                <w:bCs/>
                <w:spacing w:val="-3"/>
                <w:sz w:val="28"/>
                <w:szCs w:val="28"/>
                <w:lang w:val="en-US"/>
              </w:rPr>
            </w:pPr>
            <w:r>
              <w:rPr>
                <w:rFonts w:hint="eastAsia" w:ascii="仿宋" w:hAnsi="仿宋" w:eastAsia="仿宋" w:cs="仿宋"/>
                <w:b/>
                <w:bCs/>
                <w:spacing w:val="-3"/>
                <w:sz w:val="28"/>
                <w:szCs w:val="28"/>
                <w:lang w:val="en-US" w:eastAsia="zh-CN"/>
              </w:rPr>
              <w:t>沥青复检仲裁再现性范围值</w:t>
            </w:r>
          </w:p>
          <w:p>
            <w:pPr>
              <w:spacing w:before="78" w:line="325" w:lineRule="auto"/>
              <w:ind w:left="12" w:right="53" w:firstLine="13"/>
              <w:jc w:val="center"/>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检测结果范围</w:t>
            </w:r>
          </w:p>
          <w:p>
            <w:pPr>
              <w:spacing w:before="78" w:line="325" w:lineRule="auto"/>
              <w:ind w:left="12" w:right="53" w:firstLine="13"/>
              <w:jc w:val="center"/>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允许差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b/>
                <w:bCs/>
                <w:spacing w:val="-3"/>
                <w:kern w:val="2"/>
                <w:sz w:val="24"/>
                <w:szCs w:val="24"/>
                <w:lang w:val="en-US" w:eastAsia="zh-CN" w:bidi="ar-SA"/>
              </w:rPr>
            </w:pPr>
            <w:r>
              <w:rPr>
                <w:rFonts w:hint="eastAsia" w:ascii="仿宋" w:hAnsi="仿宋" w:eastAsia="仿宋" w:cs="仿宋"/>
                <w:b/>
                <w:bCs/>
                <w:spacing w:val="-3"/>
                <w:sz w:val="24"/>
                <w:szCs w:val="24"/>
                <w:lang w:val="en-US" w:eastAsia="zh-CN"/>
              </w:rPr>
              <w:t>检测项目</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b/>
                <w:bCs/>
                <w:spacing w:val="-3"/>
                <w:kern w:val="2"/>
                <w:sz w:val="24"/>
                <w:szCs w:val="24"/>
                <w:lang w:val="en-US" w:eastAsia="zh-CN" w:bidi="ar-SA"/>
              </w:rPr>
            </w:pPr>
            <w:r>
              <w:rPr>
                <w:rFonts w:hint="eastAsia" w:ascii="仿宋" w:hAnsi="仿宋" w:eastAsia="仿宋" w:cs="仿宋"/>
                <w:b/>
                <w:bCs/>
                <w:spacing w:val="-3"/>
                <w:sz w:val="24"/>
                <w:szCs w:val="24"/>
                <w:lang w:val="en-US" w:eastAsia="zh-CN"/>
              </w:rPr>
              <w:t>单位</w:t>
            </w:r>
          </w:p>
        </w:tc>
        <w:tc>
          <w:tcPr>
            <w:tcW w:w="1737"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b/>
                <w:bCs/>
                <w:spacing w:val="-3"/>
                <w:kern w:val="2"/>
                <w:sz w:val="24"/>
                <w:szCs w:val="24"/>
                <w:lang w:val="en-US" w:eastAsia="zh-CN" w:bidi="ar-SA"/>
              </w:rPr>
            </w:pPr>
            <w:r>
              <w:rPr>
                <w:rFonts w:hint="eastAsia" w:ascii="仿宋" w:hAnsi="仿宋" w:eastAsia="仿宋" w:cs="仿宋"/>
                <w:b/>
                <w:bCs/>
                <w:spacing w:val="-3"/>
                <w:sz w:val="24"/>
                <w:szCs w:val="24"/>
                <w:lang w:val="en-US" w:eastAsia="zh-CN"/>
              </w:rPr>
              <w:t>检测结果范围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default" w:ascii="仿宋" w:hAnsi="仿宋" w:eastAsia="仿宋" w:cs="仿宋"/>
                <w:b/>
                <w:bCs/>
                <w:spacing w:val="-3"/>
                <w:kern w:val="2"/>
                <w:sz w:val="24"/>
                <w:szCs w:val="24"/>
                <w:lang w:val="en-US" w:eastAsia="zh-CN" w:bidi="ar-SA"/>
              </w:rPr>
            </w:pPr>
            <w:r>
              <w:rPr>
                <w:rFonts w:hint="eastAsia" w:ascii="仿宋" w:hAnsi="仿宋" w:eastAsia="仿宋" w:cs="仿宋"/>
                <w:b/>
                <w:bCs/>
                <w:spacing w:val="-3"/>
                <w:kern w:val="2"/>
                <w:sz w:val="24"/>
                <w:szCs w:val="24"/>
                <w:lang w:val="en-US" w:eastAsia="zh-CN" w:bidi="ar-SA"/>
              </w:rPr>
              <w:t>再现性</w:t>
            </w:r>
          </w:p>
        </w:tc>
        <w:tc>
          <w:tcPr>
            <w:tcW w:w="3299"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default" w:ascii="仿宋" w:hAnsi="仿宋" w:eastAsia="仿宋" w:cs="仿宋"/>
                <w:b/>
                <w:bCs/>
                <w:spacing w:val="-3"/>
                <w:kern w:val="2"/>
                <w:sz w:val="24"/>
                <w:szCs w:val="24"/>
                <w:lang w:val="en-US" w:eastAsia="zh-CN" w:bidi="ar-SA"/>
              </w:rPr>
            </w:pPr>
            <w:r>
              <w:rPr>
                <w:rFonts w:hint="eastAsia" w:ascii="仿宋" w:hAnsi="仿宋" w:eastAsia="仿宋" w:cs="仿宋"/>
                <w:b/>
                <w:bCs/>
                <w:spacing w:val="-3"/>
                <w:kern w:val="2"/>
                <w:sz w:val="24"/>
                <w:szCs w:val="24"/>
                <w:lang w:val="en-US" w:eastAsia="zh-CN" w:bidi="ar-SA"/>
              </w:rPr>
              <w:t>执行标准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结焦值</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±2.0</w:t>
            </w:r>
          </w:p>
        </w:tc>
        <w:tc>
          <w:tcPr>
            <w:tcW w:w="3299" w:type="dxa"/>
            <w:tcBorders>
              <w:top w:val="single" w:color="000000" w:sz="4" w:space="0"/>
              <w:left w:val="single" w:color="000000" w:sz="4" w:space="0"/>
              <w:bottom w:val="single" w:color="000000" w:sz="4" w:space="0"/>
              <w:right w:val="single" w:color="000000" w:sz="4" w:space="0"/>
            </w:tcBorders>
            <w:noWrap/>
            <w:vAlign w:val="center"/>
          </w:tcPr>
          <w:p>
            <w:pPr>
              <w:spacing w:before="78" w:line="240"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GB/T8727-2008 煤沥青类产品结焦值的测定方法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sz w:val="24"/>
                <w:szCs w:val="24"/>
              </w:rPr>
            </w:pPr>
            <w:r>
              <w:rPr>
                <w:rFonts w:hint="eastAsia" w:ascii="仿宋" w:hAnsi="仿宋" w:eastAsia="仿宋" w:cs="仿宋"/>
                <w:sz w:val="24"/>
                <w:szCs w:val="24"/>
              </w:rPr>
              <w:t>软化点</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sz w:val="24"/>
                <w:szCs w:val="24"/>
              </w:rPr>
            </w:pPr>
            <w:r>
              <w:rPr>
                <w:rFonts w:hint="eastAsia" w:ascii="仿宋" w:hAnsi="仿宋" w:eastAsia="仿宋" w:cs="仿宋"/>
                <w:spacing w:val="-3"/>
                <w:sz w:val="24"/>
                <w:szCs w:val="24"/>
                <w:lang w:val="en-US" w:eastAsia="zh-CN"/>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spacing w:val="-3"/>
                <w:sz w:val="24"/>
                <w:szCs w:val="24"/>
                <w:lang w:val="en-US"/>
              </w:rPr>
            </w:pPr>
            <w:r>
              <w:rPr>
                <w:rFonts w:hint="eastAsia" w:ascii="仿宋" w:hAnsi="仿宋" w:eastAsia="仿宋" w:cs="仿宋"/>
                <w:i w:val="0"/>
                <w:iCs w:val="0"/>
                <w:color w:val="000000"/>
                <w:kern w:val="0"/>
                <w:sz w:val="24"/>
                <w:szCs w:val="24"/>
                <w:u w:val="none"/>
                <w:lang w:val="en-US" w:eastAsia="zh-CN" w:bidi="ar"/>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spacing w:val="-3"/>
                <w:sz w:val="24"/>
                <w:szCs w:val="24"/>
                <w:lang w:val="en-US"/>
              </w:rPr>
            </w:pPr>
            <w:r>
              <w:rPr>
                <w:rFonts w:hint="eastAsia" w:ascii="仿宋" w:hAnsi="仿宋" w:eastAsia="仿宋" w:cs="仿宋"/>
                <w:i w:val="0"/>
                <w:iCs w:val="0"/>
                <w:color w:val="000000"/>
                <w:kern w:val="0"/>
                <w:sz w:val="24"/>
                <w:szCs w:val="24"/>
                <w:u w:val="none"/>
                <w:lang w:val="en-US" w:eastAsia="zh-CN" w:bidi="ar"/>
              </w:rPr>
              <w:t>±2.5</w:t>
            </w:r>
          </w:p>
        </w:tc>
        <w:tc>
          <w:tcPr>
            <w:tcW w:w="32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spacing w:val="-3"/>
                <w:sz w:val="24"/>
                <w:szCs w:val="24"/>
                <w:lang w:val="en-US" w:eastAsia="zh-CN"/>
              </w:rPr>
            </w:pPr>
            <w:r>
              <w:rPr>
                <w:rFonts w:hint="eastAsia" w:ascii="仿宋" w:hAnsi="仿宋" w:eastAsia="仿宋" w:cs="仿宋"/>
                <w:i w:val="0"/>
                <w:iCs w:val="0"/>
                <w:color w:val="000000"/>
                <w:kern w:val="0"/>
                <w:sz w:val="24"/>
                <w:szCs w:val="24"/>
                <w:u w:val="none"/>
                <w:lang w:val="en-US" w:eastAsia="zh-CN" w:bidi="ar"/>
              </w:rPr>
              <w:t>GB/T2294-2019 焦化固体类产品软化点测定方法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灰分</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pacing w:val="-3"/>
                <w:kern w:val="2"/>
                <w:sz w:val="24"/>
                <w:szCs w:val="24"/>
                <w:lang w:val="en-US" w:eastAsia="zh-CN" w:bidi="ar-SA"/>
              </w:rPr>
            </w:pPr>
            <w:r>
              <w:rPr>
                <w:rFonts w:hint="eastAsia" w:ascii="仿宋" w:hAnsi="仿宋" w:eastAsia="仿宋" w:cs="仿宋"/>
                <w:spacing w:val="-3"/>
                <w:sz w:val="24"/>
                <w:szCs w:val="24"/>
                <w:lang w:val="en-US" w:eastAsia="zh-CN"/>
              </w:rPr>
              <w:t>±0.05</w:t>
            </w:r>
          </w:p>
        </w:tc>
        <w:tc>
          <w:tcPr>
            <w:tcW w:w="32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GB/T2295-2008 焦化固体类产品灰分测定方法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pPr>
              <w:spacing w:before="78" w:line="240" w:lineRule="auto"/>
              <w:ind w:left="12" w:leftChars="0" w:right="53" w:rightChars="0" w:firstLine="13" w:firstLineChars="0"/>
              <w:jc w:val="center"/>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pacing w:val="-3"/>
                <w:sz w:val="24"/>
                <w:szCs w:val="24"/>
                <w:lang w:val="en-US" w:eastAsia="zh-CN"/>
              </w:rPr>
              <w:t>甲苯不溶物含量</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snapToGrid w:val="0"/>
                <w:color w:val="000000"/>
                <w:spacing w:val="-3"/>
                <w:kern w:val="0"/>
                <w:sz w:val="24"/>
                <w:szCs w:val="24"/>
                <w:lang w:val="en-US" w:eastAsia="en-US" w:bidi="ar-SA"/>
              </w:rPr>
            </w:pPr>
            <w:r>
              <w:rPr>
                <w:rFonts w:hint="eastAsia" w:ascii="仿宋" w:hAnsi="仿宋" w:eastAsia="仿宋" w:cs="仿宋"/>
                <w:spacing w:val="-3"/>
                <w:sz w:val="24"/>
                <w:szCs w:val="24"/>
                <w:lang w:val="en-US" w:eastAsia="zh-CN"/>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pacing w:val="-3"/>
                <w:sz w:val="24"/>
                <w:szCs w:val="24"/>
                <w:lang w:val="en-US" w:eastAsia="zh-CN"/>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pPr>
              <w:spacing w:before="78" w:line="325" w:lineRule="auto"/>
              <w:ind w:left="12" w:leftChars="0" w:right="53" w:rightChars="0" w:firstLine="13"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pacing w:val="-3"/>
                <w:sz w:val="24"/>
                <w:szCs w:val="24"/>
                <w:lang w:val="en-US" w:eastAsia="zh-CN"/>
              </w:rPr>
              <w:t>±1.5</w:t>
            </w:r>
          </w:p>
        </w:tc>
        <w:tc>
          <w:tcPr>
            <w:tcW w:w="32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GB/T2292-2018 焦化产品甲苯不溶物含量测定方法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喹啉不溶</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w:t>
            </w:r>
          </w:p>
        </w:tc>
        <w:tc>
          <w:tcPr>
            <w:tcW w:w="1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全范围</w:t>
            </w:r>
          </w:p>
        </w:tc>
        <w:tc>
          <w:tcPr>
            <w:tcW w:w="1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32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GB/T2293-2018 焦化沥青类产品喹啉不溶物试验方法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2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snapToGrid w:val="0"/>
                <w:color w:val="000000"/>
                <w:spacing w:val="-3"/>
                <w:kern w:val="0"/>
                <w:sz w:val="24"/>
                <w:szCs w:val="24"/>
                <w:lang w:val="en-US" w:eastAsia="zh-CN" w:bidi="ar-SA"/>
              </w:rPr>
            </w:pPr>
            <w:r>
              <w:rPr>
                <w:rFonts w:ascii="宋体" w:hAnsi="宋体" w:eastAsia="宋体" w:cs="宋体"/>
                <w:b w:val="0"/>
                <w:bCs w:val="0"/>
                <w:sz w:val="24"/>
                <w:szCs w:val="24"/>
              </w:rPr>
              <w:t>β</w:t>
            </w:r>
            <w:r>
              <w:rPr>
                <w:rFonts w:hint="eastAsia" w:ascii="仿宋" w:hAnsi="仿宋" w:eastAsia="仿宋" w:cs="仿宋"/>
                <w:b w:val="0"/>
                <w:bCs w:val="0"/>
                <w:color w:val="auto"/>
                <w:sz w:val="32"/>
                <w:szCs w:val="32"/>
                <w:vertAlign w:val="subscript"/>
                <w:lang w:val="en-US" w:eastAsia="zh-CN"/>
              </w:rPr>
              <w:t>树脂</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w:t>
            </w:r>
          </w:p>
        </w:tc>
        <w:tc>
          <w:tcPr>
            <w:tcW w:w="6499"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因沥青β</w:t>
            </w:r>
            <w:r>
              <w:rPr>
                <w:rFonts w:hint="eastAsia" w:ascii="仿宋" w:hAnsi="仿宋" w:eastAsia="仿宋" w:cs="仿宋"/>
                <w:snapToGrid w:val="0"/>
                <w:color w:val="000000"/>
                <w:spacing w:val="-3"/>
                <w:kern w:val="0"/>
                <w:sz w:val="24"/>
                <w:szCs w:val="24"/>
                <w:vertAlign w:val="subscript"/>
                <w:lang w:val="en-US" w:eastAsia="zh-CN" w:bidi="ar-SA"/>
              </w:rPr>
              <w:t>树脂</w:t>
            </w:r>
            <w:r>
              <w:rPr>
                <w:rFonts w:hint="eastAsia" w:ascii="仿宋" w:hAnsi="仿宋" w:eastAsia="仿宋" w:cs="仿宋"/>
                <w:snapToGrid w:val="0"/>
                <w:color w:val="000000"/>
                <w:spacing w:val="-3"/>
                <w:kern w:val="0"/>
                <w:sz w:val="24"/>
                <w:szCs w:val="24"/>
                <w:vertAlign w:val="baseline"/>
                <w:lang w:val="en-US" w:eastAsia="zh-CN" w:bidi="ar-SA"/>
              </w:rPr>
              <w:t>为</w:t>
            </w:r>
            <w:r>
              <w:rPr>
                <w:rFonts w:hint="eastAsia" w:ascii="仿宋" w:hAnsi="仿宋" w:eastAsia="仿宋" w:cs="仿宋"/>
                <w:snapToGrid w:val="0"/>
                <w:color w:val="000000"/>
                <w:spacing w:val="-3"/>
                <w:kern w:val="0"/>
                <w:sz w:val="24"/>
                <w:szCs w:val="24"/>
                <w:lang w:val="en-US" w:eastAsia="zh-CN" w:bidi="ar-SA"/>
              </w:rPr>
              <w:t>甲苯不溶物含量与喹啉不溶物含量差值，当出现β</w:t>
            </w:r>
            <w:r>
              <w:rPr>
                <w:rFonts w:hint="eastAsia" w:ascii="仿宋" w:hAnsi="仿宋" w:eastAsia="仿宋" w:cs="仿宋"/>
                <w:snapToGrid w:val="0"/>
                <w:color w:val="000000"/>
                <w:spacing w:val="-3"/>
                <w:kern w:val="0"/>
                <w:sz w:val="24"/>
                <w:szCs w:val="24"/>
                <w:vertAlign w:val="subscript"/>
                <w:lang w:val="en-US" w:eastAsia="zh-CN" w:bidi="ar-SA"/>
              </w:rPr>
              <w:t>树脂</w:t>
            </w:r>
            <w:r>
              <w:rPr>
                <w:rFonts w:hint="eastAsia" w:ascii="仿宋" w:hAnsi="仿宋" w:eastAsia="仿宋" w:cs="仿宋"/>
                <w:snapToGrid w:val="0"/>
                <w:color w:val="000000"/>
                <w:spacing w:val="-3"/>
                <w:kern w:val="0"/>
                <w:sz w:val="24"/>
                <w:szCs w:val="24"/>
                <w:lang w:val="en-US" w:eastAsia="zh-CN" w:bidi="ar-SA"/>
              </w:rPr>
              <w:t>不合格时，不单独对该项指标进行复检仲裁，如供方对该项指标提出复检仲裁，需对甲苯不溶物含量及喹啉不溶物含量同时进行复检仲裁，最终以甲苯不溶物含量与喹啉不溶物含量复检仲裁的结果计算的差值做为β</w:t>
            </w:r>
            <w:r>
              <w:rPr>
                <w:rFonts w:hint="eastAsia" w:ascii="仿宋" w:hAnsi="仿宋" w:eastAsia="仿宋" w:cs="仿宋"/>
                <w:snapToGrid w:val="0"/>
                <w:color w:val="000000"/>
                <w:spacing w:val="-3"/>
                <w:kern w:val="0"/>
                <w:sz w:val="24"/>
                <w:szCs w:val="24"/>
                <w:vertAlign w:val="subscript"/>
                <w:lang w:val="en-US" w:eastAsia="zh-CN" w:bidi="ar-SA"/>
              </w:rPr>
              <w:t>树脂</w:t>
            </w:r>
            <w:r>
              <w:rPr>
                <w:rFonts w:hint="eastAsia" w:ascii="仿宋" w:hAnsi="仿宋" w:eastAsia="仿宋" w:cs="仿宋"/>
                <w:snapToGrid w:val="0"/>
                <w:color w:val="000000"/>
                <w:spacing w:val="-3"/>
                <w:kern w:val="0"/>
                <w:sz w:val="24"/>
                <w:szCs w:val="24"/>
                <w:lang w:val="en-US" w:eastAsia="zh-CN" w:bidi="ar-SA"/>
              </w:rPr>
              <w:t>结算依据。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64" w:type="dxa"/>
            <w:gridSpan w:val="5"/>
            <w:tcBorders>
              <w:top w:val="single" w:color="000000" w:sz="4" w:space="0"/>
              <w:left w:val="single" w:color="000000" w:sz="4" w:space="0"/>
              <w:bottom w:val="single" w:color="000000" w:sz="4" w:space="0"/>
              <w:right w:val="single" w:color="000000" w:sz="4" w:space="0"/>
            </w:tcBorders>
            <w:noWrap/>
            <w:vAlign w:val="center"/>
          </w:tcPr>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right="0" w:rightChars="0"/>
              <w:jc w:val="center"/>
              <w:textAlignment w:val="auto"/>
              <w:rPr>
                <w:rFonts w:hint="eastAsia"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注：1.沥青水分会因环境变化而有所变化，沥青水分不受理复检仲裁；</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left="713" w:leftChars="228" w:right="0" w:rightChars="0" w:hanging="234" w:hangingChars="100"/>
              <w:jc w:val="center"/>
              <w:textAlignment w:val="auto"/>
              <w:rPr>
                <w:rFonts w:hint="default" w:ascii="仿宋" w:hAnsi="仿宋" w:eastAsia="仿宋" w:cs="仿宋"/>
                <w:snapToGrid w:val="0"/>
                <w:color w:val="000000"/>
                <w:spacing w:val="-3"/>
                <w:kern w:val="0"/>
                <w:sz w:val="24"/>
                <w:szCs w:val="24"/>
                <w:lang w:val="en-US" w:eastAsia="zh-CN" w:bidi="ar-SA"/>
              </w:rPr>
            </w:pPr>
            <w:r>
              <w:rPr>
                <w:rFonts w:hint="eastAsia" w:ascii="仿宋" w:hAnsi="仿宋" w:eastAsia="仿宋" w:cs="仿宋"/>
                <w:snapToGrid w:val="0"/>
                <w:color w:val="000000"/>
                <w:spacing w:val="-3"/>
                <w:kern w:val="0"/>
                <w:sz w:val="24"/>
                <w:szCs w:val="24"/>
                <w:lang w:val="en-US" w:eastAsia="zh-CN" w:bidi="ar-SA"/>
              </w:rPr>
              <w:t>2.</w:t>
            </w:r>
            <w:r>
              <w:rPr>
                <w:rFonts w:hint="eastAsia" w:ascii="仿宋" w:hAnsi="仿宋" w:eastAsia="仿宋" w:cs="仿宋"/>
                <w:b w:val="0"/>
                <w:bCs w:val="0"/>
                <w:color w:val="auto"/>
                <w:kern w:val="10"/>
                <w:sz w:val="24"/>
                <w:highlight w:val="none"/>
                <w:lang w:val="en-US" w:eastAsia="zh-CN"/>
              </w:rPr>
              <w:t>当复检仲裁结果在该项指标规定再现性范围内的，以到货验收时检测结果（原检测结果）为结算依据，当复检仲裁结果超出该项指标检测规定再现性范围的，以复检仲裁结果为结算依据。</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2.5.6 检验结果的判定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验收过程中，出现</w:t>
      </w:r>
      <w:r>
        <w:rPr>
          <w:rFonts w:hint="default" w:ascii="宋体" w:hAnsi="宋体" w:eastAsia="宋体" w:cs="Times New Roman"/>
          <w:b w:val="0"/>
          <w:bCs w:val="0"/>
          <w:kern w:val="10"/>
          <w:sz w:val="24"/>
          <w:highlight w:val="none"/>
          <w:lang w:val="en-US" w:eastAsia="zh-CN"/>
        </w:rPr>
        <w:t>任何</w:t>
      </w:r>
      <w:r>
        <w:rPr>
          <w:rFonts w:hint="eastAsia" w:ascii="宋体" w:hAnsi="宋体" w:eastAsia="宋体" w:cs="Times New Roman"/>
          <w:b w:val="0"/>
          <w:bCs w:val="0"/>
          <w:kern w:val="10"/>
          <w:sz w:val="24"/>
          <w:highlight w:val="none"/>
          <w:lang w:val="en-US" w:eastAsia="zh-CN"/>
        </w:rPr>
        <w:t>一</w:t>
      </w:r>
      <w:r>
        <w:rPr>
          <w:rFonts w:hint="default" w:ascii="宋体" w:hAnsi="宋体" w:eastAsia="宋体" w:cs="Times New Roman"/>
          <w:b w:val="0"/>
          <w:bCs w:val="0"/>
          <w:kern w:val="10"/>
          <w:sz w:val="24"/>
          <w:highlight w:val="none"/>
          <w:lang w:val="en-US" w:eastAsia="zh-CN"/>
        </w:rPr>
        <w:t>项</w:t>
      </w:r>
      <w:r>
        <w:rPr>
          <w:rFonts w:hint="eastAsia" w:ascii="宋体" w:hAnsi="宋体" w:eastAsia="宋体" w:cs="Times New Roman"/>
          <w:b w:val="0"/>
          <w:bCs w:val="0"/>
          <w:kern w:val="10"/>
          <w:sz w:val="24"/>
          <w:highlight w:val="none"/>
          <w:lang w:val="en-US" w:eastAsia="zh-CN"/>
        </w:rPr>
        <w:t>质量指标</w:t>
      </w:r>
      <w:r>
        <w:rPr>
          <w:rFonts w:hint="default" w:ascii="宋体" w:hAnsi="宋体" w:eastAsia="宋体" w:cs="Times New Roman"/>
          <w:b w:val="0"/>
          <w:bCs w:val="0"/>
          <w:kern w:val="10"/>
          <w:sz w:val="24"/>
          <w:highlight w:val="none"/>
          <w:lang w:val="en-US" w:eastAsia="zh-CN"/>
        </w:rPr>
        <w:t>不合格，</w:t>
      </w:r>
      <w:r>
        <w:rPr>
          <w:rFonts w:hint="eastAsia" w:ascii="宋体" w:hAnsi="宋体" w:eastAsia="宋体" w:cs="Times New Roman"/>
          <w:b w:val="0"/>
          <w:bCs w:val="0"/>
          <w:kern w:val="10"/>
          <w:sz w:val="24"/>
          <w:highlight w:val="none"/>
          <w:lang w:val="en-US" w:eastAsia="zh-CN"/>
        </w:rPr>
        <w:t>判定该批次沥青不合格。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2.5.7 外观质量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沥青不得含有杂质，外观质量以目视检测。</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Times New Roman"/>
          <w:b w:val="0"/>
          <w:bCs/>
          <w:kern w:val="10"/>
          <w:sz w:val="24"/>
          <w:szCs w:val="24"/>
          <w:lang w:val="en-US" w:eastAsia="zh-CN" w:bidi="ar-SA"/>
        </w:rPr>
      </w:pPr>
      <w:bookmarkStart w:id="7" w:name="_Toc13455"/>
      <w:r>
        <w:rPr>
          <w:rFonts w:hint="eastAsia" w:ascii="宋体" w:hAnsi="宋体" w:eastAsia="宋体" w:cs="宋体"/>
          <w:b/>
          <w:bCs w:val="0"/>
          <w:kern w:val="10"/>
          <w:sz w:val="24"/>
          <w:szCs w:val="24"/>
          <w:lang w:val="en-US" w:eastAsia="zh-CN" w:bidi="ar-SA"/>
        </w:rPr>
        <w:t>2.6 随行文件</w:t>
      </w:r>
      <w:bookmarkEnd w:id="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每批到货的沥青都应附有质量证明书。证明书内容包括：①</w:t>
      </w:r>
      <w:r>
        <w:rPr>
          <w:rFonts w:hint="eastAsia" w:ascii="宋体" w:hAnsi="宋体" w:eastAsia="宋体" w:cs="Times New Roman"/>
          <w:b w:val="0"/>
          <w:bCs w:val="0"/>
          <w:kern w:val="10"/>
          <w:sz w:val="24"/>
          <w:lang w:val="en-US" w:eastAsia="zh-CN"/>
        </w:rPr>
        <w:t>卖</w:t>
      </w:r>
      <w:r>
        <w:rPr>
          <w:rFonts w:hint="eastAsia" w:ascii="宋体" w:hAnsi="宋体" w:eastAsia="宋体" w:cs="Times New Roman"/>
          <w:b w:val="0"/>
          <w:bCs w:val="0"/>
          <w:kern w:val="10"/>
          <w:sz w:val="24"/>
          <w:highlight w:val="none"/>
          <w:lang w:val="en-US" w:eastAsia="zh-CN"/>
        </w:rPr>
        <w:t>方名称；</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highlight w:val="none"/>
          <w:lang w:val="en-US" w:eastAsia="zh-CN"/>
        </w:rPr>
        <w:t>产品名称；</w:t>
      </w:r>
      <w:r>
        <w:rPr>
          <w:rFonts w:hint="eastAsia" w:asciiTheme="majorEastAsia" w:hAnsiTheme="majorEastAsia" w:eastAsiaTheme="majorEastAsia" w:cstheme="majorEastAsia"/>
          <w:kern w:val="10"/>
          <w:sz w:val="24"/>
          <w:lang w:val="en-US" w:eastAsia="zh-CN"/>
        </w:rPr>
        <w:t>③</w:t>
      </w:r>
      <w:r>
        <w:rPr>
          <w:rFonts w:hint="eastAsia" w:ascii="宋体" w:hAnsi="宋体" w:eastAsia="宋体" w:cs="Times New Roman"/>
          <w:b w:val="0"/>
          <w:bCs w:val="0"/>
          <w:kern w:val="10"/>
          <w:sz w:val="24"/>
          <w:highlight w:val="none"/>
          <w:lang w:val="en-US" w:eastAsia="zh-CN"/>
        </w:rPr>
        <w:t>产品执行标准号；</w:t>
      </w:r>
      <w:r>
        <w:rPr>
          <w:rFonts w:hint="eastAsia" w:ascii="宋体" w:hAnsi="宋体" w:eastAsia="宋体" w:cs="宋体"/>
          <w:b w:val="0"/>
          <w:bCs w:val="0"/>
          <w:kern w:val="10"/>
          <w:sz w:val="24"/>
          <w:highlight w:val="none"/>
          <w:lang w:val="en-US" w:eastAsia="zh-CN"/>
        </w:rPr>
        <w:t>④</w:t>
      </w:r>
      <w:r>
        <w:rPr>
          <w:rFonts w:hint="eastAsia" w:ascii="宋体" w:hAnsi="宋体" w:eastAsia="宋体" w:cs="Times New Roman"/>
          <w:b w:val="0"/>
          <w:bCs w:val="0"/>
          <w:kern w:val="10"/>
          <w:sz w:val="24"/>
          <w:highlight w:val="none"/>
          <w:lang w:val="en-US" w:eastAsia="zh-CN"/>
        </w:rPr>
        <w:t>产品批号、产品等级、净重、⑤分析检验结果及</w:t>
      </w:r>
      <w:r>
        <w:rPr>
          <w:rFonts w:hint="eastAsia" w:ascii="宋体" w:hAnsi="宋体" w:eastAsia="宋体" w:cs="Times New Roman"/>
          <w:b w:val="0"/>
          <w:bCs w:val="0"/>
          <w:kern w:val="10"/>
          <w:sz w:val="24"/>
          <w:lang w:val="en-US" w:eastAsia="zh-CN"/>
        </w:rPr>
        <w:t>卖</w:t>
      </w:r>
      <w:r>
        <w:rPr>
          <w:rFonts w:hint="eastAsia" w:ascii="宋体" w:hAnsi="宋体" w:eastAsia="宋体" w:cs="Times New Roman"/>
          <w:b w:val="0"/>
          <w:bCs w:val="0"/>
          <w:kern w:val="10"/>
          <w:sz w:val="24"/>
          <w:highlight w:val="none"/>
          <w:lang w:val="en-US" w:eastAsia="zh-CN"/>
        </w:rPr>
        <w:t>方技术(质量)监督部门印记。</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szCs w:val="24"/>
          <w:lang w:val="en-US" w:eastAsia="zh-CN" w:bidi="ar-SA"/>
        </w:rPr>
      </w:pPr>
      <w:bookmarkStart w:id="8" w:name="_Toc8854"/>
      <w:r>
        <w:rPr>
          <w:rFonts w:hint="eastAsia" w:ascii="宋体" w:hAnsi="宋体" w:eastAsia="宋体" w:cs="宋体"/>
          <w:b/>
          <w:bCs w:val="0"/>
          <w:kern w:val="10"/>
          <w:sz w:val="24"/>
          <w:szCs w:val="24"/>
          <w:lang w:val="en-US" w:eastAsia="zh-CN" w:bidi="ar-SA"/>
        </w:rPr>
        <w:t>2.7 包装、运输和贮存</w:t>
      </w:r>
      <w:bookmarkEnd w:id="8"/>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2.7.1 本产品应装入洁净、干燥，无杂质的车箱发给</w:t>
      </w:r>
      <w:r>
        <w:rPr>
          <w:rFonts w:hint="eastAsia" w:ascii="宋体" w:hAnsi="宋体" w:eastAsia="宋体" w:cs="Times New Roman"/>
          <w:b w:val="0"/>
          <w:bCs w:val="0"/>
          <w:kern w:val="10"/>
          <w:sz w:val="24"/>
          <w:lang w:val="en-US" w:eastAsia="zh-CN"/>
        </w:rPr>
        <w:t>买</w:t>
      </w:r>
      <w:r>
        <w:rPr>
          <w:rFonts w:hint="eastAsia" w:ascii="宋体" w:hAnsi="宋体" w:eastAsia="宋体" w:cs="Times New Roman"/>
          <w:b w:val="0"/>
          <w:bCs w:val="0"/>
          <w:kern w:val="10"/>
          <w:sz w:val="24"/>
          <w:highlight w:val="none"/>
          <w:lang w:val="en-US" w:eastAsia="zh-CN"/>
        </w:rPr>
        <w:t>方，如以液体方式发送，需装入洁净、干燥的槽车或油船中，铅封后发货。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2.7.2 固体状态改质沥青在运输和贮存中要求隔绝火种、远离热源，防止阳光直射，贮存于阴凉通风处，应与氧化剂和食用化学品分开存放；液体状态改质沥青在运输和贮存中要求隔绝火种，防止阳光直射。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bCs/>
          <w:kern w:val="10"/>
          <w:sz w:val="24"/>
          <w:lang w:val="en-US" w:eastAsia="zh-CN"/>
        </w:rPr>
      </w:pPr>
      <w:r>
        <w:rPr>
          <w:rFonts w:hint="eastAsia" w:ascii="宋体" w:hAnsi="宋体" w:eastAsia="宋体" w:cs="Times New Roman"/>
          <w:b w:val="0"/>
          <w:bCs w:val="0"/>
          <w:kern w:val="10"/>
          <w:sz w:val="24"/>
          <w:highlight w:val="none"/>
          <w:lang w:val="en-US" w:eastAsia="zh-CN"/>
        </w:rPr>
        <w:t>2.7.3 沥青运输过程应做好防护。</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textAlignment w:val="auto"/>
        <w:outlineLvl w:val="1"/>
        <w:rPr>
          <w:rFonts w:hint="eastAsia" w:ascii="宋体" w:hAnsi="宋体" w:eastAsia="宋体" w:cs="宋体"/>
          <w:b/>
          <w:bCs w:val="0"/>
          <w:color w:val="000000" w:themeColor="text1"/>
          <w:kern w:val="10"/>
          <w:sz w:val="24"/>
          <w:lang w:val="en-US" w:eastAsia="zh-CN"/>
          <w14:textFill>
            <w14:solidFill>
              <w14:schemeClr w14:val="tx1"/>
            </w14:solidFill>
          </w14:textFill>
        </w:rPr>
      </w:pPr>
      <w:bookmarkStart w:id="9" w:name="_Toc862"/>
      <w:r>
        <w:rPr>
          <w:rFonts w:hint="eastAsia" w:ascii="宋体" w:hAnsi="宋体" w:eastAsia="宋体" w:cs="宋体"/>
          <w:b/>
          <w:bCs w:val="0"/>
          <w:color w:val="000000" w:themeColor="text1"/>
          <w:kern w:val="10"/>
          <w:sz w:val="24"/>
          <w:lang w:val="en-US" w:eastAsia="zh-CN"/>
          <w14:textFill>
            <w14:solidFill>
              <w14:schemeClr w14:val="tx1"/>
            </w14:solidFill>
          </w14:textFill>
        </w:rPr>
        <w:t>2.8 扣款细则</w:t>
      </w:r>
      <w:bookmarkEnd w:id="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当卖方供应的沥青不合格时，如买方同意接收使用的，按以下扣款细则进行扣款，否则进行退货处理。</w:t>
      </w:r>
    </w:p>
    <w:p>
      <w:pPr>
        <w:pStyle w:val="6"/>
        <w:keepNext w:val="0"/>
        <w:keepLines w:val="0"/>
        <w:pageBreakBefore w:val="0"/>
        <w:widowControl w:val="0"/>
        <w:tabs>
          <w:tab w:val="left" w:pos="3330"/>
        </w:tabs>
        <w:kinsoku/>
        <w:wordWrap/>
        <w:overflowPunct/>
        <w:topLinePunct w:val="0"/>
        <w:bidi w:val="0"/>
        <w:snapToGrid/>
        <w:spacing w:line="240" w:lineRule="auto"/>
        <w:ind w:firstLine="2880" w:firstLineChars="1200"/>
        <w:jc w:val="both"/>
        <w:textAlignment w:val="auto"/>
        <w:rPr>
          <w:rFonts w:hint="eastAsia" w:ascii="宋体" w:hAnsi="宋体" w:eastAsia="宋体" w:cs="宋体"/>
          <w:lang w:val="en-US" w:eastAsia="zh-CN"/>
        </w:rPr>
      </w:pPr>
      <w:r>
        <w:rPr>
          <w:rFonts w:hint="eastAsia" w:ascii="宋体" w:hAnsi="宋体" w:eastAsia="宋体" w:cs="宋体"/>
          <w:kern w:val="10"/>
          <w:sz w:val="24"/>
          <w:szCs w:val="24"/>
          <w:lang w:val="en-US" w:eastAsia="zh-CN" w:bidi="ar-SA"/>
        </w:rPr>
        <w:t>表2：沥青质量扣</w:t>
      </w:r>
      <w:r>
        <w:rPr>
          <w:rFonts w:hint="eastAsia" w:cs="宋体"/>
          <w:kern w:val="10"/>
          <w:sz w:val="24"/>
          <w:szCs w:val="24"/>
          <w:lang w:val="en-US" w:eastAsia="zh-CN" w:bidi="ar-SA"/>
        </w:rPr>
        <w:t>款</w:t>
      </w:r>
      <w:r>
        <w:rPr>
          <w:rFonts w:hint="eastAsia" w:ascii="宋体" w:hAnsi="宋体" w:eastAsia="宋体" w:cs="宋体"/>
          <w:kern w:val="10"/>
          <w:sz w:val="24"/>
          <w:szCs w:val="24"/>
          <w:lang w:val="en-US" w:eastAsia="zh-CN" w:bidi="ar-SA"/>
        </w:rPr>
        <w:t>细则</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186"/>
        <w:gridCol w:w="957"/>
        <w:gridCol w:w="1051"/>
        <w:gridCol w:w="1863"/>
        <w:gridCol w:w="762"/>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7"/>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0" w:type="auto"/>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0" w:type="auto"/>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0" w:type="auto"/>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0" w:type="auto"/>
            <w:vAlign w:val="center"/>
          </w:tcPr>
          <w:p>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0" w:type="auto"/>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snapToGrid w:val="0"/>
                <w:color w:val="auto"/>
                <w:kern w:val="0"/>
                <w:sz w:val="21"/>
                <w:szCs w:val="21"/>
                <w:highlight w:val="none"/>
                <w:u w:val="none"/>
                <w:lang w:val="en-US" w:eastAsia="zh-CN"/>
              </w:rPr>
            </w:pPr>
            <w:r>
              <w:rPr>
                <w:rFonts w:hint="eastAsia" w:ascii="宋体" w:hAnsi="宋体" w:eastAsia="宋体" w:cs="宋体"/>
                <w:i w:val="0"/>
                <w:iCs w:val="0"/>
                <w:snapToGrid w:val="0"/>
                <w:color w:val="auto"/>
                <w:kern w:val="0"/>
                <w:sz w:val="21"/>
                <w:szCs w:val="21"/>
                <w:highlight w:val="none"/>
                <w:u w:val="none"/>
                <w:lang w:val="en-US" w:eastAsia="zh-CN"/>
              </w:rPr>
              <w:t>6</w:t>
            </w:r>
          </w:p>
        </w:tc>
        <w:tc>
          <w:tcPr>
            <w:tcW w:w="0" w:type="auto"/>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snapToGrid w:val="0"/>
                <w:color w:val="auto"/>
                <w:kern w:val="0"/>
                <w:sz w:val="21"/>
                <w:szCs w:val="21"/>
                <w:highlight w:val="none"/>
                <w:u w:val="none"/>
                <w:lang w:val="en-US" w:eastAsia="zh-CN" w:bidi="ar"/>
              </w:rPr>
            </w:pPr>
            <w:r>
              <w:rPr>
                <w:rFonts w:ascii="宋体" w:hAnsi="宋体" w:eastAsia="宋体" w:cs="宋体"/>
                <w:snapToGrid w:val="0"/>
                <w:color w:val="auto"/>
                <w:spacing w:val="8"/>
                <w:kern w:val="0"/>
                <w:sz w:val="21"/>
                <w:szCs w:val="21"/>
                <w:highlight w:val="none"/>
              </w:rPr>
              <w:t>灰分%</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≤0.30</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snapToGrid w:val="0"/>
                <w:color w:val="auto"/>
                <w:spacing w:val="-3"/>
                <w:kern w:val="0"/>
                <w:sz w:val="21"/>
                <w:szCs w:val="21"/>
                <w:highlight w:val="none"/>
                <w:lang w:val="en-US" w:eastAsia="zh-CN"/>
              </w:rPr>
              <w:t>0.30</w:t>
            </w:r>
            <w:r>
              <w:rPr>
                <w:rFonts w:hint="eastAsia" w:ascii="宋体" w:hAnsi="宋体" w:eastAsia="宋体" w:cs="宋体"/>
                <w:i w:val="0"/>
                <w:iCs w:val="0"/>
                <w:snapToGrid w:val="0"/>
                <w:color w:val="auto"/>
                <w:kern w:val="0"/>
                <w:sz w:val="21"/>
                <w:szCs w:val="21"/>
                <w:highlight w:val="none"/>
                <w:u w:val="none"/>
                <w:lang w:val="en-US" w:eastAsia="zh-CN" w:bidi="ar"/>
              </w:rPr>
              <w:t>＜X≤0.40</w:t>
            </w:r>
          </w:p>
        </w:tc>
        <w:tc>
          <w:tcPr>
            <w:tcW w:w="0" w:type="auto"/>
            <w:vAlign w:val="top"/>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每增加0.01，每吨扣单价的0.3%</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＞0.40</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每增加0.01，每吨扣单价的0.9%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0" w:type="auto"/>
            <w:vMerge w:val="restar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0" w:type="auto"/>
            <w:vMerge w:val="restart"/>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0" w:type="auto"/>
            <w:gridSpan w:val="3"/>
            <w:vAlign w:val="center"/>
          </w:tcPr>
          <w:p>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default"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Merge w:val="continue"/>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0" w:type="auto"/>
            <w:vMerge w:val="continue"/>
            <w:vAlign w:val="top"/>
          </w:tcPr>
          <w:p>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0" w:type="auto"/>
            <w:vAlign w:val="center"/>
          </w:tcPr>
          <w:p>
            <w:pPr>
              <w:pStyle w:val="2"/>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0" w:type="auto"/>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gridSpan w:val="7"/>
            <w:vAlign w:val="center"/>
          </w:tcPr>
          <w:p>
            <w:pPr>
              <w:keepNext w:val="0"/>
              <w:keepLines w:val="0"/>
              <w:pageBreakBefore w:val="0"/>
              <w:widowControl/>
              <w:suppressLineNumbers w:val="0"/>
              <w:kinsoku/>
              <w:wordWrap/>
              <w:overflowPunct/>
              <w:topLinePunct w:val="0"/>
              <w:bidi w:val="0"/>
              <w:snapToGrid/>
              <w:spacing w:line="380" w:lineRule="exact"/>
              <w:ind w:left="420" w:leftChars="0" w:hanging="420" w:hangingChars="200"/>
              <w:jc w:val="left"/>
              <w:textAlignment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注：1.</w:t>
            </w:r>
            <w:r>
              <w:rPr>
                <w:rFonts w:ascii="宋体" w:hAnsi="宋体" w:eastAsia="宋体" w:cs="宋体"/>
                <w:sz w:val="21"/>
                <w:szCs w:val="21"/>
                <w:highlight w:val="none"/>
              </w:rPr>
              <w:t>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只扣完该组批</w:t>
            </w:r>
            <w:r>
              <w:rPr>
                <w:rFonts w:hint="eastAsia" w:ascii="宋体" w:hAnsi="宋体" w:eastAsia="宋体" w:cs="宋体"/>
                <w:sz w:val="21"/>
                <w:szCs w:val="21"/>
                <w:highlight w:val="none"/>
                <w:lang w:eastAsia="zh-CN"/>
              </w:rPr>
              <w:t>总金额</w:t>
            </w:r>
            <w:r>
              <w:rPr>
                <w:rFonts w:ascii="宋体" w:hAnsi="宋体" w:eastAsia="宋体" w:cs="宋体"/>
                <w:sz w:val="21"/>
                <w:szCs w:val="21"/>
                <w:highlight w:val="none"/>
              </w:rPr>
              <w:t>为止，不延伸到扣减其它组批</w:t>
            </w:r>
            <w:r>
              <w:rPr>
                <w:rFonts w:hint="eastAsia" w:ascii="宋体" w:hAnsi="宋体" w:eastAsia="宋体" w:cs="宋体"/>
                <w:sz w:val="21"/>
                <w:szCs w:val="21"/>
                <w:highlight w:val="none"/>
                <w:lang w:eastAsia="zh-CN"/>
              </w:rPr>
              <w:t>金额</w:t>
            </w:r>
            <w:r>
              <w:rPr>
                <w:rFonts w:ascii="宋体" w:hAnsi="宋体" w:eastAsia="宋体" w:cs="宋体"/>
                <w:sz w:val="21"/>
                <w:szCs w:val="21"/>
                <w:highlight w:val="none"/>
              </w:rPr>
              <w:t>（即扣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不扣减到负数），但若为</w:t>
            </w:r>
            <w:r>
              <w:rPr>
                <w:rFonts w:hint="eastAsia" w:ascii="宋体" w:hAnsi="宋体" w:eastAsia="宋体" w:cs="宋体"/>
                <w:sz w:val="21"/>
                <w:szCs w:val="21"/>
                <w:highlight w:val="none"/>
                <w:lang w:val="en-US" w:eastAsia="zh-CN"/>
              </w:rPr>
              <w:t>卖</w:t>
            </w:r>
            <w:r>
              <w:rPr>
                <w:rFonts w:ascii="宋体" w:hAnsi="宋体" w:eastAsia="宋体" w:cs="宋体"/>
                <w:sz w:val="21"/>
                <w:szCs w:val="21"/>
                <w:highlight w:val="none"/>
              </w:rPr>
              <w:t>方恶意掺杂使假的，通过专题会议评审后，按合同约定进行违约处</w:t>
            </w:r>
            <w:r>
              <w:rPr>
                <w:rFonts w:hint="eastAsia" w:ascii="宋体" w:hAnsi="宋体" w:eastAsia="宋体" w:cs="宋体"/>
                <w:sz w:val="21"/>
                <w:szCs w:val="21"/>
                <w:highlight w:val="none"/>
                <w:lang w:val="en-US" w:eastAsia="zh-CN"/>
              </w:rPr>
              <w:t>罚</w:t>
            </w:r>
            <w:r>
              <w:rPr>
                <w:rFonts w:ascii="宋体" w:hAnsi="宋体" w:eastAsia="宋体" w:cs="宋体"/>
                <w:sz w:val="21"/>
                <w:szCs w:val="21"/>
                <w:highlight w:val="none"/>
              </w:rPr>
              <w:t>。</w:t>
            </w:r>
          </w:p>
          <w:p>
            <w:pPr>
              <w:keepNext w:val="0"/>
              <w:keepLines w:val="0"/>
              <w:pageBreakBefore w:val="0"/>
              <w:widowControl/>
              <w:suppressLineNumbers w:val="0"/>
              <w:kinsoku/>
              <w:wordWrap/>
              <w:overflowPunct/>
              <w:topLinePunct w:val="0"/>
              <w:bidi w:val="0"/>
              <w:snapToGrid/>
              <w:spacing w:line="380" w:lineRule="exact"/>
              <w:ind w:left="420" w:leftChars="0" w:hanging="420" w:hangingChars="200"/>
              <w:jc w:val="left"/>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2.扣款不分段计算。</w:t>
            </w:r>
          </w:p>
        </w:tc>
      </w:tr>
    </w:tbl>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cs="宋体"/>
          <w:lang w:val="en-US" w:eastAsia="zh-CN"/>
        </w:rPr>
      </w:pPr>
      <w:r>
        <w:rPr>
          <w:rFonts w:hint="eastAsia" w:ascii="宋体" w:hAnsi="宋体" w:eastAsia="宋体" w:cs="宋体"/>
          <w:sz w:val="24"/>
          <w:szCs w:val="24"/>
        </w:rPr>
        <w:t>(以下无正文)</w:t>
      </w:r>
    </w:p>
    <w:tbl>
      <w:tblPr>
        <w:tblStyle w:val="9"/>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59"/>
        <w:gridCol w:w="4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9" w:hRule="atLeast"/>
          <w:jc w:val="center"/>
        </w:trPr>
        <w:tc>
          <w:tcPr>
            <w:tcW w:w="2499" w:type="pct"/>
            <w:tcBorders>
              <w:top w:val="single" w:color="auto" w:sz="12" w:space="0"/>
              <w:left w:val="single" w:color="auto" w:sz="12" w:space="0"/>
              <w:bottom w:val="single" w:color="auto" w:sz="12" w:space="0"/>
              <w:right w:val="single" w:color="auto" w:sz="12" w:space="0"/>
            </w:tcBorders>
            <w:vAlign w:val="top"/>
          </w:tcPr>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买方</w:t>
            </w:r>
            <w:r>
              <w:rPr>
                <w:rFonts w:hint="eastAsia" w:ascii="宋体" w:hAnsi="宋体" w:eastAsia="宋体" w:cs="宋体"/>
                <w:bCs/>
                <w:color w:val="auto"/>
                <w:sz w:val="24"/>
                <w:szCs w:val="24"/>
              </w:rPr>
              <w:t>：</w:t>
            </w:r>
            <w:r>
              <w:rPr>
                <w:rFonts w:hint="eastAsia" w:ascii="宋体" w:hAnsi="宋体" w:eastAsia="宋体" w:cs="宋体"/>
                <w:color w:val="auto"/>
                <w:sz w:val="24"/>
                <w:szCs w:val="24"/>
                <w:u w:val="none"/>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(印章）</w:t>
            </w:r>
          </w:p>
          <w:p>
            <w:pPr>
              <w:pStyle w:val="2"/>
              <w:keepNext w:val="0"/>
              <w:keepLines w:val="0"/>
              <w:pageBreakBefore w:val="0"/>
              <w:kinsoku/>
              <w:wordWrap/>
              <w:overflowPunct/>
              <w:topLinePunct w:val="0"/>
              <w:bidi w:val="0"/>
              <w:spacing w:line="360" w:lineRule="auto"/>
              <w:jc w:val="both"/>
              <w:rPr>
                <w:rFonts w:hint="eastAsia"/>
                <w:lang w:val="en-US"/>
              </w:rPr>
            </w:pP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rPr>
            </w:pPr>
            <w:r>
              <w:rPr>
                <w:rFonts w:hint="eastAsia" w:ascii="宋体" w:hAnsi="宋体" w:eastAsia="宋体" w:cs="宋体"/>
                <w:bCs/>
                <w:color w:val="auto"/>
                <w:sz w:val="24"/>
                <w:szCs w:val="24"/>
              </w:rPr>
              <w:t>法定代表</w:t>
            </w:r>
            <w:r>
              <w:rPr>
                <w:rFonts w:hint="eastAsia" w:ascii="宋体" w:hAnsi="宋体" w:eastAsia="宋体" w:cs="宋体"/>
                <w:bCs/>
                <w:color w:val="auto"/>
                <w:sz w:val="24"/>
                <w:szCs w:val="24"/>
                <w:lang w:eastAsia="zh-CN"/>
              </w:rPr>
              <w:t>人或</w:t>
            </w:r>
            <w:r>
              <w:rPr>
                <w:rFonts w:hint="eastAsia" w:ascii="宋体" w:hAnsi="宋体" w:eastAsia="宋体" w:cs="宋体"/>
                <w:bCs/>
                <w:color w:val="auto"/>
                <w:sz w:val="24"/>
                <w:szCs w:val="24"/>
              </w:rPr>
              <w:t>授权代表人：</w:t>
            </w:r>
          </w:p>
          <w:p>
            <w:pPr>
              <w:keepNext w:val="0"/>
              <w:keepLines w:val="0"/>
              <w:pageBreakBefore w:val="0"/>
              <w:widowControl w:val="0"/>
              <w:kinsoku/>
              <w:wordWrap/>
              <w:overflowPunct/>
              <w:topLinePunct w:val="0"/>
              <w:bidi w:val="0"/>
              <w:adjustRightInd/>
              <w:spacing w:beforeAutospacing="0" w:afterAutospacing="0" w:line="360" w:lineRule="auto"/>
              <w:ind w:left="941" w:hanging="940" w:hangingChars="392"/>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电 话</w:t>
            </w:r>
            <w:r>
              <w:rPr>
                <w:rFonts w:hint="eastAsia" w:ascii="宋体" w:hAnsi="宋体" w:eastAsia="宋体" w:cs="宋体"/>
                <w:b/>
                <w:bCs w:val="0"/>
                <w:color w:val="auto"/>
                <w:sz w:val="24"/>
                <w:szCs w:val="24"/>
              </w:rPr>
              <w:t>：</w:t>
            </w:r>
            <w:r>
              <w:rPr>
                <w:rFonts w:hint="eastAsia" w:ascii="宋体" w:hAnsi="宋体" w:eastAsia="宋体" w:cs="宋体"/>
                <w:color w:val="auto"/>
                <w:sz w:val="24"/>
                <w:szCs w:val="24"/>
                <w:u w:val="none"/>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ind w:left="941" w:hanging="940" w:hangingChars="392"/>
              <w:jc w:val="both"/>
              <w:textAlignment w:val="auto"/>
              <w:rPr>
                <w:rFonts w:hint="eastAsia" w:ascii="宋体" w:hAnsi="宋体" w:eastAsia="宋体" w:cs="宋体"/>
                <w:sz w:val="24"/>
                <w:lang w:val="en-US" w:eastAsia="zh-CN"/>
              </w:rPr>
            </w:pPr>
            <w:r>
              <w:rPr>
                <w:rFonts w:hint="eastAsia" w:ascii="宋体" w:hAnsi="宋体" w:eastAsia="宋体" w:cs="宋体"/>
                <w:bCs/>
                <w:color w:val="auto"/>
                <w:sz w:val="24"/>
                <w:szCs w:val="24"/>
              </w:rPr>
              <w:t>开户行：</w:t>
            </w:r>
            <w:r>
              <w:rPr>
                <w:rFonts w:hint="eastAsia" w:ascii="宋体" w:hAnsi="宋体" w:eastAsia="宋体" w:cs="宋体"/>
                <w:color w:val="auto"/>
                <w:sz w:val="24"/>
                <w:szCs w:val="24"/>
                <w:u w:val="none"/>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bCs/>
                <w:color w:val="auto"/>
                <w:sz w:val="24"/>
                <w:szCs w:val="24"/>
              </w:rPr>
              <w:t>账 号：</w:t>
            </w:r>
            <w:r>
              <w:rPr>
                <w:rFonts w:hint="eastAsia" w:ascii="宋体" w:hAnsi="宋体" w:eastAsia="宋体" w:cs="宋体"/>
                <w:color w:val="auto"/>
                <w:sz w:val="24"/>
                <w:szCs w:val="24"/>
                <w:u w:val="none"/>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bCs/>
                <w:color w:val="auto"/>
                <w:sz w:val="24"/>
                <w:szCs w:val="24"/>
              </w:rPr>
              <w:t>税 号：</w:t>
            </w:r>
            <w:r>
              <w:rPr>
                <w:rFonts w:hint="eastAsia" w:ascii="宋体" w:hAnsi="宋体" w:eastAsia="宋体" w:cs="宋体"/>
                <w:color w:val="auto"/>
                <w:sz w:val="24"/>
                <w:szCs w:val="24"/>
                <w:u w:val="none"/>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地 址：</w:t>
            </w:r>
            <w:r>
              <w:rPr>
                <w:rFonts w:hint="eastAsia" w:ascii="宋体" w:hAnsi="宋体" w:eastAsia="宋体" w:cs="宋体"/>
                <w:color w:val="auto"/>
                <w:sz w:val="24"/>
                <w:szCs w:val="24"/>
                <w:u w:val="none"/>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color w:val="auto"/>
                <w:sz w:val="24"/>
                <w:szCs w:val="24"/>
                <w:u w:val="none"/>
                <w:lang w:val="en-US" w:eastAsia="zh-CN"/>
              </w:rPr>
              <w:t>【键入内容】</w:t>
            </w:r>
            <w:r>
              <w:rPr>
                <w:rFonts w:hint="eastAsia" w:ascii="宋体" w:hAnsi="宋体" w:eastAsia="宋体" w:cs="宋体"/>
                <w:bCs/>
                <w:color w:val="auto"/>
                <w:sz w:val="24"/>
                <w:szCs w:val="24"/>
                <w:lang w:val="en-US" w:eastAsia="zh-CN"/>
              </w:rPr>
              <w:t>年</w:t>
            </w:r>
            <w:r>
              <w:rPr>
                <w:rFonts w:hint="eastAsia" w:ascii="宋体" w:hAnsi="宋体" w:eastAsia="宋体" w:cs="宋体"/>
                <w:color w:val="auto"/>
                <w:sz w:val="24"/>
                <w:szCs w:val="24"/>
                <w:u w:val="none"/>
                <w:lang w:val="en-US" w:eastAsia="zh-CN"/>
              </w:rPr>
              <w:t>【键入内容】</w:t>
            </w:r>
            <w:r>
              <w:rPr>
                <w:rFonts w:hint="eastAsia" w:ascii="宋体" w:hAnsi="宋体" w:eastAsia="宋体" w:cs="宋体"/>
                <w:bCs/>
                <w:color w:val="auto"/>
                <w:sz w:val="24"/>
                <w:szCs w:val="24"/>
                <w:lang w:val="en-US" w:eastAsia="zh-CN"/>
              </w:rPr>
              <w:t>月</w:t>
            </w:r>
            <w:r>
              <w:rPr>
                <w:rFonts w:hint="eastAsia" w:ascii="宋体" w:hAnsi="宋体" w:eastAsia="宋体" w:cs="宋体"/>
                <w:color w:val="auto"/>
                <w:sz w:val="24"/>
                <w:szCs w:val="24"/>
                <w:u w:val="none"/>
                <w:lang w:val="en-US" w:eastAsia="zh-CN"/>
              </w:rPr>
              <w:t>【键入内容】</w:t>
            </w:r>
            <w:r>
              <w:rPr>
                <w:rFonts w:hint="eastAsia" w:ascii="宋体" w:hAnsi="宋体" w:eastAsia="宋体" w:cs="宋体"/>
                <w:bCs/>
                <w:color w:val="auto"/>
                <w:sz w:val="24"/>
                <w:szCs w:val="24"/>
                <w:lang w:val="en-US" w:eastAsia="zh-CN"/>
              </w:rPr>
              <w:t>日</w:t>
            </w:r>
          </w:p>
        </w:tc>
        <w:tc>
          <w:tcPr>
            <w:tcW w:w="2500" w:type="pct"/>
            <w:tcBorders>
              <w:top w:val="single" w:color="auto" w:sz="12" w:space="0"/>
              <w:left w:val="single" w:color="auto" w:sz="12" w:space="0"/>
              <w:bottom w:val="single" w:color="auto" w:sz="12" w:space="0"/>
              <w:right w:val="single" w:color="auto" w:sz="12" w:space="0"/>
            </w:tcBorders>
            <w:vAlign w:val="top"/>
          </w:tcPr>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卖方：</w:t>
            </w:r>
            <w:r>
              <w:rPr>
                <w:rFonts w:hint="eastAsia" w:ascii="宋体" w:hAnsi="宋体" w:eastAsia="宋体" w:cs="宋体"/>
                <w:bCs/>
                <w:color w:val="auto"/>
                <w:sz w:val="24"/>
                <w:szCs w:val="24"/>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（印章）</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法定代表人或授权代表人：</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电话：</w:t>
            </w:r>
            <w:r>
              <w:rPr>
                <w:rFonts w:hint="eastAsia" w:ascii="宋体" w:hAnsi="宋体" w:eastAsia="宋体" w:cs="宋体"/>
                <w:bCs/>
                <w:color w:val="auto"/>
                <w:sz w:val="24"/>
                <w:szCs w:val="24"/>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开户行：</w:t>
            </w:r>
            <w:r>
              <w:rPr>
                <w:rFonts w:hint="eastAsia" w:ascii="宋体" w:hAnsi="宋体" w:eastAsia="宋体" w:cs="宋体"/>
                <w:bCs/>
                <w:color w:val="auto"/>
                <w:sz w:val="24"/>
                <w:szCs w:val="24"/>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账 号：</w:t>
            </w:r>
            <w:r>
              <w:rPr>
                <w:rFonts w:hint="eastAsia" w:ascii="宋体" w:hAnsi="宋体" w:eastAsia="宋体" w:cs="宋体"/>
                <w:bCs/>
                <w:color w:val="auto"/>
                <w:sz w:val="24"/>
                <w:szCs w:val="24"/>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税 号：</w:t>
            </w:r>
            <w:r>
              <w:rPr>
                <w:rFonts w:hint="eastAsia" w:ascii="宋体" w:hAnsi="宋体" w:eastAsia="宋体" w:cs="宋体"/>
                <w:bCs/>
                <w:color w:val="auto"/>
                <w:sz w:val="24"/>
                <w:szCs w:val="24"/>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地 址：</w:t>
            </w:r>
            <w:r>
              <w:rPr>
                <w:rFonts w:hint="eastAsia" w:ascii="宋体" w:hAnsi="宋体" w:eastAsia="宋体" w:cs="宋体"/>
                <w:bCs/>
                <w:color w:val="auto"/>
                <w:sz w:val="24"/>
                <w:szCs w:val="24"/>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bCs/>
                <w:color w:val="auto"/>
                <w:sz w:val="24"/>
                <w:szCs w:val="24"/>
                <w:lang w:val="en-US" w:eastAsia="zh-CN"/>
              </w:rPr>
              <w:t>【键入内容】年【键入内容】月【键入内容】日</w:t>
            </w:r>
          </w:p>
        </w:tc>
      </w:tr>
    </w:tbl>
    <w:p>
      <w:pPr>
        <w:pStyle w:val="12"/>
        <w:rPr>
          <w:rFonts w:hint="eastAsia"/>
          <w:lang w:val="en-US" w:eastAsia="zh-CN"/>
        </w:rPr>
      </w:pPr>
    </w:p>
    <w:sectPr>
      <w:headerReference r:id="rId5" w:type="first"/>
      <w:headerReference r:id="rId3" w:type="default"/>
      <w:footerReference r:id="rId6" w:type="default"/>
      <w:head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7F" w:usb3="00000000" w:csb0="203F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89" w:line="185" w:lineRule="auto"/>
      <w:ind w:left="6994"/>
    </w:pPr>
    <w:r>
      <mc:AlternateContent>
        <mc:Choice Requires="wps">
          <w:drawing>
            <wp:anchor distT="0" distB="0" distL="114300" distR="114300" simplePos="0" relativeHeight="251667456" behindDoc="0" locked="0" layoutInCell="0" allowOverlap="1">
              <wp:simplePos x="0" y="0"/>
              <wp:positionH relativeFrom="page">
                <wp:posOffset>972185</wp:posOffset>
              </wp:positionH>
              <wp:positionV relativeFrom="page">
                <wp:posOffset>780415</wp:posOffset>
              </wp:positionV>
              <wp:extent cx="561276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12765" cy="6350"/>
                      </a:xfrm>
                      <a:custGeom>
                        <a:avLst/>
                        <a:gdLst/>
                        <a:ahLst/>
                        <a:cxnLst/>
                        <a:pathLst>
                          <a:path w="8839" h="10">
                            <a:moveTo>
                              <a:pt x="0" y="0"/>
                            </a:moveTo>
                            <a:lnTo>
                              <a:pt x="8838" y="0"/>
                            </a:lnTo>
                            <a:lnTo>
                              <a:pt x="8838"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6.55pt;margin-top:61.45pt;height:0.5pt;width:441.95pt;mso-position-horizontal-relative:page;mso-position-vertical-relative:page;z-index:251667456;mso-width-relative:page;mso-height-relative:page;" fillcolor="#000000" filled="t" stroked="f" coordsize="8839,10" o:allowincell="f" o:gfxdata="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OgDtkAAAAMAQAADwAAAAAAAAAB&#10;ACAAAAAiAAAAZHJzL2Rvd25yZXYueG1sUEsBAhQAFAAAAAgAh07iQFHMe2sPAgAAeQQAAA4AAAAA&#10;AAAAAQAgAAAAKAEAAGRycy9lMm9Eb2MueG1sUEsFBgAAAAAGAAYAWQEAAKkFAAAAAA==&#10;" path="m0,0l8838,0,8838,9,0,9,0,0xe">
              <v:fill on="t" focussize="0,0"/>
              <v:stroke on="f"/>
              <v:imagedata o:title=""/>
              <o:lock v:ext="edit" aspectratio="f"/>
            </v:shape>
          </w:pict>
        </mc:Fallback>
      </mc:AlternateContent>
    </w:r>
    <w:r>
      <w:drawing>
        <wp:anchor distT="0" distB="0" distL="0" distR="0" simplePos="0" relativeHeight="251666432" behindDoc="0" locked="0" layoutInCell="0" allowOverlap="1">
          <wp:simplePos x="0" y="0"/>
          <wp:positionH relativeFrom="page">
            <wp:posOffset>1009650</wp:posOffset>
          </wp:positionH>
          <wp:positionV relativeFrom="page">
            <wp:posOffset>598170</wp:posOffset>
          </wp:positionV>
          <wp:extent cx="1753235" cy="125095"/>
          <wp:effectExtent l="0" t="0" r="12065" b="1905"/>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1753372" cy="125171"/>
                  </a:xfrm>
                  <a:prstGeom prst="rect">
                    <a:avLst/>
                  </a:prstGeom>
                </pic:spPr>
              </pic:pic>
            </a:graphicData>
          </a:graphic>
        </wp:anchor>
      </w:drawing>
    </w:r>
  </w:p>
  <w:p>
    <w:pPr>
      <w:spacing w:before="89" w:line="185" w:lineRule="auto"/>
      <w:ind w:left="6994"/>
    </w:pPr>
  </w:p>
  <w:p/>
  <w:p>
    <w:r>
      <w:pict>
        <v:shape id="_x0000_s2052" o:spid="_x0000_s2052" o:spt="75" alt="Title: EayslinkWatermark" type="#_x0000_t75" style="position:absolute;left:0pt;height:56pt;width:120pt;mso-position-horizontal:right;mso-position-horizontal-relative:page;mso-position-vertical:top;mso-position-vertical-relative:page;z-index:251662336;mso-width-relative:page;mso-height-relative:page;" filled="f" o:preferrelative="t" stroked="f" coordsize="21600,21600">
          <v:path/>
          <v:fill on="f" focussize="0,0"/>
          <v:stroke on="f" joinstyle="miter"/>
          <v:imagedata r:id="rId2" o:title=""/>
          <o:lock v:ext="edit" aspectratio="t"/>
        </v:shape>
      </w:pict>
    </w:r>
  </w:p>
  <w:p>
    <w:r>
      <w:pict>
        <v:shape id="_x0000_s2053" o:spid="_x0000_s2053"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2"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height:56pt;width:120pt;mso-position-horizontal:right;mso-position-horizontal-relative:page;mso-position-vertical:top;mso-position-vertical-relative:page;z-index:251665408;mso-width-relative:page;mso-height-relative:page;" filled="f" o:preferrelative="t" stroked="f" coordsize="21600,21600">
          <v:path/>
          <v:fill on="f" focussize="0,0"/>
          <v:stroke on="f" joinstyle="miter"/>
          <v:imagedata r:id="rId1" o:title=""/>
          <o:lock v:ext="edit" aspectratio="t"/>
        </v:shape>
      </w:pict>
    </w:r>
  </w:p>
  <w:p>
    <w:r>
      <w:pict>
        <v:shape id="_x0000_s2056" o:spid="_x0000_s2056" o:spt="75" alt="Title: EayslinkWatermark" type="#_x0000_t75" style="position:absolute;left:0pt;height:56pt;width:120pt;mso-position-horizontal:right;mso-position-horizontal-relative:page;mso-position-vertical:top;mso-position-vertical-relative:page;z-index:251663360;mso-width-relative:page;mso-height-relative:page;" filled="f" o:preferrelative="t" stroked="f" coordsize="21600,21600">
          <v:path/>
          <v:fill on="f" focussize="0,0"/>
          <v:stroke on="f" joinstyle="miter"/>
          <v:imagedata r:id="rId1" o:title=""/>
          <o:lock v:ext="edit" aspectratio="t"/>
        </v:shape>
      </w:pict>
    </w:r>
  </w:p>
  <w:p>
    <w:r>
      <w:pict>
        <v:shape id="_x0000_s2057" o:spid="_x0000_s2057" o:spt="75" alt="Title: EayslinkWatermark" type="#_x0000_t75" style="position:absolute;left:0pt;height:56pt;width:12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8" o:spid="_x0000_s2058" o:spt="75" type="#_x0000_t75" style="position:absolute;left:0pt;height:56pt;width:120pt;mso-position-horizontal:right;mso-position-horizontal-relative:page;mso-position-vertical:top;mso-position-vertical-relative:page;z-index:251664384;mso-width-relative:page;mso-height-relative:page;" filled="f" o:preferrelative="t" stroked="f" coordsize="21600,21600">
          <v:path/>
          <v:fill on="f" focussize="0,0"/>
          <v:stroke on="f" joinstyle="miter"/>
          <v:imagedata r:id="rId1" o:title=""/>
          <o:lock v:ext="edit" aspectratio="t"/>
        </v:shape>
      </w:pict>
    </w:r>
  </w:p>
  <w:p/>
  <w:p>
    <w:r>
      <w:pict>
        <v:shape id="EayslinkWatermark" o:spid="_x0000_s2050"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yMWZmNmFlOWZiMTE0ZGFiYzNmMTVkMDM3YTcyNTgifQ=="/>
  </w:docVars>
  <w:rsids>
    <w:rsidRoot w:val="7F805965"/>
    <w:rsid w:val="01172A03"/>
    <w:rsid w:val="013A3143"/>
    <w:rsid w:val="02462227"/>
    <w:rsid w:val="034C3D46"/>
    <w:rsid w:val="03C51D6C"/>
    <w:rsid w:val="04E2053E"/>
    <w:rsid w:val="05C75288"/>
    <w:rsid w:val="06B5615A"/>
    <w:rsid w:val="0808765E"/>
    <w:rsid w:val="08314CF2"/>
    <w:rsid w:val="08817DDB"/>
    <w:rsid w:val="0B414A73"/>
    <w:rsid w:val="0C112E71"/>
    <w:rsid w:val="0C540FAF"/>
    <w:rsid w:val="0C5F1477"/>
    <w:rsid w:val="0D0D49AD"/>
    <w:rsid w:val="0E6C58F9"/>
    <w:rsid w:val="0EA42B31"/>
    <w:rsid w:val="0EDB3719"/>
    <w:rsid w:val="0F0865B9"/>
    <w:rsid w:val="0FAC6C6E"/>
    <w:rsid w:val="10152804"/>
    <w:rsid w:val="10F30C1E"/>
    <w:rsid w:val="11BC2D77"/>
    <w:rsid w:val="121B7DC5"/>
    <w:rsid w:val="13C46A1B"/>
    <w:rsid w:val="152A6D51"/>
    <w:rsid w:val="15604521"/>
    <w:rsid w:val="16B21DFD"/>
    <w:rsid w:val="18DC3BBC"/>
    <w:rsid w:val="19B83431"/>
    <w:rsid w:val="19E10EE4"/>
    <w:rsid w:val="1ACD08AB"/>
    <w:rsid w:val="1E030FCE"/>
    <w:rsid w:val="1E2372FB"/>
    <w:rsid w:val="1E2E78B2"/>
    <w:rsid w:val="1FD7579E"/>
    <w:rsid w:val="20337402"/>
    <w:rsid w:val="209C7A85"/>
    <w:rsid w:val="20B93728"/>
    <w:rsid w:val="213F5933"/>
    <w:rsid w:val="21B03588"/>
    <w:rsid w:val="21F42BC1"/>
    <w:rsid w:val="223B08CF"/>
    <w:rsid w:val="22AC6FF8"/>
    <w:rsid w:val="22C00CF5"/>
    <w:rsid w:val="22C92BDB"/>
    <w:rsid w:val="22F84EEE"/>
    <w:rsid w:val="235D0380"/>
    <w:rsid w:val="236E0751"/>
    <w:rsid w:val="23F953B2"/>
    <w:rsid w:val="241E41B4"/>
    <w:rsid w:val="247C7268"/>
    <w:rsid w:val="276672A8"/>
    <w:rsid w:val="287936AA"/>
    <w:rsid w:val="28AA222B"/>
    <w:rsid w:val="29F804D1"/>
    <w:rsid w:val="2B667D93"/>
    <w:rsid w:val="2CA34587"/>
    <w:rsid w:val="2CED6B8B"/>
    <w:rsid w:val="2DDD65CB"/>
    <w:rsid w:val="2DE64CDC"/>
    <w:rsid w:val="2E3D68D2"/>
    <w:rsid w:val="308570DA"/>
    <w:rsid w:val="321B1AA4"/>
    <w:rsid w:val="33CB74FA"/>
    <w:rsid w:val="33CD3272"/>
    <w:rsid w:val="35B27D87"/>
    <w:rsid w:val="36E763F9"/>
    <w:rsid w:val="37040D59"/>
    <w:rsid w:val="39925C75"/>
    <w:rsid w:val="3A8A0E33"/>
    <w:rsid w:val="3B4A33FA"/>
    <w:rsid w:val="3BE96E33"/>
    <w:rsid w:val="3BEE0229"/>
    <w:rsid w:val="3F6F51DD"/>
    <w:rsid w:val="409E767E"/>
    <w:rsid w:val="411B2EE4"/>
    <w:rsid w:val="42895E35"/>
    <w:rsid w:val="43B43AC3"/>
    <w:rsid w:val="44F349E6"/>
    <w:rsid w:val="45CD647C"/>
    <w:rsid w:val="470A54D9"/>
    <w:rsid w:val="48D32C81"/>
    <w:rsid w:val="491D053A"/>
    <w:rsid w:val="49A86109"/>
    <w:rsid w:val="4A1669D5"/>
    <w:rsid w:val="4A9158FC"/>
    <w:rsid w:val="4B7562D5"/>
    <w:rsid w:val="4BED1755"/>
    <w:rsid w:val="4C3A1003"/>
    <w:rsid w:val="4CCD673F"/>
    <w:rsid w:val="4D754306"/>
    <w:rsid w:val="4D862070"/>
    <w:rsid w:val="4DDF74B2"/>
    <w:rsid w:val="4F550584"/>
    <w:rsid w:val="503C4A06"/>
    <w:rsid w:val="5043249A"/>
    <w:rsid w:val="50975357"/>
    <w:rsid w:val="509B3DBD"/>
    <w:rsid w:val="51750D79"/>
    <w:rsid w:val="51905BB3"/>
    <w:rsid w:val="51C25640"/>
    <w:rsid w:val="53EE7D08"/>
    <w:rsid w:val="580150F3"/>
    <w:rsid w:val="58C148A4"/>
    <w:rsid w:val="5A1335BF"/>
    <w:rsid w:val="5A3906F8"/>
    <w:rsid w:val="5B2B06FA"/>
    <w:rsid w:val="5CA70254"/>
    <w:rsid w:val="5DF86C98"/>
    <w:rsid w:val="5E7E11BF"/>
    <w:rsid w:val="5EF05EE3"/>
    <w:rsid w:val="5F3214C7"/>
    <w:rsid w:val="5F3D757A"/>
    <w:rsid w:val="5F777601"/>
    <w:rsid w:val="60483AFC"/>
    <w:rsid w:val="609310CC"/>
    <w:rsid w:val="60DF7FBD"/>
    <w:rsid w:val="62652744"/>
    <w:rsid w:val="64783BC0"/>
    <w:rsid w:val="64A01811"/>
    <w:rsid w:val="665E3732"/>
    <w:rsid w:val="66AE2ECB"/>
    <w:rsid w:val="66EF0CF3"/>
    <w:rsid w:val="686F60CA"/>
    <w:rsid w:val="68746AA8"/>
    <w:rsid w:val="68F329C4"/>
    <w:rsid w:val="6A613565"/>
    <w:rsid w:val="6A9908DE"/>
    <w:rsid w:val="6AA110C7"/>
    <w:rsid w:val="6DAA1953"/>
    <w:rsid w:val="6DF826BE"/>
    <w:rsid w:val="6EFC1D3A"/>
    <w:rsid w:val="70351014"/>
    <w:rsid w:val="72042EDE"/>
    <w:rsid w:val="7343262D"/>
    <w:rsid w:val="73AB1CF8"/>
    <w:rsid w:val="740B2A1F"/>
    <w:rsid w:val="75A373B3"/>
    <w:rsid w:val="75E37197"/>
    <w:rsid w:val="775A6FAF"/>
    <w:rsid w:val="798E037A"/>
    <w:rsid w:val="799534B7"/>
    <w:rsid w:val="7BE61D08"/>
    <w:rsid w:val="7E4D6C3B"/>
    <w:rsid w:val="7EE60311"/>
    <w:rsid w:val="7EEF067E"/>
    <w:rsid w:val="7F805965"/>
    <w:rsid w:val="7FA426A6"/>
    <w:rsid w:val="7FCF28EA"/>
    <w:rsid w:val="7FDE455C"/>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6"/>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ascii="微软雅黑" w:hAnsi="微软雅黑" w:eastAsia="微软雅黑" w:cs="微软雅黑"/>
      <w:b/>
      <w:kern w:val="44"/>
      <w:sz w:val="48"/>
      <w:szCs w:val="48"/>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annotation text"/>
    <w:basedOn w:val="1"/>
    <w:autoRedefine/>
    <w:qFormat/>
    <w:uiPriority w:val="0"/>
    <w:pPr>
      <w:jc w:val="left"/>
    </w:pPr>
  </w:style>
  <w:style w:type="paragraph" w:styleId="6">
    <w:name w:val="Body Text"/>
    <w:basedOn w:val="1"/>
    <w:autoRedefine/>
    <w:qFormat/>
    <w:uiPriority w:val="1"/>
    <w:pPr>
      <w:ind w:left="38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1"/>
    <w:basedOn w:val="1"/>
    <w:autoRedefine/>
    <w:qFormat/>
    <w:uiPriority w:val="0"/>
    <w:pPr>
      <w:adjustRightInd w:val="0"/>
      <w:spacing w:line="360" w:lineRule="atLeast"/>
      <w:jc w:val="left"/>
    </w:pPr>
    <w:rPr>
      <w:rFonts w:ascii="宋体"/>
      <w:kern w:val="0"/>
      <w:sz w:val="24"/>
    </w:rPr>
  </w:style>
  <w:style w:type="paragraph" w:customStyle="1" w:styleId="13">
    <w:name w:val="样式1"/>
    <w:basedOn w:val="1"/>
    <w:autoRedefine/>
    <w:qFormat/>
    <w:uiPriority w:val="0"/>
    <w:rPr>
      <w:b/>
      <w:color w:val="538135"/>
      <w:sz w:val="28"/>
    </w:rPr>
  </w:style>
  <w:style w:type="table" w:customStyle="1" w:styleId="14">
    <w:name w:val="Table Normal_0"/>
    <w:autoRedefine/>
    <w:semiHidden/>
    <w:unhideWhenUsed/>
    <w:qFormat/>
    <w:uiPriority w:val="0"/>
    <w:tblPr>
      <w:tblCellMar>
        <w:top w:w="0" w:type="dxa"/>
        <w:left w:w="0" w:type="dxa"/>
        <w:bottom w:w="0" w:type="dxa"/>
        <w:right w:w="0" w:type="dxa"/>
      </w:tblCellMar>
    </w:tblPr>
  </w:style>
  <w:style w:type="paragraph" w:customStyle="1" w:styleId="15">
    <w:name w:val="正文 A"/>
    <w:basedOn w:val="1"/>
    <w:autoRedefine/>
    <w:qFormat/>
    <w:uiPriority w:val="0"/>
    <w:rPr>
      <w:rFonts w:eastAsia="Arial Unicode MS" w:cs="Arial Unicode MS"/>
      <w:color w:val="000000"/>
      <w:szCs w:val="21"/>
    </w:rPr>
  </w:style>
  <w:style w:type="character" w:customStyle="1" w:styleId="16">
    <w:name w:val="标题 1 Char"/>
    <w:link w:val="4"/>
    <w:autoRedefine/>
    <w:qFormat/>
    <w:uiPriority w:val="0"/>
    <w:rPr>
      <w:rFonts w:ascii="微软雅黑" w:hAnsi="微软雅黑" w:eastAsia="微软雅黑" w:cs="微软雅黑"/>
      <w:b/>
      <w:kern w:val="44"/>
      <w:sz w:val="48"/>
      <w:szCs w:val="48"/>
      <w:lang w:val="en-US" w:eastAsia="zh-CN" w:bidi="ar"/>
    </w:rPr>
  </w:style>
  <w:style w:type="paragraph" w:styleId="17">
    <w:name w:val="List Paragraph"/>
    <w:basedOn w:val="1"/>
    <w:autoRedefine/>
    <w:qFormat/>
    <w:uiPriority w:val="34"/>
    <w:pPr>
      <w:ind w:firstLine="420" w:firstLineChars="200"/>
    </w:pPr>
  </w:style>
  <w:style w:type="paragraph" w:customStyle="1" w:styleId="18">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2"/>
    <customShpInfo spid="_x0000_s2053"/>
    <customShpInfo spid="_x0000_s2049"/>
    <customShpInfo spid="_x0000_s2056"/>
    <customShpInfo spid="_x0000_s2057"/>
    <customShpInfo spid="_x0000_s2058"/>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2024-01-10T09:58:00Z</dcterms:created>
  <dc:creator>彭素华</dc:creator>
  <cp:lastModifiedBy>彭素华</cp:lastModifiedBy>
  <dcterms:modified xsi:type="dcterms:W3CDTF">2025-04-29T09:06:06Z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agleCloud">
    <vt:lpwstr>61676334b4e8422151e43967553014381f5e06876ebe2bbce66cedec39aecaacf4853be976adcc648e709e91f0cef3a5636766cc594b55dd3526c0dec73e2d5a075fd491cb6d07585ee6ea933ac9c22c3e74f911d88ff4486ff8434331383de79640ac2cefb291a79b4d124eeae5dc8184ed84cd2df0bba33fe74aed905b73d</vt:lpwstr>
  </property>
  <property fmtid="{D5CDD505-2E9C-101B-9397-08002B2CF9AE}" pid="3" name="EagleCloud1">
    <vt:lpwstr>fd201b03751ddc3eefffe8b545644ee707a73254df67a67d21fb1541bce352bc018c3760e4af19a97c01844dda6ed2df1e8773206d6171e88a2d053fb414cbb92efaf381f45ca91c183a2d597be7db7d20dc8aaa42089648d63fcde9e2638abfd7ceb22f5704e7c1f2ad75253bb975beb7cdb364b4915021746e6845aca8e20</vt:lpwstr>
  </property>
  <property fmtid="{D5CDD505-2E9C-101B-9397-08002B2CF9AE}" pid="4" name="EagleCloud2">
    <vt:lpwstr>05a47bd4a2e43350c67b66de773862003d8229430af0579b3fff9c938b7d710e654030293db608a5e5d5f5fdc873a3115b10128b8a23078def6d55a5506ed87340a5f71d746e181897efcfadd8a744f3233d958823a080ffba98dcbea83050e3544c38ce0667ca255023a89a0d8f42f3bab5b72f0bf276269cf8a782b6817c7</vt:lpwstr>
  </property>
  <property fmtid="{D5CDD505-2E9C-101B-9397-08002B2CF9AE}" pid="5" name="EagleCloud3">
    <vt:lpwstr>6d6ff496e19c8255bbefcb52988338d79991b097c9363cf0371c1a997258ee5200b3c7d68e170e78bf5d9ffd134a614ff57985f0870483518018d08771bc77262eb17d0ab4535a66a109add47126c2348c4d3783506e23b77fd48b5836180217a488930749307e1906b61158660e825bfd6d03532da6eb35a9c319911deecdd</vt:lpwstr>
  </property>
  <property fmtid="{D5CDD505-2E9C-101B-9397-08002B2CF9AE}" pid="6" name="EagleCloud4">
    <vt:lpwstr>ef1a7ae51b0f3f3a86b170b7758695e0b5147a56c4aa3248c46ca83fff9299942432a5f71d746e181897efcfadd8a744f3233d958823a080ffba98dcbea83050e3544c38ce0667ca255023a89a0d8f42f3bac14617004cf11d347160f290be6dcd1343a21c22e307b851302b7867dea5e1a1dcc434410761f398f8eb9ab3e3f</vt:lpwstr>
  </property>
  <property fmtid="{D5CDD505-2E9C-101B-9397-08002B2CF9AE}" pid="7" name="EagleCloud5">
    <vt:lpwstr>b2d4c98c2136d977e0c5854addb927dc1f65cc44cf8a00e0b22f9bdb05f81d77bba027767902ba2dd67fa91d6e54351d28064e7da6c5a9d524ce4b1645286fa55136489bdfee7f11263420d8764e3b4d28cf7bc598feda958f01d3ea6d3f6f430a164ea30adcd970f1d76ebc33f54e7448dde87da7027f5585461c0b460af28</vt:lpwstr>
  </property>
  <property fmtid="{D5CDD505-2E9C-101B-9397-08002B2CF9AE}" pid="8" name="EagleCloud6">
    <vt:lpwstr>39e21b1d1fa04dda297404c0bcd14f1011bb8f0ff90e1dd87af145a5bd4928bd513190cfc515fb94866606610791931f4b31b63742c30d8f6d6e780a8e96cd5e891a1a1116ecab749c7dc3735751770d2e54c6374b226cf800557090f4406022ff416cccc65a0f2eb5674f1e43a82f8a322c5e8cabe0760a48591a59139dd82</vt:lpwstr>
  </property>
  <property fmtid="{D5CDD505-2E9C-101B-9397-08002B2CF9AE}" pid="9" name="EagleCloud7">
    <vt:lpwstr>35976c037f4122d7b30e399a6a01b235580858b89bdfee7f11263420d8764e3b4d28cf766fc4dfe1a5dff16d785749ed1924bf3b816ccedfab5d0aa8c22fb4230ca71ea92b27fccbe65cd9458abe9c5c3aa398993bf5eb309127fe74a1583814bf63ebd534240357677320bccbdc4535754328b30412c98e8fec3f187645017</vt:lpwstr>
  </property>
  <property fmtid="{D5CDD505-2E9C-101B-9397-08002B2CF9AE}" pid="10" name="EagleCloud8">
    <vt:lpwstr>3c2f035d96101d06be7e1ed1f00e05a424435ee1dc90c0a64e4e5a1e0ef5b8611b98059882d301efa08408f5eb3fab695f6a5d0f6663a84fb392a8a0dab97079aba68dc2c338dfcc02fb622a856ba2d5fbdebb234517872830f0332fd3a0417adcd5a29e36583a4a712b08484091527c8865bea394b0f0a073e231fb8391dcc</vt:lpwstr>
  </property>
  <property fmtid="{D5CDD505-2E9C-101B-9397-08002B2CF9AE}" pid="11" name="EagleCloud9">
    <vt:lpwstr>d62a1703afc4c0aa5819f14d6e0734159beb9dd95f844bbf9220e6d6368fb774eb70427926def628fc37b0a0cfc0e8f760461088dad68491fe5c5927b12aa6440263da14f89e2100ba1c02102bf566760834c21f3b9b152028d9dae5454a659e5b1f30f14</vt:lpwstr>
  </property>
  <property fmtid="{D5CDD505-2E9C-101B-9397-08002B2CF9AE}" pid="12" name="ICV">
    <vt:lpwstr>D160E865DBEB434FB4DC495F229C66D6_13</vt:lpwstr>
  </property>
  <property fmtid="{D5CDD505-2E9C-101B-9397-08002B2CF9AE}" pid="13" name="KSOProductBuildVer">
    <vt:lpwstr>2052-12.1.0.16417</vt:lpwstr>
  </property>
</Properties>
</file>