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电子竞买（竞价）须知（适用于无技术权重）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1.本次</w:t>
      </w:r>
      <w:r>
        <w:rPr>
          <w:rFonts w:hint="eastAsia" w:ascii="宋体" w:hAnsi="宋体" w:eastAsia="宋体" w:cs="宋体"/>
          <w:b/>
          <w:bCs/>
          <w:sz w:val="28"/>
          <w:szCs w:val="28"/>
          <w:u w:val="single"/>
        </w:rPr>
        <w:t>田阳铝厂、德保铝厂2025年5-12月及隆林铝厂6-12月残阳极销售项目</w:t>
      </w:r>
      <w:r>
        <w:rPr>
          <w:rFonts w:hint="eastAsia" w:ascii="宋体" w:hAnsi="宋体" w:eastAsia="宋体" w:cs="宋体"/>
          <w:sz w:val="28"/>
          <w:szCs w:val="28"/>
        </w:rPr>
        <w:t>的商务标议价采用线上电子竞买（竞价） 模式进行 。请登录吉利电子招标平台 ip 地址 http://glzb.geely.com，并选择进入本项目的电子竞买报价现场，依据招标方的指令开始并进行不限轮次报价。各投标人可根据自身排名以及其他情况进行报价，每次报价的降价幅度不得低于本须知设置的最小</w:t>
      </w:r>
      <w:r>
        <w:rPr>
          <w:rFonts w:hint="eastAsia" w:ascii="宋体" w:hAnsi="宋体" w:eastAsia="宋体" w:cs="宋体"/>
          <w:sz w:val="28"/>
          <w:szCs w:val="28"/>
          <w:lang w:val="en-US" w:eastAsia="zh-CN"/>
        </w:rPr>
        <w:t>涨幅</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2.电子竞买报价模式包括试竞价、正式竞价与超时竞价三个不 同阶段，根据系统设置依次进行不同阶段的操作并报价。（本项目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正式竞价时长为</w:t>
      </w:r>
      <w:r>
        <w:rPr>
          <w:rFonts w:hint="eastAsia" w:ascii="宋体" w:hAnsi="宋体" w:eastAsia="宋体" w:cs="宋体"/>
          <w:b/>
          <w:bCs/>
          <w:sz w:val="28"/>
          <w:szCs w:val="28"/>
          <w:u w:val="single"/>
        </w:rPr>
        <w:t xml:space="preserve">  10   </w:t>
      </w:r>
      <w:r>
        <w:rPr>
          <w:rFonts w:hint="eastAsia" w:ascii="宋体" w:hAnsi="宋体" w:eastAsia="宋体" w:cs="宋体"/>
          <w:sz w:val="28"/>
          <w:szCs w:val="28"/>
        </w:rPr>
        <w:t>分钟，超时竞价时长为</w:t>
      </w:r>
      <w:r>
        <w:rPr>
          <w:rFonts w:hint="eastAsia" w:ascii="宋体" w:hAnsi="宋体" w:eastAsia="宋体" w:cs="宋体"/>
          <w:b/>
          <w:bCs/>
          <w:sz w:val="28"/>
          <w:szCs w:val="28"/>
          <w:u w:val="single"/>
        </w:rPr>
        <w:t xml:space="preserve">  90   </w:t>
      </w:r>
      <w:r>
        <w:rPr>
          <w:rFonts w:hint="eastAsia" w:ascii="宋体" w:hAnsi="宋体" w:eastAsia="宋体" w:cs="宋体"/>
          <w:sz w:val="28"/>
          <w:szCs w:val="28"/>
        </w:rPr>
        <w:t>秒）；</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（1）试竞价阶段：用于测试系统网络连通性和各投标人熟悉系统操作，在本阶段招标方相关人员对各投标人进行该系统操作使用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的培训及宣贯；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（2）正式竞价阶段：试竞价阶段结束后进入正式竞价阶段，正 式竞价设定为一个固定时长，正式竞价开始后投标人进行报价，首 次报价为投标文件报价（须保持完全一致），在本阶段内投标人可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根据自身情况进行不限轮次报价；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（3）超时竞价阶段：正式竞价阶段结束后即进入超时竞价阶段，超时竞价时长为 90 秒，在超时竞价阶段只要任一投标人进行报价，时间自动回退到初始时间（90 秒）。直至超时竞价时长内无任何投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标人报价，超时竞价时间倒计至 0 时，超时竞价结束。</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3.最小</w:t>
      </w:r>
      <w:r>
        <w:rPr>
          <w:rFonts w:hint="eastAsia" w:ascii="宋体" w:hAnsi="宋体" w:eastAsia="宋体" w:cs="宋体"/>
          <w:sz w:val="28"/>
          <w:szCs w:val="28"/>
          <w:lang w:eastAsia="zh-CN"/>
        </w:rPr>
        <w:t>涨幅</w:t>
      </w:r>
      <w:r>
        <w:rPr>
          <w:rFonts w:hint="eastAsia" w:ascii="宋体" w:hAnsi="宋体" w:eastAsia="宋体" w:cs="宋体"/>
          <w:sz w:val="28"/>
          <w:szCs w:val="28"/>
        </w:rPr>
        <w:t>金额：投标人每次报价的</w:t>
      </w:r>
      <w:r>
        <w:rPr>
          <w:rFonts w:hint="eastAsia" w:ascii="宋体" w:hAnsi="宋体" w:eastAsia="宋体" w:cs="宋体"/>
          <w:sz w:val="28"/>
          <w:szCs w:val="28"/>
          <w:lang w:eastAsia="zh-CN"/>
        </w:rPr>
        <w:t>涨幅</w:t>
      </w:r>
      <w:r>
        <w:rPr>
          <w:rFonts w:hint="eastAsia" w:ascii="宋体" w:hAnsi="宋体" w:eastAsia="宋体" w:cs="宋体"/>
          <w:sz w:val="28"/>
          <w:szCs w:val="28"/>
        </w:rPr>
        <w:t>不得低于招标人设置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的最小</w:t>
      </w:r>
      <w:r>
        <w:rPr>
          <w:rFonts w:hint="eastAsia" w:ascii="宋体" w:hAnsi="宋体" w:eastAsia="宋体" w:cs="宋体"/>
          <w:sz w:val="28"/>
          <w:szCs w:val="28"/>
          <w:lang w:eastAsia="zh-CN"/>
        </w:rPr>
        <w:t>涨幅</w:t>
      </w:r>
      <w:r>
        <w:rPr>
          <w:rFonts w:hint="eastAsia" w:ascii="宋体" w:hAnsi="宋体" w:eastAsia="宋体" w:cs="宋体"/>
          <w:sz w:val="28"/>
          <w:szCs w:val="28"/>
        </w:rPr>
        <w:t>金额（届时现场告知）；</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4.正式竞价结束并进入超时竞价时，招标人对最小</w:t>
      </w:r>
      <w:r>
        <w:rPr>
          <w:rFonts w:hint="eastAsia" w:ascii="宋体" w:hAnsi="宋体" w:eastAsia="宋体" w:cs="宋体"/>
          <w:sz w:val="28"/>
          <w:szCs w:val="28"/>
          <w:lang w:eastAsia="zh-CN"/>
        </w:rPr>
        <w:t>涨幅</w:t>
      </w:r>
      <w:r>
        <w:rPr>
          <w:rFonts w:hint="eastAsia" w:ascii="宋体" w:hAnsi="宋体" w:eastAsia="宋体" w:cs="宋体"/>
          <w:sz w:val="28"/>
          <w:szCs w:val="28"/>
        </w:rPr>
        <w:t>金额进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行调整，投标人须注意电子竞买报价现场界面底部的实时信息提示投标人每次报价可根据本单位排名及自身其他情况进行报价。整个 电子竞买报价过程，投标人员不能离开指定竞价场所，有事可通过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招标方人员传达；</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5.投标人每次报价后仅能看到己方所报的价格及排名，因各投 标单位报价存在时间差，若报价相同时，先报价的单位排名靠前， 招标方将要求因此种情况导致排名不同的投标人进行再次谈判，直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至分出价格有差异的名次。</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6.如出现所有投标人报价都达不到下浮额度的控制价时，招标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方可宣布流标或选择投标人进行再次议价。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7.若有投标人报价进入下浮额度，且下浮额度优于集团指导价，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招标方可在此下浮价格基础上进行再次谈判，价优者中标。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8.出现网络或电脑故障，若在正式竞价时间内，重新启动系统 竞价或纸质替代竞价，若在超时阶段，招标方视竞价状况，有权决定重新启动系统竞价或纸质替代竞价，或按最终界面的排名顺序选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择中标人；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.每个标段竞价结束后，各投标人须以纸质方式填写报价确认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单，签字后交给招标方，价格以电子招标系统金额为准；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.接受并参加电子竞价的投标人，在电子竞买报价现场上所报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报价等同于其投标文件实际报价。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.本次电子竞买报价以整体暂定/固定总价进行竞价。初始报 价以标书报价为准。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我司同意招标人上述规则</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投标单位：</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授权代表：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keepNext w:val="0"/>
        <w:keepLines w:val="0"/>
        <w:pageBreakBefore w:val="0"/>
        <w:widowControl/>
        <w:kinsoku w:val="0"/>
        <w:wordWrap/>
        <w:overflowPunct/>
        <w:topLinePunct w:val="0"/>
        <w:autoSpaceDE w:val="0"/>
        <w:autoSpaceDN w:val="0"/>
        <w:bidi w:val="0"/>
        <w:adjustRightInd w:val="0"/>
        <w:snapToGrid w:val="0"/>
        <w:spacing w:before="114" w:line="520" w:lineRule="exact"/>
        <w:ind w:left="42"/>
        <w:textAlignment w:val="baseline"/>
        <w:rPr>
          <w:rFonts w:hint="eastAsia" w:eastAsia="宋体"/>
          <w:sz w:val="35"/>
          <w:szCs w:val="35"/>
          <w:lang w:val="en-US" w:eastAsia="zh-CN"/>
        </w:rPr>
      </w:pPr>
      <w:r>
        <w:rPr>
          <w:spacing w:val="-6"/>
          <w:sz w:val="35"/>
          <w:szCs w:val="35"/>
        </w:rPr>
        <w:t>附件</w:t>
      </w:r>
      <w:r>
        <w:rPr>
          <w:rFonts w:hint="eastAsia"/>
          <w:spacing w:val="-6"/>
          <w:sz w:val="35"/>
          <w:szCs w:val="35"/>
          <w:lang w:val="en-US" w:eastAsia="zh-CN"/>
        </w:rPr>
        <w:t>1</w:t>
      </w:r>
    </w:p>
    <w:p>
      <w:pPr>
        <w:pageBreakBefore w:val="0"/>
        <w:kinsoku/>
        <w:overflowPunct/>
        <w:topLinePunct w:val="0"/>
        <w:bidi w:val="0"/>
        <w:spacing w:line="500" w:lineRule="exact"/>
        <w:ind w:right="0" w:rightChars="0" w:firstLine="640" w:firstLineChars="200"/>
        <w:jc w:val="center"/>
        <w:rPr>
          <w:rFonts w:hint="eastAsia"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投标报价表</w:t>
      </w:r>
    </w:p>
    <w:tbl>
      <w:tblPr>
        <w:tblStyle w:val="8"/>
        <w:tblpPr w:leftFromText="180" w:rightFromText="180" w:vertAnchor="text" w:horzAnchor="page" w:tblpX="1549" w:tblpY="513"/>
        <w:tblOverlap w:val="never"/>
        <w:tblW w:w="8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2"/>
        <w:gridCol w:w="2132"/>
        <w:gridCol w:w="1056"/>
        <w:gridCol w:w="1114"/>
        <w:gridCol w:w="157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9" w:hRule="atLeast"/>
        </w:trPr>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标段</w:t>
            </w:r>
          </w:p>
        </w:tc>
        <w:tc>
          <w:tcPr>
            <w:tcW w:w="213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 xml:space="preserve">       项目名称</w:t>
            </w:r>
          </w:p>
        </w:tc>
        <w:tc>
          <w:tcPr>
            <w:tcW w:w="105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20"/>
                <w:szCs w:val="20"/>
                <w:u w:val="none"/>
                <w:lang w:eastAsia="zh-CN" w:bidi="ar"/>
              </w:rPr>
            </w:pPr>
            <w:r>
              <w:rPr>
                <w:rFonts w:hint="eastAsia" w:ascii="微软雅黑" w:hAnsi="微软雅黑" w:eastAsia="微软雅黑" w:cs="微软雅黑"/>
                <w:b/>
                <w:bCs w:val="0"/>
                <w:i w:val="0"/>
                <w:iCs w:val="0"/>
                <w:color w:val="auto"/>
                <w:kern w:val="0"/>
                <w:sz w:val="20"/>
                <w:szCs w:val="20"/>
                <w:u w:val="none"/>
                <w:lang w:val="en-US" w:eastAsia="zh-CN" w:bidi="ar"/>
              </w:rPr>
              <w:t>物资名称</w:t>
            </w:r>
          </w:p>
        </w:tc>
        <w:tc>
          <w:tcPr>
            <w:tcW w:w="11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20"/>
                <w:szCs w:val="20"/>
                <w:u w:val="none"/>
                <w:lang w:eastAsia="zh-CN" w:bidi="ar"/>
              </w:rPr>
            </w:pPr>
            <w:r>
              <w:rPr>
                <w:rFonts w:hint="eastAsia" w:ascii="微软雅黑" w:hAnsi="微软雅黑" w:eastAsia="微软雅黑" w:cs="微软雅黑"/>
                <w:b/>
                <w:i w:val="0"/>
                <w:color w:val="auto"/>
                <w:kern w:val="0"/>
                <w:sz w:val="20"/>
                <w:szCs w:val="20"/>
                <w:u w:val="none"/>
                <w:lang w:eastAsia="zh-CN" w:bidi="ar"/>
              </w:rPr>
              <w:t>预计数量</w:t>
            </w:r>
            <w:r>
              <w:rPr>
                <w:rFonts w:hint="eastAsia" w:ascii="微软雅黑" w:hAnsi="微软雅黑" w:eastAsia="微软雅黑" w:cs="微软雅黑"/>
                <w:b/>
                <w:bCs/>
                <w:color w:val="auto"/>
                <w:kern w:val="0"/>
                <w:sz w:val="22"/>
                <w:szCs w:val="22"/>
              </w:rPr>
              <w:t>（吨）</w:t>
            </w:r>
          </w:p>
        </w:tc>
        <w:tc>
          <w:tcPr>
            <w:tcW w:w="1571" w:type="dxa"/>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00" w:lineRule="exact"/>
              <w:ind w:left="0" w:leftChars="0" w:right="0" w:rightChars="0" w:firstLine="0" w:firstLineChars="0"/>
              <w:jc w:val="center"/>
              <w:textAlignment w:val="auto"/>
              <w:rPr>
                <w:rFonts w:hint="eastAsia" w:ascii="微软雅黑" w:hAnsi="微软雅黑" w:eastAsia="微软雅黑" w:cs="微软雅黑"/>
                <w:b/>
                <w:bCs/>
                <w:color w:val="auto"/>
                <w:kern w:val="0"/>
                <w:sz w:val="22"/>
                <w:szCs w:val="22"/>
                <w:lang w:val="en-US" w:eastAsia="zh-CN"/>
              </w:rPr>
            </w:pPr>
            <w:r>
              <w:rPr>
                <w:rFonts w:hint="eastAsia" w:ascii="微软雅黑" w:hAnsi="微软雅黑" w:eastAsia="微软雅黑" w:cs="微软雅黑"/>
                <w:b/>
                <w:bCs/>
                <w:color w:val="auto"/>
                <w:kern w:val="0"/>
                <w:sz w:val="22"/>
                <w:szCs w:val="22"/>
                <w:lang w:eastAsia="zh-CN"/>
              </w:rPr>
              <w:t>单价</w:t>
            </w:r>
            <w:r>
              <w:rPr>
                <w:rFonts w:hint="eastAsia" w:ascii="微软雅黑" w:hAnsi="微软雅黑" w:eastAsia="微软雅黑" w:cs="微软雅黑"/>
                <w:b/>
                <w:bCs/>
                <w:color w:val="auto"/>
                <w:kern w:val="0"/>
                <w:sz w:val="22"/>
                <w:szCs w:val="22"/>
                <w:lang w:val="en-US" w:eastAsia="zh-CN"/>
              </w:rPr>
              <w:t xml:space="preserve">   </w:t>
            </w:r>
          </w:p>
          <w:p>
            <w:pPr>
              <w:keepNext w:val="0"/>
              <w:keepLines w:val="0"/>
              <w:pageBreakBefore w:val="0"/>
              <w:widowControl/>
              <w:suppressLineNumbers w:val="0"/>
              <w:kinsoku/>
              <w:overflowPunct/>
              <w:topLinePunct w:val="0"/>
              <w:bidi w:val="0"/>
              <w:spacing w:line="500" w:lineRule="exact"/>
              <w:ind w:left="0" w:leftChars="0" w:right="0" w:rightChars="0" w:firstLine="0" w:firstLineChars="0"/>
              <w:jc w:val="center"/>
              <w:textAlignment w:val="auto"/>
              <w:rPr>
                <w:rFonts w:hint="eastAsia" w:ascii="微软雅黑" w:hAnsi="微软雅黑" w:eastAsia="微软雅黑" w:cs="微软雅黑"/>
                <w:b/>
                <w:i w:val="0"/>
                <w:color w:val="auto"/>
                <w:kern w:val="0"/>
                <w:sz w:val="20"/>
                <w:szCs w:val="20"/>
                <w:u w:val="none"/>
                <w:lang w:eastAsia="zh-CN" w:bidi="ar"/>
              </w:rPr>
            </w:pPr>
            <w:r>
              <w:rPr>
                <w:rFonts w:hint="eastAsia" w:ascii="微软雅黑" w:hAnsi="微软雅黑" w:eastAsia="微软雅黑" w:cs="微软雅黑"/>
                <w:b/>
                <w:bCs/>
                <w:color w:val="auto"/>
                <w:kern w:val="0"/>
                <w:sz w:val="22"/>
                <w:szCs w:val="22"/>
                <w:lang w:val="en-US" w:eastAsia="zh-CN"/>
              </w:rPr>
              <w:t xml:space="preserve"> </w:t>
            </w:r>
            <w:r>
              <w:rPr>
                <w:rFonts w:hint="eastAsia" w:ascii="微软雅黑" w:hAnsi="微软雅黑" w:eastAsia="微软雅黑" w:cs="微软雅黑"/>
                <w:b/>
                <w:bCs/>
                <w:color w:val="auto"/>
                <w:kern w:val="0"/>
                <w:sz w:val="22"/>
                <w:szCs w:val="22"/>
              </w:rPr>
              <w:t>（元</w:t>
            </w:r>
            <w:r>
              <w:rPr>
                <w:rFonts w:hint="eastAsia" w:ascii="微软雅黑" w:hAnsi="微软雅黑" w:eastAsia="微软雅黑" w:cs="微软雅黑"/>
                <w:b/>
                <w:bCs/>
                <w:color w:val="auto"/>
                <w:kern w:val="0"/>
                <w:sz w:val="22"/>
                <w:szCs w:val="22"/>
                <w:lang w:val="en-US" w:eastAsia="zh-CN"/>
              </w:rPr>
              <w:t>/</w:t>
            </w:r>
            <w:r>
              <w:rPr>
                <w:rFonts w:hint="eastAsia" w:ascii="微软雅黑" w:hAnsi="微软雅黑" w:eastAsia="微软雅黑" w:cs="微软雅黑"/>
                <w:b/>
                <w:bCs/>
                <w:color w:val="auto"/>
                <w:kern w:val="0"/>
                <w:sz w:val="22"/>
                <w:szCs w:val="22"/>
              </w:rPr>
              <w:t>吨）</w:t>
            </w:r>
          </w:p>
        </w:tc>
        <w:tc>
          <w:tcPr>
            <w:tcW w:w="14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722"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w:t>
            </w:r>
          </w:p>
        </w:tc>
        <w:tc>
          <w:tcPr>
            <w:tcW w:w="2132"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田阳铝厂2025年5-12月残阳极销售项目</w:t>
            </w:r>
          </w:p>
        </w:tc>
        <w:tc>
          <w:tcPr>
            <w:tcW w:w="1056"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残阳极</w:t>
            </w:r>
          </w:p>
        </w:tc>
        <w:tc>
          <w:tcPr>
            <w:tcW w:w="1114" w:type="dxa"/>
            <w:shd w:val="clear" w:color="auto" w:fill="auto"/>
            <w:tcMar>
              <w:top w:w="15" w:type="dxa"/>
              <w:left w:w="15" w:type="dxa"/>
              <w:right w:w="15" w:type="dxa"/>
            </w:tcMar>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20000</w:t>
            </w:r>
          </w:p>
        </w:tc>
        <w:tc>
          <w:tcPr>
            <w:tcW w:w="1571"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p>
        </w:tc>
        <w:tc>
          <w:tcPr>
            <w:tcW w:w="1445"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2" w:hRule="atLeast"/>
        </w:trPr>
        <w:tc>
          <w:tcPr>
            <w:tcW w:w="722" w:type="dxa"/>
            <w:shd w:val="clear" w:color="auto" w:fill="auto"/>
            <w:tcMar>
              <w:top w:w="15" w:type="dxa"/>
              <w:left w:w="15" w:type="dxa"/>
              <w:right w:w="15" w:type="dxa"/>
            </w:tcMar>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w:t>
            </w:r>
          </w:p>
        </w:tc>
        <w:tc>
          <w:tcPr>
            <w:tcW w:w="2132"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德保铝厂2025年5-12月残阳极销售项目</w:t>
            </w:r>
          </w:p>
        </w:tc>
        <w:tc>
          <w:tcPr>
            <w:tcW w:w="1056"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残阳极</w:t>
            </w:r>
          </w:p>
        </w:tc>
        <w:tc>
          <w:tcPr>
            <w:tcW w:w="1114" w:type="dxa"/>
            <w:shd w:val="clear" w:color="auto" w:fill="auto"/>
            <w:tcMar>
              <w:top w:w="15" w:type="dxa"/>
              <w:left w:w="15" w:type="dxa"/>
              <w:right w:w="15" w:type="dxa"/>
            </w:tcMar>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17150</w:t>
            </w:r>
          </w:p>
        </w:tc>
        <w:tc>
          <w:tcPr>
            <w:tcW w:w="1571"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p>
        </w:tc>
        <w:tc>
          <w:tcPr>
            <w:tcW w:w="1445"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2" w:hRule="atLeast"/>
        </w:trPr>
        <w:tc>
          <w:tcPr>
            <w:tcW w:w="722" w:type="dxa"/>
            <w:shd w:val="clear" w:color="auto" w:fill="auto"/>
            <w:tcMar>
              <w:top w:w="15" w:type="dxa"/>
              <w:left w:w="15" w:type="dxa"/>
              <w:right w:w="15" w:type="dxa"/>
            </w:tcMar>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w:t>
            </w:r>
          </w:p>
        </w:tc>
        <w:tc>
          <w:tcPr>
            <w:tcW w:w="2132"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隆林铝厂2025年6-12年残阳极销售项目</w:t>
            </w:r>
          </w:p>
        </w:tc>
        <w:tc>
          <w:tcPr>
            <w:tcW w:w="1056"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残阳极</w:t>
            </w:r>
          </w:p>
        </w:tc>
        <w:tc>
          <w:tcPr>
            <w:tcW w:w="1114" w:type="dxa"/>
            <w:shd w:val="clear" w:color="auto" w:fill="auto"/>
            <w:tcMar>
              <w:top w:w="15" w:type="dxa"/>
              <w:left w:w="15" w:type="dxa"/>
              <w:right w:w="15" w:type="dxa"/>
            </w:tcMar>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7000</w:t>
            </w:r>
          </w:p>
        </w:tc>
        <w:tc>
          <w:tcPr>
            <w:tcW w:w="1571"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p>
        </w:tc>
        <w:tc>
          <w:tcPr>
            <w:tcW w:w="1445" w:type="dxa"/>
            <w:shd w:val="clear" w:color="auto" w:fill="auto"/>
            <w:tcMar>
              <w:top w:w="15" w:type="dxa"/>
              <w:left w:w="15" w:type="dxa"/>
              <w:right w:w="15" w:type="dxa"/>
            </w:tcMar>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含13%增值税专用发票。</w:t>
            </w:r>
          </w:p>
        </w:tc>
      </w:tr>
    </w:tbl>
    <w:p>
      <w:pPr>
        <w:jc w:val="center"/>
        <w:rPr>
          <w:rFonts w:hint="eastAsia" w:ascii="微软雅黑" w:hAnsi="微软雅黑" w:eastAsia="微软雅黑" w:cs="微软雅黑"/>
          <w:color w:val="auto"/>
          <w:sz w:val="18"/>
          <w:szCs w:val="18"/>
          <w:lang w:val="en-US" w:eastAsia="zh-CN"/>
        </w:rPr>
      </w:pPr>
    </w:p>
    <w:p>
      <w:pPr>
        <w:pStyle w:val="4"/>
        <w:ind w:left="0" w:leftChars="0" w:firstLine="0" w:firstLineChars="0"/>
        <w:rPr>
          <w:rFonts w:hint="eastAsia" w:ascii="微软雅黑" w:hAnsi="微软雅黑" w:eastAsia="微软雅黑" w:cs="微软雅黑"/>
          <w:color w:val="auto"/>
        </w:rPr>
      </w:pPr>
      <w:r>
        <w:rPr>
          <w:rFonts w:hint="eastAsia" w:ascii="微软雅黑" w:hAnsi="微软雅黑" w:eastAsia="微软雅黑" w:cs="微软雅黑"/>
          <w:color w:val="auto"/>
          <w:sz w:val="18"/>
          <w:szCs w:val="16"/>
          <w:lang w:val="en-US" w:eastAsia="zh-CN"/>
        </w:rPr>
        <w:t>注：根据所参加对应标段填写，如只参加标段一田阳铝厂，则只需填写对应标段的单价及总价。</w:t>
      </w:r>
    </w:p>
    <w:p>
      <w:pPr>
        <w:pStyle w:val="2"/>
        <w:rPr>
          <w:rFonts w:hint="eastAsia" w:ascii="微软雅黑" w:hAnsi="微软雅黑" w:eastAsia="微软雅黑" w:cs="微软雅黑"/>
          <w:bCs/>
          <w:color w:val="auto"/>
          <w:sz w:val="24"/>
          <w:szCs w:val="24"/>
          <w:highlight w:val="none"/>
          <w:lang w:val="en-US" w:eastAsia="zh-CN"/>
        </w:rPr>
      </w:pPr>
    </w:p>
    <w:p>
      <w:pPr>
        <w:pStyle w:val="2"/>
        <w:rPr>
          <w:rFonts w:hint="eastAsia" w:ascii="微软雅黑" w:hAnsi="微软雅黑" w:eastAsia="微软雅黑" w:cs="微软雅黑"/>
          <w:bCs w:val="0"/>
          <w:color w:val="auto"/>
          <w:kern w:val="0"/>
          <w:sz w:val="22"/>
          <w:szCs w:val="22"/>
          <w:highlight w:val="none"/>
          <w:lang w:val="en-US" w:eastAsia="zh-CN"/>
        </w:rPr>
      </w:pPr>
      <w:r>
        <w:rPr>
          <w:rFonts w:hint="eastAsia" w:ascii="微软雅黑" w:hAnsi="微软雅黑" w:eastAsia="微软雅黑" w:cs="微软雅黑"/>
          <w:bCs w:val="0"/>
          <w:color w:val="auto"/>
          <w:kern w:val="0"/>
          <w:sz w:val="22"/>
          <w:szCs w:val="22"/>
          <w:highlight w:val="none"/>
          <w:lang w:val="en-US" w:eastAsia="zh-CN"/>
        </w:rPr>
        <w:t>说明：1.预计数量为估量，实际数量会有增减，以实际为准；</w:t>
      </w:r>
    </w:p>
    <w:p>
      <w:pPr>
        <w:pStyle w:val="2"/>
        <w:ind w:firstLine="660" w:firstLineChars="300"/>
        <w:rPr>
          <w:rFonts w:hint="eastAsia" w:ascii="微软雅黑" w:hAnsi="微软雅黑" w:eastAsia="微软雅黑" w:cs="微软雅黑"/>
          <w:bCs w:val="0"/>
          <w:color w:val="auto"/>
          <w:kern w:val="0"/>
          <w:sz w:val="22"/>
          <w:szCs w:val="22"/>
          <w:highlight w:val="none"/>
          <w:lang w:val="en-US" w:eastAsia="zh-CN"/>
        </w:rPr>
      </w:pPr>
      <w:r>
        <w:rPr>
          <w:rFonts w:hint="eastAsia" w:ascii="微软雅黑" w:hAnsi="微软雅黑" w:eastAsia="微软雅黑" w:cs="微软雅黑"/>
          <w:bCs w:val="0"/>
          <w:color w:val="auto"/>
          <w:kern w:val="0"/>
          <w:sz w:val="22"/>
          <w:szCs w:val="22"/>
          <w:highlight w:val="none"/>
          <w:lang w:val="en-US" w:eastAsia="zh-CN"/>
        </w:rPr>
        <w:t>2.本项目报价应包含残阳极费、税费、装卸费等与履行本合同相关的全部费用 ；</w:t>
      </w:r>
    </w:p>
    <w:p>
      <w:pPr>
        <w:pStyle w:val="2"/>
        <w:ind w:firstLine="660" w:firstLineChars="300"/>
        <w:rPr>
          <w:rFonts w:hint="eastAsia" w:ascii="微软雅黑" w:hAnsi="微软雅黑" w:eastAsia="微软雅黑" w:cs="微软雅黑"/>
          <w:bCs w:val="0"/>
          <w:color w:val="auto"/>
          <w:kern w:val="0"/>
          <w:sz w:val="22"/>
          <w:szCs w:val="22"/>
          <w:highlight w:val="none"/>
          <w:lang w:val="en-US" w:eastAsia="zh-CN"/>
        </w:rPr>
      </w:pPr>
      <w:r>
        <w:rPr>
          <w:rFonts w:hint="eastAsia" w:ascii="微软雅黑" w:hAnsi="微软雅黑" w:eastAsia="微软雅黑" w:cs="微软雅黑"/>
          <w:bCs w:val="0"/>
          <w:color w:val="auto"/>
          <w:kern w:val="0"/>
          <w:sz w:val="22"/>
          <w:szCs w:val="22"/>
          <w:highlight w:val="none"/>
          <w:lang w:val="en-US" w:eastAsia="zh-CN"/>
        </w:rPr>
        <w:t>3.报价方式：单价；报价单位：人民币 元/吨、元；定价方式：人民币 元/吨。</w:t>
      </w:r>
    </w:p>
    <w:p>
      <w:pPr>
        <w:pageBreakBefore w:val="0"/>
        <w:kinsoku/>
        <w:overflowPunct/>
        <w:topLinePunct w:val="0"/>
        <w:bidi w:val="0"/>
        <w:spacing w:line="500" w:lineRule="exact"/>
        <w:ind w:right="0" w:rightChars="0" w:firstLine="440" w:firstLineChars="200"/>
        <w:jc w:val="left"/>
        <w:rPr>
          <w:rFonts w:hint="eastAsia" w:ascii="微软雅黑" w:hAnsi="微软雅黑" w:eastAsia="微软雅黑" w:cs="微软雅黑"/>
          <w:b/>
          <w:bCs/>
          <w:color w:val="auto"/>
          <w:kern w:val="0"/>
          <w:sz w:val="22"/>
          <w:szCs w:val="22"/>
        </w:rPr>
      </w:pPr>
      <w:r>
        <w:rPr>
          <w:rFonts w:hint="eastAsia" w:ascii="微软雅黑" w:hAnsi="微软雅黑" w:eastAsia="微软雅黑" w:cs="微软雅黑"/>
          <w:b/>
          <w:bCs/>
          <w:color w:val="auto"/>
          <w:kern w:val="0"/>
          <w:sz w:val="22"/>
          <w:szCs w:val="22"/>
        </w:rPr>
        <w:t xml:space="preserve">                             </w:t>
      </w:r>
    </w:p>
    <w:p>
      <w:pPr>
        <w:pageBreakBefore w:val="0"/>
        <w:kinsoku/>
        <w:overflowPunct/>
        <w:topLinePunct w:val="0"/>
        <w:bidi w:val="0"/>
        <w:spacing w:line="500" w:lineRule="exact"/>
        <w:ind w:right="0" w:rightChars="0" w:firstLine="0" w:firstLineChars="0"/>
        <w:jc w:val="left"/>
        <w:rPr>
          <w:rFonts w:hint="eastAsia" w:ascii="微软雅黑" w:hAnsi="微软雅黑" w:eastAsia="微软雅黑" w:cs="微软雅黑"/>
          <w:b/>
          <w:bCs/>
          <w:color w:val="auto"/>
          <w:kern w:val="0"/>
          <w:sz w:val="22"/>
          <w:szCs w:val="22"/>
        </w:rPr>
      </w:pPr>
    </w:p>
    <w:p>
      <w:pPr>
        <w:pageBreakBefore w:val="0"/>
        <w:kinsoku/>
        <w:overflowPunct/>
        <w:topLinePunct w:val="0"/>
        <w:bidi w:val="0"/>
        <w:spacing w:line="500" w:lineRule="exact"/>
        <w:ind w:right="0" w:rightChars="0" w:firstLine="3300" w:firstLineChars="1500"/>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法定代表人(或授权代表)签字：</w:t>
      </w:r>
      <w:r>
        <w:rPr>
          <w:rFonts w:hint="eastAsia" w:ascii="微软雅黑" w:hAnsi="微软雅黑" w:eastAsia="微软雅黑" w:cs="微软雅黑"/>
          <w:color w:val="auto"/>
          <w:kern w:val="0"/>
          <w:sz w:val="22"/>
          <w:szCs w:val="22"/>
          <w:u w:val="single"/>
        </w:rPr>
        <w:t xml:space="preserve">                 </w:t>
      </w:r>
      <w:r>
        <w:rPr>
          <w:rFonts w:hint="eastAsia" w:ascii="微软雅黑" w:hAnsi="微软雅黑" w:eastAsia="微软雅黑" w:cs="微软雅黑"/>
          <w:color w:val="auto"/>
          <w:kern w:val="0"/>
          <w:sz w:val="22"/>
          <w:szCs w:val="22"/>
        </w:rPr>
        <w:t xml:space="preserve">               </w:t>
      </w:r>
    </w:p>
    <w:p>
      <w:pPr>
        <w:pageBreakBefore w:val="0"/>
        <w:kinsoku/>
        <w:overflowPunct/>
        <w:topLinePunct w:val="0"/>
        <w:bidi w:val="0"/>
        <w:spacing w:line="500" w:lineRule="exact"/>
        <w:ind w:right="0" w:rightChars="0" w:firstLine="3300" w:firstLineChars="1500"/>
        <w:jc w:val="left"/>
        <w:rPr>
          <w:rFonts w:hint="eastAsia" w:ascii="微软雅黑" w:hAnsi="微软雅黑" w:eastAsia="微软雅黑" w:cs="微软雅黑"/>
          <w:color w:val="auto"/>
          <w:kern w:val="0"/>
          <w:sz w:val="22"/>
          <w:szCs w:val="22"/>
          <w:u w:val="single"/>
        </w:rPr>
      </w:pPr>
      <w:r>
        <w:rPr>
          <w:rFonts w:hint="eastAsia" w:ascii="微软雅黑" w:hAnsi="微软雅黑" w:eastAsia="微软雅黑" w:cs="微软雅黑"/>
          <w:color w:val="auto"/>
          <w:kern w:val="0"/>
          <w:sz w:val="22"/>
          <w:szCs w:val="22"/>
        </w:rPr>
        <w:t>投标单位（盖章）：</w:t>
      </w:r>
      <w:r>
        <w:rPr>
          <w:rFonts w:hint="eastAsia" w:ascii="微软雅黑" w:hAnsi="微软雅黑" w:eastAsia="微软雅黑" w:cs="微软雅黑"/>
          <w:color w:val="auto"/>
          <w:kern w:val="0"/>
          <w:sz w:val="22"/>
          <w:szCs w:val="22"/>
          <w:u w:val="single"/>
        </w:rPr>
        <w:t xml:space="preserve">                           </w:t>
      </w:r>
    </w:p>
    <w:p>
      <w:pPr>
        <w:pageBreakBefore w:val="0"/>
        <w:kinsoku/>
        <w:overflowPunct/>
        <w:topLinePunct w:val="0"/>
        <w:bidi w:val="0"/>
        <w:spacing w:line="500" w:lineRule="exact"/>
        <w:ind w:right="0" w:rightChars="0" w:firstLine="3300" w:firstLineChars="1500"/>
        <w:jc w:val="left"/>
        <w:rPr>
          <w:rFonts w:hint="eastAsia" w:ascii="微软雅黑" w:hAnsi="微软雅黑" w:eastAsia="微软雅黑" w:cs="微软雅黑"/>
          <w:color w:val="auto"/>
          <w:kern w:val="0"/>
          <w:sz w:val="22"/>
          <w:szCs w:val="22"/>
          <w:u w:val="single"/>
        </w:rPr>
      </w:pPr>
      <w:r>
        <w:rPr>
          <w:rFonts w:hint="eastAsia" w:ascii="微软雅黑" w:hAnsi="微软雅黑" w:eastAsia="微软雅黑" w:cs="微软雅黑"/>
          <w:color w:val="auto"/>
          <w:kern w:val="0"/>
          <w:sz w:val="22"/>
          <w:szCs w:val="22"/>
        </w:rPr>
        <w:t>日期：</w:t>
      </w:r>
      <w:r>
        <w:rPr>
          <w:rFonts w:hint="eastAsia" w:ascii="微软雅黑" w:hAnsi="微软雅黑" w:eastAsia="微软雅黑" w:cs="微软雅黑"/>
          <w:color w:val="auto"/>
          <w:kern w:val="0"/>
          <w:sz w:val="22"/>
          <w:szCs w:val="22"/>
          <w:u w:val="single"/>
        </w:rPr>
        <w:t xml:space="preserve">               </w:t>
      </w:r>
    </w:p>
    <w:p>
      <w:pPr>
        <w:pStyle w:val="2"/>
        <w:rPr>
          <w:rFonts w:hint="eastAsia" w:ascii="微软雅黑" w:hAnsi="微软雅黑" w:eastAsia="微软雅黑" w:cs="微软雅黑"/>
          <w:color w:val="auto"/>
          <w:kern w:val="0"/>
          <w:sz w:val="22"/>
          <w:szCs w:val="22"/>
          <w:u w:val="single"/>
        </w:rPr>
      </w:pPr>
    </w:p>
    <w:p>
      <w:pPr>
        <w:pStyle w:val="2"/>
        <w:rPr>
          <w:rFonts w:hint="eastAsia" w:ascii="微软雅黑" w:hAnsi="微软雅黑" w:eastAsia="微软雅黑" w:cs="微软雅黑"/>
          <w:color w:val="auto"/>
          <w:kern w:val="0"/>
          <w:sz w:val="22"/>
          <w:szCs w:val="22"/>
          <w:u w:val="single"/>
        </w:rPr>
      </w:pPr>
    </w:p>
    <w:p>
      <w:pPr>
        <w:pStyle w:val="2"/>
        <w:rPr>
          <w:rFonts w:hint="eastAsia" w:ascii="微软雅黑" w:hAnsi="微软雅黑" w:eastAsia="微软雅黑" w:cs="微软雅黑"/>
          <w:color w:val="auto"/>
          <w:kern w:val="0"/>
          <w:sz w:val="22"/>
          <w:szCs w:val="22"/>
          <w:u w:val="single"/>
        </w:rPr>
      </w:pPr>
    </w:p>
    <w:p>
      <w:pPr>
        <w:pStyle w:val="2"/>
        <w:rPr>
          <w:rFonts w:hint="eastAsia" w:ascii="微软雅黑" w:hAnsi="微软雅黑" w:eastAsia="微软雅黑" w:cs="微软雅黑"/>
          <w:color w:val="auto"/>
          <w:kern w:val="0"/>
          <w:sz w:val="22"/>
          <w:szCs w:val="22"/>
          <w:u w:val="single"/>
        </w:rPr>
      </w:pPr>
    </w:p>
    <w:p>
      <w:pPr>
        <w:pStyle w:val="2"/>
        <w:rPr>
          <w:rFonts w:hint="eastAsia" w:ascii="微软雅黑" w:hAnsi="微软雅黑" w:eastAsia="微软雅黑" w:cs="微软雅黑"/>
          <w:color w:val="auto"/>
          <w:kern w:val="0"/>
          <w:sz w:val="22"/>
          <w:szCs w:val="22"/>
          <w:u w:val="single"/>
        </w:rPr>
      </w:pPr>
    </w:p>
    <w:p>
      <w:pPr>
        <w:pStyle w:val="2"/>
        <w:rPr>
          <w:rFonts w:hint="eastAsia" w:ascii="微软雅黑" w:hAnsi="微软雅黑" w:eastAsia="微软雅黑" w:cs="微软雅黑"/>
          <w:color w:val="auto"/>
          <w:kern w:val="0"/>
          <w:sz w:val="22"/>
          <w:szCs w:val="22"/>
          <w:u w:val="single"/>
        </w:rPr>
      </w:pPr>
    </w:p>
    <w:p>
      <w:pPr>
        <w:keepLines w:val="0"/>
        <w:pageBreakBefore w:val="0"/>
        <w:numPr>
          <w:ilvl w:val="0"/>
          <w:numId w:val="0"/>
        </w:numPr>
        <w:kinsoku/>
        <w:wordWrap/>
        <w:overflowPunct/>
        <w:topLinePunct w:val="0"/>
        <w:bidi w:val="0"/>
        <w:spacing w:beforeAutospacing="0" w:afterAutospacing="0" w:line="240" w:lineRule="auto"/>
        <w:rPr>
          <w:rFonts w:hint="default" w:ascii="微软雅黑" w:hAnsi="微软雅黑" w:eastAsia="微软雅黑" w:cs="微软雅黑"/>
          <w:b/>
          <w:bCs/>
          <w:i w:val="0"/>
          <w:iCs w:val="0"/>
          <w:color w:val="auto"/>
          <w:sz w:val="28"/>
          <w:szCs w:val="28"/>
          <w:highlight w:val="none"/>
          <w:u w:val="none"/>
          <w:lang w:val="en-US" w:eastAsia="zh-CN"/>
        </w:rPr>
      </w:pPr>
      <w:bookmarkStart w:id="0" w:name="_Toc23869"/>
      <w:bookmarkStart w:id="1" w:name="_Toc31805"/>
      <w:bookmarkStart w:id="2" w:name="_Toc15945"/>
      <w:r>
        <w:rPr>
          <w:rFonts w:hint="eastAsia" w:ascii="微软雅黑" w:hAnsi="微软雅黑" w:eastAsia="微软雅黑" w:cs="微软雅黑"/>
          <w:b/>
          <w:bCs/>
          <w:i w:val="0"/>
          <w:iCs w:val="0"/>
          <w:color w:val="auto"/>
          <w:kern w:val="2"/>
          <w:sz w:val="28"/>
          <w:szCs w:val="28"/>
          <w:lang w:val="en-US" w:eastAsia="zh-CN" w:bidi="ar-SA"/>
        </w:rPr>
        <w:t>附件2：</w:t>
      </w:r>
      <w:r>
        <w:rPr>
          <w:rFonts w:hint="eastAsia" w:ascii="微软雅黑" w:hAnsi="微软雅黑" w:eastAsia="微软雅黑" w:cs="微软雅黑"/>
          <w:b/>
          <w:bCs/>
          <w:i w:val="0"/>
          <w:iCs w:val="0"/>
          <w:color w:val="auto"/>
          <w:sz w:val="28"/>
          <w:szCs w:val="28"/>
          <w:highlight w:val="none"/>
          <w:u w:val="none"/>
          <w:lang w:eastAsia="zh-CN"/>
        </w:rPr>
        <w:t>公司印鉴信息</w:t>
      </w:r>
      <w:r>
        <w:rPr>
          <w:rFonts w:hint="eastAsia" w:ascii="微软雅黑" w:hAnsi="微软雅黑" w:eastAsia="微软雅黑" w:cs="微软雅黑"/>
          <w:b/>
          <w:bCs/>
          <w:i w:val="0"/>
          <w:iCs w:val="0"/>
          <w:color w:val="auto"/>
          <w:sz w:val="28"/>
          <w:szCs w:val="28"/>
          <w:highlight w:val="none"/>
          <w:u w:val="none"/>
          <w:lang w:val="en-US" w:eastAsia="zh-CN"/>
        </w:rPr>
        <w:t>模板</w:t>
      </w:r>
    </w:p>
    <w:p>
      <w:pPr>
        <w:spacing w:line="240" w:lineRule="atLeas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公司印鉴信息留存</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单位全称：</w:t>
            </w:r>
          </w:p>
          <w:p>
            <w:pPr>
              <w:pStyle w:val="4"/>
              <w:rPr>
                <w:rFonts w:hint="eastAsia" w:ascii="微软雅黑" w:hAnsi="微软雅黑" w:eastAsia="微软雅黑" w:cs="微软雅黑"/>
                <w:color w:val="auto"/>
              </w:rPr>
            </w:pPr>
          </w:p>
        </w:tc>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开户银行全称：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联系人及电话：</w:t>
            </w:r>
          </w:p>
        </w:tc>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bookmarkStart w:id="3" w:name="_GoBack"/>
            <w:bookmarkEnd w:id="3"/>
            <w:r>
              <w:rPr>
                <w:rFonts w:hint="eastAsia" w:ascii="微软雅黑" w:hAnsi="微软雅黑" w:eastAsia="微软雅黑" w:cs="微软雅黑"/>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加盖单位公章</w:t>
            </w:r>
          </w:p>
        </w:tc>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加盖单位</w:t>
            </w:r>
            <w:r>
              <w:rPr>
                <w:rFonts w:hint="eastAsia" w:ascii="微软雅黑" w:hAnsi="微软雅黑" w:eastAsia="微软雅黑" w:cs="微软雅黑"/>
                <w:color w:val="auto"/>
                <w:sz w:val="24"/>
                <w:szCs w:val="24"/>
                <w:highlight w:val="none"/>
                <w:lang w:val="en-US" w:eastAsia="zh-CN"/>
              </w:rPr>
              <w:t>合</w:t>
            </w:r>
            <w:r>
              <w:rPr>
                <w:rFonts w:hint="eastAsia" w:ascii="微软雅黑" w:hAnsi="微软雅黑" w:eastAsia="微软雅黑" w:cs="微软雅黑"/>
                <w:color w:val="auto"/>
                <w:sz w:val="24"/>
                <w:szCs w:val="24"/>
                <w:highlight w:val="none"/>
              </w:rPr>
              <w:t>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加盖单位财务专用章</w:t>
            </w:r>
          </w:p>
        </w:tc>
        <w:tc>
          <w:tcPr>
            <w:tcW w:w="4261" w:type="dxa"/>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留存日期：</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至 </w:t>
            </w:r>
            <w:r>
              <w:rPr>
                <w:rFonts w:hint="eastAsia" w:ascii="微软雅黑" w:hAnsi="微软雅黑" w:eastAsia="微软雅黑" w:cs="微软雅黑"/>
                <w:color w:val="auto"/>
                <w:sz w:val="24"/>
                <w:szCs w:val="24"/>
                <w:highlight w:val="none"/>
                <w:lang w:val="en-US" w:eastAsia="zh-CN"/>
              </w:rPr>
              <w:t>2026</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31</w:t>
            </w:r>
            <w:r>
              <w:rPr>
                <w:rFonts w:hint="eastAsia" w:ascii="微软雅黑" w:hAnsi="微软雅黑" w:eastAsia="微软雅黑" w:cs="微软雅黑"/>
                <w:color w:val="auto"/>
                <w:sz w:val="24"/>
                <w:szCs w:val="24"/>
                <w:highlight w:val="none"/>
              </w:rPr>
              <w:t>日</w:t>
            </w:r>
          </w:p>
        </w:tc>
      </w:tr>
    </w:tbl>
    <w:p>
      <w:pPr>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注：（1）如我公司在本表格提交贵司后发生印章信息变更，我公司会及时通知贵公司；</w:t>
      </w:r>
    </w:p>
    <w:p>
      <w:pPr>
        <w:numPr>
          <w:ilvl w:val="0"/>
          <w:numId w:val="1"/>
        </w:numPr>
        <w:spacing w:line="240" w:lineRule="atLeast"/>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highlight w:val="none"/>
        </w:rPr>
        <w:t>即日起我公司所有业务往来均以此印签为准；单位名称与合同主体名称保持一致。</w:t>
      </w:r>
    </w:p>
    <w:bookmarkEnd w:id="0"/>
    <w:bookmarkEnd w:id="1"/>
    <w:bookmarkEnd w:id="2"/>
    <w:p>
      <w:pPr>
        <w:pStyle w:val="2"/>
        <w:rPr>
          <w:rFonts w:hint="eastAsia" w:ascii="微软雅黑" w:hAnsi="微软雅黑" w:eastAsia="微软雅黑" w:cs="微软雅黑"/>
          <w:color w:val="auto"/>
          <w:kern w:val="0"/>
          <w:sz w:val="22"/>
          <w:szCs w:val="2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DCB77"/>
    <w:multiLevelType w:val="singleLevel"/>
    <w:tmpl w:val="AD4DCB7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OGJmNzc5ODgyYWE5ZGRiNzBlMzQ1YTU4N2Q1YzIifQ=="/>
  </w:docVars>
  <w:rsids>
    <w:rsidRoot w:val="79E05E0D"/>
    <w:rsid w:val="093B09F2"/>
    <w:rsid w:val="0A11678E"/>
    <w:rsid w:val="0CA14B5B"/>
    <w:rsid w:val="0D8D2CC7"/>
    <w:rsid w:val="22ED0C3A"/>
    <w:rsid w:val="517A34AA"/>
    <w:rsid w:val="55257EBD"/>
    <w:rsid w:val="79E05E0D"/>
    <w:rsid w:val="7A06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paragraph" w:styleId="4">
    <w:name w:val="Normal Indent"/>
    <w:basedOn w:val="1"/>
    <w:unhideWhenUsed/>
    <w:qFormat/>
    <w:uiPriority w:val="99"/>
    <w:pPr>
      <w:ind w:firstLine="420"/>
    </w:pPr>
    <w:rPr>
      <w:rFonts w:eastAsia="宋体"/>
      <w:sz w:val="21"/>
    </w:rPr>
  </w:style>
  <w:style w:type="paragraph" w:styleId="5">
    <w:name w:val="Body Text"/>
    <w:basedOn w:val="1"/>
    <w:semiHidden/>
    <w:qFormat/>
    <w:uiPriority w:val="0"/>
    <w:rPr>
      <w:rFonts w:ascii="宋体" w:hAnsi="宋体" w:eastAsia="宋体" w:cs="宋体"/>
      <w:sz w:val="31"/>
      <w:szCs w:val="31"/>
      <w:lang w:val="en-US" w:eastAsia="en-US"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3890</Words>
  <Characters>4306</Characters>
  <Lines>0</Lines>
  <Paragraphs>0</Paragraphs>
  <TotalTime>1</TotalTime>
  <ScaleCrop>false</ScaleCrop>
  <LinksUpToDate>false</LinksUpToDate>
  <CharactersWithSpaces>4516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2025-04-24T10:41:00Z</dcterms:created>
  <dc:creator>华容道</dc:creator>
  <cp:lastModifiedBy>华容道</cp:lastModifiedBy>
  <dcterms:modified xsi:type="dcterms:W3CDTF">2025-05-07T08:07:19Z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D2164C30C9784EA685D822D5666E8764_13</vt:lpwstr>
  </property>
  <property fmtid="{D5CDD505-2E9C-101B-9397-08002B2CF9AE}" pid="4" name="EagleCloud">
    <vt:lpwstr>61676334b4e8422151e43967553014381f5e06876ebe2bbce66cedec39aecaace13a7a50d2e78fc24905f2d5154311578a0e5fc394e36f282ab0e14a9446605c39364240fb3cb2ed3f5b47b5a74b7b51f456eb754bd41a1f777fb5e0de713729bf2dd237f77e82317ab82e2f99a550b7fa6030912f1fc435e980f5fa764b810</vt:lpwstr>
  </property>
  <property fmtid="{D5CDD505-2E9C-101B-9397-08002B2CF9AE}" pid="5" name="EagleCloud1">
    <vt:lpwstr>4e3879312731ee4a2c516c147a4514ce1078f2156139312ca3100fdf0455b12e2648dd407125c291569edf3fda71096ba4253f94a6b7a9196e8fdbfa8684ffa05ef9d766875e12a39f1850c25766066e5b38379442b5211035d0725354a02fcda91ccc760d07aacfc3871c192be1cb55262925be59bf90108c585f907683d0b</vt:lpwstr>
  </property>
  <property fmtid="{D5CDD505-2E9C-101B-9397-08002B2CF9AE}" pid="6" name="EagleCloud2">
    <vt:lpwstr>15b0f7092d36e64f853d3b3646fd04d32d90869d525da7962dc7e5d26a48850a1739c2d6f8e18d653e9f50679864348e2544e5f0b3fe5901475cb4f2e49fa621b7a91e41f1ebd5c48b9c85521939c2e1b3d8d14c880875f5509f05e04ee5f6ce3f51632e5a96d152bcd2fc04ffcc6961efdb09b65b814969e8ff0fe90ebd1a9</vt:lpwstr>
  </property>
  <property fmtid="{D5CDD505-2E9C-101B-9397-08002B2CF9AE}" pid="7" name="EagleCloud3">
    <vt:lpwstr>f17254632485c398a1fa0ad06ec55915b75e71b1e7a2b7e242acef8abddefa4f069677ecd3ce506c6242d2f77a50fdf35c263e013bf53d4c5615fc29eabf3e00a84</vt:lpwstr>
  </property>
</Properties>
</file>