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ACD51">
      <w:pPr>
        <w:jc w:val="cente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广西百矿新材料技术有限公司2025年金属镁采购</w:t>
      </w:r>
    </w:p>
    <w:p w14:paraId="4169F9D0">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b/>
          <w:sz w:val="32"/>
          <w:szCs w:val="32"/>
          <w:lang w:val="en-US" w:eastAsia="zh-CN"/>
        </w:rPr>
        <w:t>项目</w:t>
      </w:r>
      <w:r>
        <w:rPr>
          <w:rFonts w:hint="eastAsia" w:ascii="微软雅黑" w:hAnsi="微软雅黑" w:eastAsia="微软雅黑" w:cs="Times New Roman"/>
          <w:b/>
          <w:sz w:val="32"/>
          <w:szCs w:val="32"/>
          <w:lang w:val="en-US" w:eastAsia="zh-CN"/>
        </w:rPr>
        <w:t>邀请书</w:t>
      </w:r>
    </w:p>
    <w:p w14:paraId="5C2AD452">
      <w:pPr>
        <w:pStyle w:val="22"/>
        <w:rPr>
          <w:rFonts w:hint="eastAsia"/>
          <w:lang w:val="en-US" w:eastAsia="zh-CN"/>
        </w:rPr>
      </w:pPr>
    </w:p>
    <w:p w14:paraId="03548E49">
      <w:pPr>
        <w:pStyle w:val="2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14:paraId="42B53597">
      <w:pPr>
        <w:pStyle w:val="31"/>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14:paraId="5C4DC12A">
      <w:pPr>
        <w:spacing w:line="400" w:lineRule="exact"/>
        <w:rPr>
          <w:rFonts w:hint="eastAsia" w:ascii="宋体" w:hAnsi="宋体" w:eastAsia="宋体" w:cs="宋体"/>
          <w:sz w:val="24"/>
          <w:lang w:val="en-US" w:eastAsia="zh-CN"/>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sz w:val="24"/>
          <w:szCs w:val="24"/>
          <w:u w:val="single"/>
          <w:lang w:val="en-US" w:eastAsia="zh-CN"/>
        </w:rPr>
        <w:t>金属镁采购</w:t>
      </w:r>
      <w:r>
        <w:rPr>
          <w:rFonts w:hint="eastAsia" w:ascii="宋体" w:hAnsi="宋体"/>
          <w:sz w:val="24"/>
          <w:szCs w:val="24"/>
          <w:u w:val="single"/>
          <w:lang w:val="en-US" w:eastAsia="zh-CN"/>
        </w:rPr>
        <w:t>广西百矿新材料技术有限公司2025年金属镁采购项目</w:t>
      </w:r>
      <w:r>
        <w:rPr>
          <w:rFonts w:hint="eastAsia" w:ascii="宋体" w:hAnsi="宋体" w:eastAsia="宋体" w:cs="宋体"/>
          <w:sz w:val="24"/>
          <w:lang w:val="en-US" w:eastAsia="zh-CN"/>
        </w:rPr>
        <w:t>已具备采购条件，现邀请贵司参与本项目报单。</w:t>
      </w:r>
    </w:p>
    <w:p w14:paraId="454684CD">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14:paraId="58FBB895">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14:paraId="13637936">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广西百矿新材料技术有限公司2025年金属镁采购项目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14:paraId="7E5B0C67">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14:paraId="133D21A9">
      <w:pPr>
        <w:pStyle w:val="22"/>
        <w:rPr>
          <w:rFonts w:hint="eastAsia" w:ascii="宋体" w:hAnsi="宋体" w:eastAsia="宋体" w:cs="宋体"/>
          <w:b/>
          <w:bCs/>
          <w:sz w:val="24"/>
          <w:szCs w:val="24"/>
        </w:rPr>
      </w:pPr>
    </w:p>
    <w:tbl>
      <w:tblPr>
        <w:tblStyle w:val="12"/>
        <w:tblW w:w="8703" w:type="dxa"/>
        <w:tblInd w:w="0" w:type="dxa"/>
        <w:shd w:val="clear" w:color="auto" w:fill="auto"/>
        <w:tblLayout w:type="fixed"/>
        <w:tblCellMar>
          <w:top w:w="0" w:type="dxa"/>
          <w:left w:w="0" w:type="dxa"/>
          <w:bottom w:w="0" w:type="dxa"/>
          <w:right w:w="0" w:type="dxa"/>
        </w:tblCellMar>
      </w:tblPr>
      <w:tblGrid>
        <w:gridCol w:w="1183"/>
        <w:gridCol w:w="2107"/>
        <w:gridCol w:w="2356"/>
        <w:gridCol w:w="1177"/>
        <w:gridCol w:w="1880"/>
      </w:tblGrid>
      <w:tr w14:paraId="15EA52D2">
        <w:tblPrEx>
          <w:shd w:val="clear" w:color="auto" w:fill="auto"/>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6F4B73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1DF29C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3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725B94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17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A74DCC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F82EFC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用量</w:t>
            </w:r>
          </w:p>
        </w:tc>
      </w:tr>
      <w:tr w14:paraId="0B5E073A">
        <w:tblPrEx>
          <w:shd w:val="clear" w:color="auto" w:fill="auto"/>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14:paraId="1D94AF5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合金类</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D165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金属镁（大）</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14:paraId="2DCCAB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Mg≥99.90，7.5千克/锭</w:t>
            </w:r>
          </w:p>
          <w:p w14:paraId="58BAA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（详见质量技术标准）</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9BF53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D22D074">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200</w:t>
            </w:r>
          </w:p>
        </w:tc>
      </w:tr>
      <w:tr w14:paraId="1542FE1B">
        <w:tblPrEx>
          <w:shd w:val="clear" w:color="auto" w:fill="auto"/>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42F44B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662D2B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金属镁（小）</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14:paraId="27D707E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Mg≥99.90，0.3千克/锭</w:t>
            </w:r>
          </w:p>
          <w:p w14:paraId="7C1BC4A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（详见质量要求细则）</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FC649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3836B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14:paraId="380609F5">
        <w:tblPrEx>
          <w:shd w:val="clear" w:color="auto" w:fill="auto"/>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D9FC1B0">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备注：以上表格计划用量为年度预估数量，不作为招标方招标数量的任何承诺，后期具体采购量以实际采购订单为准。</w:t>
            </w:r>
          </w:p>
        </w:tc>
      </w:tr>
    </w:tbl>
    <w:p w14:paraId="7E3839E5">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14:paraId="581729D2">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14:paraId="31D2A58C">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14:paraId="3E07FFB1">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广西百矿新材料技术有限公司辅料仓库内；</w:t>
      </w:r>
    </w:p>
    <w:p w14:paraId="69B55758">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14:paraId="00A982CF">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收到中标通知书后根据采购订单15日内交付，其余部分以具体以甲方通知为准。</w:t>
      </w:r>
    </w:p>
    <w:p w14:paraId="415E9205">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14:paraId="215FA44C">
      <w:pPr>
        <w:keepNext w:val="0"/>
        <w:keepLines w:val="0"/>
        <w:widowControl/>
        <w:suppressLineNumbers w:val="0"/>
        <w:ind w:firstLine="480" w:firstLineChars="200"/>
        <w:jc w:val="both"/>
        <w:rPr>
          <w:rFonts w:hint="eastAsia"/>
        </w:rPr>
      </w:pPr>
      <w:r>
        <w:rPr>
          <w:rFonts w:hint="eastAsia" w:ascii="宋体" w:hAnsi="宋体" w:eastAsia="宋体" w:cs="宋体"/>
          <w:b w:val="0"/>
          <w:bCs w:val="0"/>
          <w:color w:val="000000"/>
          <w:sz w:val="24"/>
          <w:szCs w:val="24"/>
          <w:lang w:eastAsia="zh-CN"/>
        </w:rPr>
        <w:t>详见附件《</w:t>
      </w:r>
      <w:r>
        <w:rPr>
          <w:rFonts w:hint="eastAsia" w:ascii="宋体" w:hAnsi="宋体" w:eastAsia="宋体" w:cs="宋体"/>
          <w:b w:val="0"/>
          <w:bCs w:val="0"/>
          <w:color w:val="000000"/>
          <w:sz w:val="24"/>
          <w:szCs w:val="24"/>
          <w:lang w:val="en-US" w:eastAsia="zh-CN"/>
        </w:rPr>
        <w:t>金属镁技术质量标准</w:t>
      </w:r>
      <w:r>
        <w:rPr>
          <w:rFonts w:hint="eastAsia" w:ascii="宋体" w:hAnsi="宋体" w:eastAsia="宋体" w:cs="宋体"/>
          <w:b w:val="0"/>
          <w:bCs w:val="0"/>
          <w:color w:val="000000"/>
          <w:sz w:val="24"/>
          <w:szCs w:val="24"/>
          <w:lang w:eastAsia="zh-CN"/>
        </w:rPr>
        <w:t>》</w:t>
      </w:r>
    </w:p>
    <w:p w14:paraId="6EE2DD0A">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14:paraId="192B7600">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14:paraId="6328E73E">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14:paraId="00043B23">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14:paraId="3483E06C">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14:paraId="08FFF967">
      <w:pPr>
        <w:pStyle w:val="22"/>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业绩要求：最近三年内有相关业绩不少于1个/年；(平台报名时上传营业执照及业绩合同)</w:t>
      </w:r>
    </w:p>
    <w:p w14:paraId="5588BE23">
      <w:pPr>
        <w:pStyle w:val="10"/>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p>
    <w:p w14:paraId="50D517C7">
      <w:pPr>
        <w:pStyle w:val="10"/>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sz w:val="24"/>
          <w:szCs w:val="24"/>
          <w:lang w:eastAsia="zh-CN"/>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14:paraId="3771AB43">
      <w:pPr>
        <w:keepNext w:val="0"/>
        <w:keepLines w:val="0"/>
        <w:pageBreakBefore w:val="0"/>
        <w:numPr>
          <w:ilvl w:val="0"/>
          <w:numId w:val="1"/>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14:paraId="1BE69414">
      <w:pPr>
        <w:pStyle w:val="10"/>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4.1定价方式</w:t>
      </w:r>
    </w:p>
    <w:p w14:paraId="5D00327F">
      <w:pPr>
        <w:keepNext w:val="0"/>
        <w:keepLines w:val="0"/>
        <w:pageBreakBefore w:val="0"/>
        <w:kinsoku/>
        <w:wordWrap/>
        <w:overflowPunct/>
        <w:topLinePunct w:val="0"/>
        <w:bidi w:val="0"/>
        <w:spacing w:line="400" w:lineRule="atLeast"/>
        <w:ind w:firstLine="480" w:firstLineChars="200"/>
        <w:textAlignment w:val="auto"/>
        <w:rPr>
          <w:rFonts w:ascii="宋体" w:hAnsi="宋体" w:eastAsia="宋体" w:cs="宋体"/>
          <w:sz w:val="24"/>
          <w:szCs w:val="24"/>
        </w:rPr>
      </w:pPr>
      <w:r>
        <w:rPr>
          <w:rFonts w:ascii="宋体" w:hAnsi="宋体" w:eastAsia="宋体" w:cs="宋体"/>
          <w:sz w:val="24"/>
          <w:szCs w:val="24"/>
        </w:rPr>
        <w:t>综合单价：长江有色金属网</w:t>
      </w:r>
      <w:r>
        <w:rPr>
          <w:rFonts w:ascii="宋体" w:hAnsi="宋体" w:eastAsia="宋体" w:cs="宋体"/>
          <w:sz w:val="24"/>
          <w:szCs w:val="24"/>
          <w:highlight w:val="none"/>
        </w:rPr>
        <w:t>#1镁</w:t>
      </w:r>
      <w:r>
        <w:rPr>
          <w:rFonts w:ascii="宋体" w:hAnsi="宋体" w:eastAsia="宋体" w:cs="宋体"/>
          <w:sz w:val="24"/>
          <w:szCs w:val="24"/>
        </w:rPr>
        <w:t>前5日均价（如订单日均价比前5日均价低则按订单日均价结算）+加工费（包含运输</w:t>
      </w:r>
      <w:r>
        <w:rPr>
          <w:rFonts w:hint="eastAsia" w:ascii="宋体" w:hAnsi="宋体" w:eastAsia="宋体" w:cs="宋体"/>
          <w:sz w:val="24"/>
          <w:szCs w:val="24"/>
          <w:lang w:val="en-US" w:eastAsia="zh-CN"/>
        </w:rPr>
        <w:t>包装</w:t>
      </w:r>
      <w:r>
        <w:rPr>
          <w:rFonts w:ascii="宋体" w:hAnsi="宋体" w:eastAsia="宋体" w:cs="宋体"/>
          <w:sz w:val="24"/>
          <w:szCs w:val="24"/>
        </w:rPr>
        <w:t>等费用）。</w:t>
      </w:r>
    </w:p>
    <w:p w14:paraId="278282B5">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4.2结算及付款方式</w:t>
      </w:r>
    </w:p>
    <w:p w14:paraId="5422DD6D">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过磅重量</w:t>
      </w:r>
      <w:r>
        <w:rPr>
          <w:rFonts w:hint="eastAsia" w:ascii="宋体" w:hAnsi="宋体" w:cs="Arial"/>
          <w:color w:val="auto"/>
          <w:sz w:val="24"/>
        </w:rPr>
        <w:t>(</w:t>
      </w:r>
      <w:r>
        <w:rPr>
          <w:rFonts w:hint="eastAsia" w:ascii="宋体" w:hAnsi="宋体" w:cs="Arial"/>
          <w:color w:val="auto"/>
          <w:sz w:val="24"/>
          <w:lang w:eastAsia="zh-CN"/>
        </w:rPr>
        <w:t>余量</w:t>
      </w:r>
      <w:r>
        <w:rPr>
          <w:rFonts w:hint="eastAsia" w:ascii="宋体" w:hAnsi="宋体" w:cs="Arial"/>
          <w:color w:val="auto"/>
          <w:sz w:val="24"/>
        </w:rPr>
        <w:t>±</w:t>
      </w:r>
      <w:r>
        <w:rPr>
          <w:rFonts w:hint="eastAsia" w:ascii="宋体" w:hAnsi="宋体" w:cs="Arial"/>
          <w:color w:val="auto"/>
          <w:sz w:val="24"/>
          <w:lang w:val="en-US" w:eastAsia="zh-CN"/>
        </w:rPr>
        <w:t>3</w:t>
      </w:r>
      <w:r>
        <w:rPr>
          <w:rFonts w:hint="eastAsia" w:ascii="宋体" w:hAnsi="宋体" w:cs="Arial"/>
          <w:color w:val="auto"/>
          <w:sz w:val="24"/>
        </w:rPr>
        <w:t>%)乘合同（产品清单）单价结算</w:t>
      </w:r>
      <w:r>
        <w:rPr>
          <w:rFonts w:ascii="宋体" w:hAnsi="宋体" w:cs="Arial"/>
          <w:color w:val="auto"/>
          <w:sz w:val="24"/>
        </w:rPr>
        <w:t>。</w:t>
      </w:r>
    </w:p>
    <w:p w14:paraId="5632B0F3">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14:paraId="07A895E1">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w:t>
      </w:r>
      <w:r>
        <w:rPr>
          <w:rFonts w:hint="eastAsia" w:ascii="宋体" w:hAnsi="宋体" w:cs="Arial"/>
          <w:color w:val="auto"/>
          <w:sz w:val="24"/>
          <w:lang w:val="en-US" w:eastAsia="zh-CN"/>
        </w:rPr>
        <w:t>结算</w:t>
      </w:r>
      <w:r>
        <w:rPr>
          <w:rFonts w:hint="eastAsia" w:ascii="宋体" w:hAnsi="宋体" w:cs="Arial"/>
          <w:color w:val="auto"/>
          <w:sz w:val="24"/>
        </w:rPr>
        <w:t>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s="Arial"/>
          <w:color w:val="auto"/>
          <w:sz w:val="24"/>
          <w:lang w:val="en-US" w:eastAsia="zh-CN"/>
        </w:rPr>
        <w:t>甲方收到</w:t>
      </w:r>
      <w:r>
        <w:rPr>
          <w:rFonts w:hint="eastAsia" w:ascii="宋体" w:hAnsi="宋体"/>
          <w:color w:val="auto"/>
          <w:kern w:val="0"/>
          <w:sz w:val="24"/>
          <w:szCs w:val="24"/>
        </w:rPr>
        <w:t>发票</w:t>
      </w:r>
      <w:r>
        <w:rPr>
          <w:rFonts w:hint="eastAsia" w:ascii="宋体" w:hAnsi="宋体"/>
          <w:color w:val="auto"/>
          <w:kern w:val="0"/>
          <w:sz w:val="24"/>
          <w:szCs w:val="24"/>
          <w:lang w:val="en-US" w:eastAsia="zh-CN"/>
        </w:rPr>
        <w:t>入账30</w:t>
      </w:r>
      <w:r>
        <w:rPr>
          <w:rFonts w:hint="eastAsia" w:ascii="宋体" w:hAnsi="宋体"/>
          <w:color w:val="auto"/>
          <w:kern w:val="0"/>
          <w:sz w:val="24"/>
          <w:szCs w:val="24"/>
        </w:rPr>
        <w:t>日</w:t>
      </w:r>
      <w:r>
        <w:rPr>
          <w:rFonts w:hint="eastAsia" w:ascii="宋体" w:hAnsi="宋体"/>
          <w:color w:val="auto"/>
          <w:kern w:val="0"/>
          <w:sz w:val="24"/>
          <w:szCs w:val="24"/>
          <w:lang w:val="en-US" w:eastAsia="zh-CN"/>
        </w:rPr>
        <w:t>后</w:t>
      </w:r>
      <w:r>
        <w:rPr>
          <w:rFonts w:hint="eastAsia" w:ascii="宋体" w:hAnsi="宋体"/>
          <w:color w:val="auto"/>
          <w:kern w:val="0"/>
          <w:sz w:val="24"/>
          <w:szCs w:val="24"/>
        </w:rPr>
        <w:t>付款</w:t>
      </w:r>
      <w:r>
        <w:rPr>
          <w:rFonts w:ascii="宋体" w:hAnsi="宋体"/>
          <w:color w:val="auto"/>
          <w:kern w:val="0"/>
          <w:sz w:val="24"/>
          <w:szCs w:val="24"/>
        </w:rPr>
        <w:t>。</w:t>
      </w:r>
    </w:p>
    <w:p w14:paraId="3FAFDA66">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14:paraId="135A4D5E">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4.3议价方式</w:t>
      </w:r>
    </w:p>
    <w:p w14:paraId="6C738335">
      <w:pPr>
        <w:pStyle w:val="3"/>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fldChar w:fldCharType="begin"/>
      </w:r>
      <w:r>
        <w:instrText xml:space="preserve"> HYPERLINK "http://glzb.geely.com" </w:instrText>
      </w:r>
      <w: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14:paraId="6FC071A2">
      <w:pPr>
        <w:pStyle w:val="3"/>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14:paraId="0C62A1DE">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14:paraId="08F6565F">
      <w:pPr>
        <w:pStyle w:val="3"/>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14:paraId="3B970D72">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14:paraId="33895676">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14:paraId="6A766C4A">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5</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12</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17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14:paraId="53BD4E64">
      <w:pPr>
        <w:pStyle w:val="22"/>
        <w:rPr>
          <w:rFonts w:hint="eastAsia" w:ascii="宋体" w:hAnsi="宋体" w:eastAsia="宋体"/>
          <w:color w:val="auto"/>
          <w:sz w:val="24"/>
          <w:szCs w:val="24"/>
        </w:rPr>
      </w:pPr>
    </w:p>
    <w:p w14:paraId="5D820FF1">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14:paraId="07F50B79">
      <w:pPr>
        <w:spacing w:line="400" w:lineRule="exact"/>
        <w:ind w:firstLine="480" w:firstLineChars="200"/>
        <w:rPr>
          <w:rFonts w:hint="eastAsia" w:ascii="宋体" w:hAnsi="宋体" w:eastAsia="宋体"/>
          <w:color w:val="auto"/>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6</w:t>
      </w:r>
      <w:r>
        <w:rPr>
          <w:rFonts w:hint="eastAsia" w:ascii="宋体" w:hAnsi="宋体" w:eastAsia="宋体"/>
          <w:color w:val="auto"/>
          <w:sz w:val="24"/>
          <w:szCs w:val="24"/>
        </w:rPr>
        <w:t>万元电汇到以下账户：</w:t>
      </w:r>
    </w:p>
    <w:p w14:paraId="3E143F83">
      <w:pPr>
        <w:pStyle w:val="22"/>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 户 名：广西百矿新材料技术有限公司</w:t>
      </w:r>
    </w:p>
    <w:p w14:paraId="0BDCB051">
      <w:pPr>
        <w:bidi w:val="0"/>
        <w:jc w:val="lef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开户银行：中国建设银行百色分行营业部</w:t>
      </w:r>
    </w:p>
    <w:p w14:paraId="40D03373">
      <w:pPr>
        <w:pStyle w:val="3"/>
        <w:ind w:left="0" w:leftChars="0" w:firstLine="0" w:firstLineChars="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帐   号：45050167610109666888</w:t>
      </w:r>
    </w:p>
    <w:p w14:paraId="06F095AC">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广西百矿新材料技术有限公司2025年金属镁采购投标保证金</w:t>
      </w:r>
      <w:r>
        <w:rPr>
          <w:rFonts w:hint="eastAsia" w:ascii="宋体" w:hAnsi="宋体" w:eastAsia="宋体"/>
          <w:color w:val="auto"/>
          <w:sz w:val="24"/>
          <w:szCs w:val="24"/>
        </w:rPr>
        <w:t>）</w:t>
      </w:r>
    </w:p>
    <w:p w14:paraId="7BBE7F08">
      <w:pPr>
        <w:spacing w:line="40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1日</w:t>
      </w:r>
      <w:r>
        <w:rPr>
          <w:rFonts w:hint="eastAsia" w:ascii="宋体" w:hAnsi="宋体" w:eastAsia="宋体"/>
          <w:sz w:val="24"/>
          <w:szCs w:val="24"/>
        </w:rPr>
        <w:t>到帐。</w:t>
      </w:r>
    </w:p>
    <w:p w14:paraId="3715DA96">
      <w:pPr>
        <w:spacing w:line="400" w:lineRule="exact"/>
        <w:ind w:firstLine="480" w:firstLineChars="200"/>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.3、中标人的投标保证金在中标人与招标方签订了经济合同后</w:t>
      </w:r>
      <w:r>
        <w:rPr>
          <w:rFonts w:hint="eastAsia" w:ascii="宋体" w:hAnsi="宋体" w:eastAsia="宋体"/>
          <w:color w:val="auto"/>
          <w:sz w:val="24"/>
          <w:szCs w:val="24"/>
          <w:lang w:val="en-US" w:eastAsia="zh-CN"/>
        </w:rPr>
        <w:t>第一批物资到货验收合格15日内退还</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其余未中标人的投标保证金将在确定中标人后无息退还。</w:t>
      </w:r>
    </w:p>
    <w:p w14:paraId="5F7A86D1">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如供应商有下列情况，投标保证金不予退还：</w:t>
      </w:r>
    </w:p>
    <w:p w14:paraId="2BAD07CB">
      <w:pPr>
        <w:pStyle w:val="26"/>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14:paraId="54A327F6">
      <w:pPr>
        <w:pStyle w:val="26"/>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14:paraId="220A51BB">
      <w:pPr>
        <w:pStyle w:val="26"/>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14:paraId="10116AD7">
      <w:pPr>
        <w:pStyle w:val="5"/>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a:solidFill>
                            <a:srgbClr val="000000"/>
                          </a:solidFill>
                          <a:prstDash val="soli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C0bvjYAAAADQEAAA8AAAAAAAAAAQAgAAAAIgAAAGRycy9kb3ducmV2&#10;LnhtbFBLAQIUABQAAAAIAIdO4kBINvs3wwEAAHkDAAAOAAAAAAAAAAEAIAAAACcBAABkcnMvZTJv&#10;RG9jLnhtbFBLBQYAAAAABgAGAFkBAABcBQAAAAA=&#10;">
                <v:fill on="f" focussize="0,0"/>
                <v:stroke weight="0.72pt" color="#000000" joinstyle="round"/>
                <v:imagedata o:title=""/>
                <o:lock v:ext="edit" aspectratio="f"/>
              </v:line>
            </w:pict>
          </mc:Fallback>
        </mc:AlternateContent>
      </w:r>
      <w:r>
        <w:rPr>
          <w:rFonts w:hint="eastAsia" w:cs="宋体"/>
          <w:b w:val="0"/>
          <w:bCs w:val="0"/>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4)投标人存在违法行为获取中标或存在以其他方式弄虚作假行为骗取中标的</w:t>
      </w:r>
      <w:r>
        <w:rPr>
          <w:rFonts w:hint="eastAsia" w:cs="宋体"/>
          <w:b w:val="0"/>
          <w:bCs w:val="0"/>
          <w:color w:val="000000" w:themeColor="text1"/>
          <w:kern w:val="2"/>
          <w:sz w:val="24"/>
          <w:szCs w:val="24"/>
          <w:lang w:val="en-US" w:eastAsia="zh-CN" w:bidi="ar-SA"/>
          <w14:textFill>
            <w14:solidFill>
              <w14:schemeClr w14:val="tx1"/>
            </w14:solidFill>
          </w14:textFill>
        </w:rPr>
        <w:t>；</w:t>
      </w:r>
    </w:p>
    <w:p w14:paraId="0303E173">
      <w:pPr>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14:paraId="3086FCAF">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7.履约保证金</w:t>
      </w:r>
    </w:p>
    <w:p w14:paraId="3DAA0C11">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7.1合同生效后10日内，乙方应向甲方支付相当于本合同总金额3%的履约保证金,共计人民币【  】元。乙方因违约或其他情形出现给甲方造成损失的，所涉违约金或赔偿金甲方有权从乙方缴纳的履约保证金中扣除，履约保证金不足的，乙方须在不足之日起7日内予以补足，否则甲方有权单方解除合同，同时要求乙方自逾期之日起每日向甲方支付违约金1000元。合同履约保证金缴纳可采用现金或银行保函方式，若采用银行保函方式的，保函形式应为 “不可撤销”、“见索即付”，保函有效期为自合同签订之日起至合同到期之日止。</w:t>
      </w:r>
    </w:p>
    <w:p w14:paraId="7C83530B">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7.2履约保证金的退还：双方合同到期或合同解除后结清业务之日起30日内，甲方将履约保证金全额无息退还给乙方；如有违约金或损失赔偿金等需要扣除的，则退还扣除后的剩余部分。</w:t>
      </w:r>
    </w:p>
    <w:p w14:paraId="4DAF2F90">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特别约定条款：</w:t>
      </w:r>
    </w:p>
    <w:p w14:paraId="778EE4D4">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14:paraId="00DCE162">
      <w:pPr>
        <w:pStyle w:val="22"/>
        <w:rPr>
          <w:rFonts w:hint="eastAsia" w:asciiTheme="majorEastAsia" w:hAnsiTheme="majorEastAsia" w:eastAsiaTheme="majorEastAsia" w:cstheme="majorEastAsia"/>
          <w:color w:val="auto"/>
          <w:sz w:val="24"/>
          <w:szCs w:val="24"/>
          <w:lang w:val="en-US" w:eastAsia="zh-CN"/>
        </w:rPr>
      </w:pPr>
    </w:p>
    <w:p w14:paraId="41E0F1BE">
      <w:pPr>
        <w:pStyle w:val="3"/>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40"/>
        <w:gridCol w:w="4890"/>
      </w:tblGrid>
      <w:tr w14:paraId="6ABD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14:paraId="4781A631">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40" w:type="dxa"/>
            <w:tcBorders>
              <w:top w:val="nil"/>
              <w:left w:val="nil"/>
              <w:bottom w:val="nil"/>
              <w:right w:val="nil"/>
            </w:tcBorders>
            <w:tcMar>
              <w:left w:w="0" w:type="dxa"/>
              <w:right w:w="0" w:type="dxa"/>
            </w:tcMar>
            <w:vAlign w:val="center"/>
          </w:tcPr>
          <w:p w14:paraId="4531D9B2">
            <w:pPr>
              <w:spacing w:line="400" w:lineRule="exact"/>
              <w:rPr>
                <w:color w:val="auto"/>
                <w:kern w:val="0"/>
                <w:sz w:val="24"/>
                <w:szCs w:val="24"/>
              </w:rPr>
            </w:pPr>
            <w:r>
              <w:rPr>
                <w:rFonts w:hint="eastAsia"/>
                <w:color w:val="auto"/>
                <w:kern w:val="0"/>
                <w:sz w:val="24"/>
                <w:szCs w:val="24"/>
              </w:rPr>
              <w:t>：</w:t>
            </w:r>
          </w:p>
        </w:tc>
        <w:tc>
          <w:tcPr>
            <w:tcW w:w="4890" w:type="dxa"/>
            <w:tcBorders>
              <w:top w:val="nil"/>
              <w:left w:val="nil"/>
              <w:right w:val="nil"/>
            </w:tcBorders>
          </w:tcPr>
          <w:p w14:paraId="4E520C91">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广西百矿新材料有限公司</w:t>
            </w:r>
          </w:p>
        </w:tc>
      </w:tr>
      <w:tr w14:paraId="317A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14:paraId="2C476B7C">
            <w:pPr>
              <w:spacing w:line="400" w:lineRule="exact"/>
              <w:jc w:val="distribute"/>
              <w:rPr>
                <w:color w:val="auto"/>
                <w:kern w:val="0"/>
                <w:sz w:val="24"/>
                <w:szCs w:val="24"/>
              </w:rPr>
            </w:pPr>
            <w:r>
              <w:rPr>
                <w:rFonts w:hint="eastAsia"/>
                <w:color w:val="auto"/>
                <w:kern w:val="0"/>
                <w:sz w:val="24"/>
                <w:szCs w:val="24"/>
              </w:rPr>
              <w:t>地址</w:t>
            </w:r>
          </w:p>
        </w:tc>
        <w:tc>
          <w:tcPr>
            <w:tcW w:w="240" w:type="dxa"/>
            <w:tcBorders>
              <w:top w:val="nil"/>
              <w:left w:val="nil"/>
              <w:bottom w:val="nil"/>
              <w:right w:val="nil"/>
            </w:tcBorders>
            <w:tcMar>
              <w:left w:w="0" w:type="dxa"/>
              <w:right w:w="0" w:type="dxa"/>
            </w:tcMar>
            <w:vAlign w:val="center"/>
          </w:tcPr>
          <w:p w14:paraId="46DC8152">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14:paraId="3EDE1247">
            <w:pPr>
              <w:spacing w:line="400" w:lineRule="exact"/>
              <w:rPr>
                <w:rFonts w:hint="eastAsia" w:ascii="宋体" w:hAnsi="宋体" w:eastAsia="宋体"/>
                <w:color w:val="auto"/>
                <w:sz w:val="24"/>
                <w:szCs w:val="24"/>
                <w:lang w:val="en-US" w:eastAsia="zh-CN"/>
              </w:rPr>
            </w:pPr>
          </w:p>
        </w:tc>
      </w:tr>
      <w:tr w14:paraId="0ABB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14:paraId="6A0F88A3">
            <w:pPr>
              <w:spacing w:line="400" w:lineRule="exact"/>
              <w:jc w:val="distribute"/>
              <w:rPr>
                <w:color w:val="auto"/>
                <w:kern w:val="0"/>
                <w:sz w:val="24"/>
                <w:szCs w:val="24"/>
              </w:rPr>
            </w:pPr>
            <w:r>
              <w:rPr>
                <w:rFonts w:hint="eastAsia"/>
                <w:color w:val="auto"/>
                <w:kern w:val="0"/>
                <w:sz w:val="24"/>
                <w:szCs w:val="24"/>
              </w:rPr>
              <w:t>网址</w:t>
            </w:r>
          </w:p>
        </w:tc>
        <w:tc>
          <w:tcPr>
            <w:tcW w:w="240" w:type="dxa"/>
            <w:tcBorders>
              <w:top w:val="nil"/>
              <w:left w:val="nil"/>
              <w:bottom w:val="nil"/>
              <w:right w:val="nil"/>
            </w:tcBorders>
            <w:tcMar>
              <w:left w:w="0" w:type="dxa"/>
              <w:right w:w="0" w:type="dxa"/>
            </w:tcMar>
            <w:vAlign w:val="center"/>
          </w:tcPr>
          <w:p w14:paraId="1880F26A">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4890" w:type="dxa"/>
            <w:tcBorders>
              <w:left w:val="nil"/>
              <w:right w:val="nil"/>
            </w:tcBorders>
          </w:tcPr>
          <w:p w14:paraId="040915CF">
            <w:pPr>
              <w:spacing w:line="400" w:lineRule="exact"/>
              <w:rPr>
                <w:rFonts w:hint="eastAsia" w:ascii="宋体" w:hAnsi="宋体" w:eastAsia="宋体"/>
                <w:color w:val="auto"/>
                <w:sz w:val="24"/>
                <w:szCs w:val="24"/>
              </w:rPr>
            </w:pPr>
            <w:r>
              <w:fldChar w:fldCharType="begin"/>
            </w:r>
            <w:r>
              <w:instrText xml:space="preserve"> HYPERLINK "https://glzb.geely.com" </w:instrText>
            </w:r>
            <w: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14:paraId="5C42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tcBorders>
              <w:top w:val="nil"/>
              <w:left w:val="nil"/>
              <w:bottom w:val="nil"/>
              <w:right w:val="nil"/>
            </w:tcBorders>
            <w:tcMar>
              <w:left w:w="28" w:type="dxa"/>
              <w:right w:w="28" w:type="dxa"/>
            </w:tcMar>
            <w:vAlign w:val="center"/>
          </w:tcPr>
          <w:p w14:paraId="2FE853B7">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240" w:type="dxa"/>
            <w:tcBorders>
              <w:top w:val="nil"/>
              <w:left w:val="nil"/>
              <w:bottom w:val="nil"/>
              <w:right w:val="nil"/>
            </w:tcBorders>
            <w:tcMar>
              <w:left w:w="0" w:type="dxa"/>
              <w:right w:w="0" w:type="dxa"/>
            </w:tcMar>
            <w:vAlign w:val="center"/>
          </w:tcPr>
          <w:p w14:paraId="1CB7D3E0">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14:paraId="3428A784">
            <w:pPr>
              <w:spacing w:line="400" w:lineRule="exact"/>
              <w:rPr>
                <w:rFonts w:hint="default" w:asciiTheme="minorHAnsi" w:hAnsiTheme="minorHAnsi" w:eastAsiaTheme="minorEastAsia" w:cstheme="minorBidi"/>
                <w:kern w:val="2"/>
                <w:sz w:val="21"/>
                <w:szCs w:val="22"/>
                <w:lang w:val="en-US" w:eastAsia="zh-CN" w:bidi="ar-SA"/>
              </w:rPr>
            </w:pPr>
            <w:r>
              <w:rPr>
                <w:rFonts w:hint="eastAsia" w:ascii="宋体" w:hAnsi="宋体" w:eastAsia="宋体"/>
                <w:color w:val="auto"/>
                <w:sz w:val="24"/>
                <w:szCs w:val="24"/>
                <w:lang w:val="en-US" w:eastAsia="zh-CN"/>
              </w:rPr>
              <w:t>卢华合</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18077618764</w:t>
            </w:r>
          </w:p>
        </w:tc>
      </w:tr>
      <w:tr w14:paraId="740E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14:paraId="0C566437">
            <w:pPr>
              <w:spacing w:line="400" w:lineRule="exact"/>
              <w:jc w:val="distribute"/>
              <w:rPr>
                <w:color w:val="auto"/>
                <w:kern w:val="0"/>
                <w:sz w:val="24"/>
                <w:szCs w:val="24"/>
              </w:rPr>
            </w:pPr>
            <w:r>
              <w:rPr>
                <w:color w:val="auto"/>
                <w:kern w:val="0"/>
                <w:sz w:val="24"/>
                <w:szCs w:val="24"/>
              </w:rPr>
              <w:t>邮箱</w:t>
            </w:r>
          </w:p>
        </w:tc>
        <w:tc>
          <w:tcPr>
            <w:tcW w:w="240" w:type="dxa"/>
            <w:tcBorders>
              <w:top w:val="nil"/>
              <w:left w:val="nil"/>
              <w:bottom w:val="nil"/>
              <w:right w:val="nil"/>
            </w:tcBorders>
            <w:tcMar>
              <w:left w:w="0" w:type="dxa"/>
              <w:right w:w="0" w:type="dxa"/>
            </w:tcMar>
            <w:vAlign w:val="center"/>
          </w:tcPr>
          <w:p w14:paraId="64E1A171">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14:paraId="259687E9">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Huahe.Lu@geely.com</w:t>
            </w:r>
          </w:p>
        </w:tc>
      </w:tr>
    </w:tbl>
    <w:p w14:paraId="0DE43C04">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14:paraId="7C43770E">
      <w:pPr>
        <w:pStyle w:val="22"/>
        <w:rPr>
          <w:rFonts w:hint="eastAsia" w:ascii="宋体" w:hAnsi="宋体" w:eastAsia="宋体" w:cs="宋体"/>
          <w:b/>
          <w:bCs/>
          <w:color w:val="auto"/>
          <w:sz w:val="21"/>
          <w:szCs w:val="21"/>
          <w:lang w:eastAsia="zh-CN"/>
        </w:rPr>
      </w:pPr>
    </w:p>
    <w:p w14:paraId="4AB3BE7D">
      <w:pPr>
        <w:pStyle w:val="22"/>
        <w:rPr>
          <w:rFonts w:hint="eastAsia" w:ascii="宋体" w:hAnsi="宋体" w:eastAsia="宋体" w:cs="宋体"/>
          <w:b/>
          <w:bCs/>
          <w:color w:val="auto"/>
          <w:sz w:val="21"/>
          <w:szCs w:val="21"/>
          <w:lang w:eastAsia="zh-CN"/>
        </w:rPr>
      </w:pPr>
    </w:p>
    <w:p w14:paraId="72EC5F1D">
      <w:pPr>
        <w:pStyle w:val="22"/>
        <w:rPr>
          <w:rFonts w:hint="eastAsia" w:ascii="宋体" w:hAnsi="宋体" w:eastAsia="宋体" w:cs="宋体"/>
          <w:b/>
          <w:bCs/>
          <w:color w:val="auto"/>
          <w:sz w:val="21"/>
          <w:szCs w:val="21"/>
          <w:lang w:eastAsia="zh-CN"/>
        </w:rPr>
      </w:pPr>
    </w:p>
    <w:p w14:paraId="3471FA9C">
      <w:pPr>
        <w:pStyle w:val="22"/>
        <w:rPr>
          <w:rFonts w:hint="eastAsia" w:ascii="宋体" w:hAnsi="宋体" w:eastAsia="宋体" w:cs="宋体"/>
          <w:b/>
          <w:bCs/>
          <w:color w:val="auto"/>
          <w:sz w:val="21"/>
          <w:szCs w:val="21"/>
          <w:lang w:eastAsia="zh-CN"/>
        </w:rPr>
      </w:pPr>
    </w:p>
    <w:p w14:paraId="504E0736">
      <w:pPr>
        <w:pStyle w:val="22"/>
        <w:rPr>
          <w:rFonts w:hint="eastAsia" w:ascii="宋体" w:hAnsi="宋体" w:eastAsia="宋体" w:cs="宋体"/>
          <w:b/>
          <w:bCs/>
          <w:color w:val="auto"/>
          <w:sz w:val="21"/>
          <w:szCs w:val="21"/>
          <w:lang w:eastAsia="zh-CN"/>
        </w:rPr>
      </w:pPr>
    </w:p>
    <w:p w14:paraId="279EE613">
      <w:pPr>
        <w:pStyle w:val="22"/>
        <w:rPr>
          <w:rFonts w:hint="eastAsia" w:ascii="宋体" w:hAnsi="宋体" w:eastAsia="宋体" w:cs="宋体"/>
          <w:b/>
          <w:bCs/>
          <w:color w:val="auto"/>
          <w:sz w:val="21"/>
          <w:szCs w:val="21"/>
          <w:lang w:eastAsia="zh-CN"/>
        </w:rPr>
      </w:pPr>
    </w:p>
    <w:p w14:paraId="7DA9AEB9">
      <w:pPr>
        <w:keepNext w:val="0"/>
        <w:keepLines w:val="0"/>
        <w:widowControl/>
        <w:suppressLineNumbers w:val="0"/>
        <w:jc w:val="left"/>
        <w:rPr>
          <w:rFonts w:hint="eastAsia" w:ascii="宋体" w:hAnsi="宋体" w:eastAsia="宋体" w:cs="宋体"/>
          <w:b/>
          <w:bCs/>
          <w:color w:val="auto"/>
          <w:sz w:val="21"/>
          <w:szCs w:val="21"/>
          <w:lang w:eastAsia="zh-CN"/>
        </w:rPr>
      </w:pPr>
    </w:p>
    <w:p w14:paraId="18BD69E7">
      <w:pPr>
        <w:keepNext w:val="0"/>
        <w:keepLines w:val="0"/>
        <w:widowControl/>
        <w:suppressLineNumbers w:val="0"/>
        <w:jc w:val="left"/>
        <w:rPr>
          <w:rFonts w:hint="eastAsia" w:ascii="宋体" w:hAnsi="宋体" w:eastAsia="宋体" w:cs="宋体"/>
          <w:b/>
          <w:bCs/>
          <w:color w:val="auto"/>
          <w:sz w:val="21"/>
          <w:szCs w:val="21"/>
          <w:lang w:eastAsia="zh-CN"/>
        </w:rPr>
      </w:pPr>
    </w:p>
    <w:p w14:paraId="33EDBE38">
      <w:pPr>
        <w:keepNext w:val="0"/>
        <w:keepLines w:val="0"/>
        <w:widowControl/>
        <w:suppressLineNumbers w:val="0"/>
        <w:jc w:val="left"/>
        <w:rPr>
          <w:rFonts w:hint="eastAsia" w:ascii="宋体" w:hAnsi="宋体" w:eastAsia="宋体" w:cs="宋体"/>
          <w:b/>
          <w:bCs/>
          <w:color w:val="auto"/>
          <w:sz w:val="21"/>
          <w:szCs w:val="21"/>
          <w:lang w:eastAsia="zh-CN"/>
        </w:rPr>
      </w:pPr>
    </w:p>
    <w:p w14:paraId="7A7F03D6">
      <w:pPr>
        <w:keepNext w:val="0"/>
        <w:keepLines w:val="0"/>
        <w:widowControl/>
        <w:suppressLineNumbers w:val="0"/>
        <w:jc w:val="left"/>
        <w:rPr>
          <w:rFonts w:hint="eastAsia" w:ascii="宋体" w:hAnsi="宋体" w:eastAsia="宋体" w:cs="宋体"/>
          <w:b/>
          <w:bCs/>
          <w:color w:val="auto"/>
          <w:sz w:val="21"/>
          <w:szCs w:val="21"/>
          <w:lang w:eastAsia="zh-CN"/>
        </w:rPr>
      </w:pPr>
    </w:p>
    <w:p w14:paraId="1A711A36">
      <w:pPr>
        <w:keepNext w:val="0"/>
        <w:keepLines w:val="0"/>
        <w:widowControl/>
        <w:suppressLineNumbers w:val="0"/>
        <w:jc w:val="left"/>
        <w:rPr>
          <w:rFonts w:hint="eastAsia" w:ascii="宋体" w:hAnsi="宋体" w:eastAsia="宋体" w:cs="宋体"/>
          <w:b/>
          <w:bCs/>
          <w:color w:val="auto"/>
          <w:sz w:val="21"/>
          <w:szCs w:val="21"/>
          <w:lang w:eastAsia="zh-CN"/>
        </w:rPr>
      </w:pPr>
    </w:p>
    <w:p w14:paraId="6AB7F955">
      <w:pPr>
        <w:keepNext w:val="0"/>
        <w:keepLines w:val="0"/>
        <w:widowControl/>
        <w:suppressLineNumbers w:val="0"/>
        <w:jc w:val="left"/>
        <w:rPr>
          <w:rFonts w:hint="eastAsia" w:ascii="宋体" w:hAnsi="宋体" w:eastAsia="宋体" w:cs="宋体"/>
          <w:b/>
          <w:bCs/>
          <w:color w:val="auto"/>
          <w:sz w:val="21"/>
          <w:szCs w:val="21"/>
          <w:lang w:eastAsia="zh-CN"/>
        </w:rPr>
      </w:pPr>
    </w:p>
    <w:p w14:paraId="01E3B956">
      <w:pPr>
        <w:keepNext w:val="0"/>
        <w:keepLines w:val="0"/>
        <w:widowControl/>
        <w:suppressLineNumbers w:val="0"/>
        <w:jc w:val="left"/>
        <w:rPr>
          <w:rFonts w:hint="eastAsia" w:ascii="宋体" w:hAnsi="宋体" w:eastAsia="宋体" w:cs="宋体"/>
          <w:b/>
          <w:bCs/>
          <w:color w:val="auto"/>
          <w:sz w:val="21"/>
          <w:szCs w:val="21"/>
          <w:lang w:eastAsia="zh-CN"/>
        </w:rPr>
      </w:pPr>
    </w:p>
    <w:p w14:paraId="0024AEB3">
      <w:pPr>
        <w:keepNext w:val="0"/>
        <w:keepLines w:val="0"/>
        <w:widowControl/>
        <w:suppressLineNumbers w:val="0"/>
        <w:jc w:val="left"/>
        <w:rPr>
          <w:rFonts w:hint="eastAsia" w:ascii="宋体" w:hAnsi="宋体" w:eastAsia="宋体" w:cs="宋体"/>
          <w:b/>
          <w:bCs/>
          <w:color w:val="auto"/>
          <w:sz w:val="21"/>
          <w:szCs w:val="21"/>
          <w:lang w:eastAsia="zh-CN"/>
        </w:rPr>
      </w:pPr>
    </w:p>
    <w:p w14:paraId="0B608112">
      <w:pPr>
        <w:keepNext w:val="0"/>
        <w:keepLines w:val="0"/>
        <w:widowControl/>
        <w:suppressLineNumbers w:val="0"/>
        <w:jc w:val="left"/>
        <w:rPr>
          <w:rFonts w:hint="eastAsia" w:ascii="宋体" w:hAnsi="宋体" w:eastAsia="宋体" w:cs="宋体"/>
          <w:b/>
          <w:bCs/>
          <w:color w:val="auto"/>
          <w:sz w:val="21"/>
          <w:szCs w:val="21"/>
          <w:lang w:eastAsia="zh-CN"/>
        </w:rPr>
      </w:pPr>
    </w:p>
    <w:p w14:paraId="355EEF38">
      <w:pPr>
        <w:keepNext w:val="0"/>
        <w:keepLines w:val="0"/>
        <w:widowControl/>
        <w:suppressLineNumbers w:val="0"/>
        <w:jc w:val="left"/>
        <w:rPr>
          <w:rFonts w:hint="eastAsia" w:ascii="宋体" w:hAnsi="宋体" w:eastAsia="宋体" w:cs="宋体"/>
          <w:b/>
          <w:bCs/>
          <w:color w:val="auto"/>
          <w:sz w:val="21"/>
          <w:szCs w:val="21"/>
          <w:lang w:eastAsia="zh-CN"/>
        </w:rPr>
      </w:pPr>
    </w:p>
    <w:p w14:paraId="047D6F12">
      <w:pPr>
        <w:keepNext w:val="0"/>
        <w:keepLines w:val="0"/>
        <w:widowControl/>
        <w:suppressLineNumbers w:val="0"/>
        <w:jc w:val="left"/>
        <w:rPr>
          <w:rFonts w:hint="eastAsia" w:ascii="宋体" w:hAnsi="宋体" w:eastAsia="宋体" w:cs="宋体"/>
          <w:b/>
          <w:bCs/>
          <w:color w:val="auto"/>
          <w:sz w:val="21"/>
          <w:szCs w:val="21"/>
          <w:lang w:eastAsia="zh-CN"/>
        </w:rPr>
      </w:pPr>
    </w:p>
    <w:p w14:paraId="0BC52498">
      <w:pPr>
        <w:keepNext w:val="0"/>
        <w:keepLines w:val="0"/>
        <w:widowControl/>
        <w:suppressLineNumbers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附件</w:t>
      </w:r>
      <w:r>
        <w:rPr>
          <w:rFonts w:hint="eastAsia" w:ascii="宋体" w:hAnsi="宋体" w:eastAsia="宋体" w:cs="宋体"/>
          <w:b/>
          <w:bCs/>
          <w:color w:val="auto"/>
          <w:sz w:val="21"/>
          <w:szCs w:val="21"/>
          <w:lang w:val="en-US" w:eastAsia="zh-CN"/>
        </w:rPr>
        <w:t>2：质量技术标准</w:t>
      </w:r>
    </w:p>
    <w:p w14:paraId="1AED3C62">
      <w:pPr>
        <w:keepNext w:val="0"/>
        <w:keepLines w:val="0"/>
        <w:widowControl/>
        <w:suppressLineNumbers w:val="0"/>
        <w:jc w:val="center"/>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金属镁技术质量标准</w:t>
      </w:r>
    </w:p>
    <w:p w14:paraId="70672C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1.1 范围 </w:t>
      </w:r>
    </w:p>
    <w:p w14:paraId="7A3ACDA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本标准规定了原生镁锭的技术要求、试验方法、检验规则、标志、包装、运输、贮存和随行文件（质量证明书）等内容。适用于新材料公司采购原生镁锭质量技术要求、质量检验及质量验证。</w:t>
      </w:r>
    </w:p>
    <w:p w14:paraId="2C2174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1.2 规范性引用文件 </w:t>
      </w:r>
    </w:p>
    <w:p w14:paraId="2A0265A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下列文件中，除正在执行的合同中有明确规定外；其最新版本（包括所有的修改单）适用于本标准。该部分标准的引用，包括（但不限于）取样方法、检测方法、重 复性、再现性、数值修约等规定要求。 </w:t>
      </w:r>
    </w:p>
    <w:p w14:paraId="183614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GB/T 3499 原生镁锭；</w:t>
      </w:r>
    </w:p>
    <w:p w14:paraId="1AC084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GB/T 8170 数值修约规则与极限数值的判定方法；</w:t>
      </w:r>
    </w:p>
    <w:p w14:paraId="7CED72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GB/T 13748（所有部分）镁及镁合金化学分析方法 ；</w:t>
      </w:r>
    </w:p>
    <w:p w14:paraId="55635D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YB/T 025 包装用钢带。</w:t>
      </w:r>
    </w:p>
    <w:p w14:paraId="5BE430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1.3 技术要求 </w:t>
      </w:r>
    </w:p>
    <w:p w14:paraId="2713C1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1.3.1 化学成分 </w:t>
      </w:r>
    </w:p>
    <w:p w14:paraId="3B2A345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1.3.1.1 化学成分应符合表 1 的规定。 </w:t>
      </w:r>
    </w:p>
    <w:p w14:paraId="15C0960B">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 1：化学成分</w:t>
      </w:r>
    </w:p>
    <w:tbl>
      <w:tblPr>
        <w:tblStyle w:val="36"/>
        <w:tblpPr w:leftFromText="180" w:rightFromText="180" w:vertAnchor="text" w:horzAnchor="page" w:tblpX="1515" w:tblpY="267"/>
        <w:tblOverlap w:val="never"/>
        <w:tblW w:w="86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349"/>
        <w:gridCol w:w="1387"/>
        <w:gridCol w:w="1484"/>
        <w:gridCol w:w="1529"/>
        <w:gridCol w:w="1631"/>
      </w:tblGrid>
      <w:tr w14:paraId="028AC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79" w:type="dxa"/>
            <w:vMerge w:val="restart"/>
            <w:tcBorders>
              <w:bottom w:val="nil"/>
            </w:tcBorders>
            <w:vAlign w:val="top"/>
          </w:tcPr>
          <w:p w14:paraId="218D0D64">
            <w:pPr>
              <w:spacing w:line="285" w:lineRule="auto"/>
              <w:rPr>
                <w:rFonts w:ascii="Arial"/>
                <w:sz w:val="21"/>
              </w:rPr>
            </w:pPr>
          </w:p>
          <w:p w14:paraId="41431DD9">
            <w:pPr>
              <w:spacing w:line="286" w:lineRule="auto"/>
              <w:rPr>
                <w:rFonts w:ascii="Arial"/>
                <w:sz w:val="21"/>
              </w:rPr>
            </w:pPr>
          </w:p>
          <w:p w14:paraId="5D375753">
            <w:pPr>
              <w:pStyle w:val="37"/>
              <w:spacing w:before="65" w:line="228" w:lineRule="auto"/>
              <w:ind w:left="435"/>
            </w:pPr>
            <w:r>
              <w:rPr>
                <w:b/>
                <w:bCs/>
                <w:spacing w:val="3"/>
              </w:rPr>
              <w:t>牌号</w:t>
            </w:r>
          </w:p>
        </w:tc>
        <w:tc>
          <w:tcPr>
            <w:tcW w:w="7380" w:type="dxa"/>
            <w:gridSpan w:val="5"/>
            <w:vAlign w:val="top"/>
          </w:tcPr>
          <w:p w14:paraId="4A6036EE">
            <w:pPr>
              <w:pStyle w:val="37"/>
              <w:spacing w:before="213" w:line="228" w:lineRule="auto"/>
              <w:ind w:left="2533"/>
            </w:pPr>
            <w:r>
              <w:rPr>
                <w:b/>
                <w:bCs/>
                <w:spacing w:val="7"/>
              </w:rPr>
              <w:t>化学成分（质量分数）/%</w:t>
            </w:r>
          </w:p>
        </w:tc>
      </w:tr>
      <w:tr w14:paraId="72BD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279" w:type="dxa"/>
            <w:vMerge w:val="continue"/>
            <w:tcBorders>
              <w:top w:val="nil"/>
              <w:bottom w:val="nil"/>
            </w:tcBorders>
            <w:vAlign w:val="top"/>
          </w:tcPr>
          <w:p w14:paraId="1C5A37E4">
            <w:pPr>
              <w:rPr>
                <w:rFonts w:ascii="Arial"/>
                <w:sz w:val="21"/>
              </w:rPr>
            </w:pPr>
          </w:p>
        </w:tc>
        <w:tc>
          <w:tcPr>
            <w:tcW w:w="1349" w:type="dxa"/>
            <w:vMerge w:val="restart"/>
            <w:tcBorders>
              <w:bottom w:val="nil"/>
            </w:tcBorders>
            <w:vAlign w:val="top"/>
          </w:tcPr>
          <w:p w14:paraId="611B4AFD">
            <w:pPr>
              <w:spacing w:line="253" w:lineRule="auto"/>
              <w:rPr>
                <w:rFonts w:ascii="Arial"/>
                <w:sz w:val="21"/>
              </w:rPr>
            </w:pPr>
          </w:p>
          <w:p w14:paraId="676D1E37">
            <w:pPr>
              <w:pStyle w:val="37"/>
              <w:spacing w:before="65" w:line="222" w:lineRule="auto"/>
              <w:ind w:left="224"/>
            </w:pPr>
            <w:r>
              <w:t>Mg</w:t>
            </w:r>
            <w:r>
              <w:rPr>
                <w:spacing w:val="-37"/>
              </w:rPr>
              <w:t xml:space="preserve"> </w:t>
            </w:r>
            <w:r>
              <w:rPr>
                <w:spacing w:val="8"/>
              </w:rPr>
              <w:t>不小于</w:t>
            </w:r>
          </w:p>
        </w:tc>
        <w:tc>
          <w:tcPr>
            <w:tcW w:w="6031" w:type="dxa"/>
            <w:gridSpan w:val="4"/>
            <w:vAlign w:val="top"/>
          </w:tcPr>
          <w:p w14:paraId="386E2833">
            <w:pPr>
              <w:pStyle w:val="37"/>
              <w:spacing w:before="63" w:line="228" w:lineRule="auto"/>
              <w:ind w:left="2176"/>
            </w:pPr>
            <w:r>
              <w:rPr>
                <w:b/>
                <w:bCs/>
                <w:spacing w:val="7"/>
              </w:rPr>
              <w:t>杂质元素，不大于</w:t>
            </w:r>
          </w:p>
        </w:tc>
      </w:tr>
      <w:tr w14:paraId="6E3F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79" w:type="dxa"/>
            <w:vMerge w:val="continue"/>
            <w:tcBorders>
              <w:top w:val="nil"/>
            </w:tcBorders>
            <w:vAlign w:val="top"/>
          </w:tcPr>
          <w:p w14:paraId="2F3B555A">
            <w:pPr>
              <w:rPr>
                <w:rFonts w:ascii="Arial"/>
                <w:sz w:val="21"/>
              </w:rPr>
            </w:pPr>
          </w:p>
        </w:tc>
        <w:tc>
          <w:tcPr>
            <w:tcW w:w="1349" w:type="dxa"/>
            <w:vMerge w:val="continue"/>
            <w:tcBorders>
              <w:top w:val="nil"/>
            </w:tcBorders>
            <w:vAlign w:val="top"/>
          </w:tcPr>
          <w:p w14:paraId="0460240A">
            <w:pPr>
              <w:rPr>
                <w:rFonts w:ascii="Arial"/>
                <w:sz w:val="21"/>
              </w:rPr>
            </w:pPr>
          </w:p>
        </w:tc>
        <w:tc>
          <w:tcPr>
            <w:tcW w:w="1387" w:type="dxa"/>
            <w:vAlign w:val="top"/>
          </w:tcPr>
          <w:p w14:paraId="03EAF20E">
            <w:pPr>
              <w:pStyle w:val="37"/>
              <w:spacing w:before="150" w:line="268" w:lineRule="exact"/>
              <w:ind w:left="590"/>
            </w:pPr>
            <w:r>
              <w:rPr>
                <w:b/>
                <w:bCs/>
                <w:position w:val="1"/>
              </w:rPr>
              <w:t>Fe</w:t>
            </w:r>
          </w:p>
        </w:tc>
        <w:tc>
          <w:tcPr>
            <w:tcW w:w="1484" w:type="dxa"/>
            <w:vAlign w:val="top"/>
          </w:tcPr>
          <w:p w14:paraId="4EFC3DBC">
            <w:pPr>
              <w:pStyle w:val="37"/>
              <w:spacing w:before="150" w:line="270" w:lineRule="exact"/>
              <w:ind w:left="635"/>
            </w:pPr>
            <w:r>
              <w:rPr>
                <w:b/>
                <w:bCs/>
                <w:spacing w:val="3"/>
                <w:position w:val="1"/>
              </w:rPr>
              <w:t>Ni</w:t>
            </w:r>
          </w:p>
        </w:tc>
        <w:tc>
          <w:tcPr>
            <w:tcW w:w="1529" w:type="dxa"/>
            <w:vAlign w:val="top"/>
          </w:tcPr>
          <w:p w14:paraId="170B94C9">
            <w:pPr>
              <w:pStyle w:val="37"/>
              <w:spacing w:before="183" w:line="189" w:lineRule="auto"/>
              <w:ind w:left="663"/>
            </w:pPr>
            <w:r>
              <w:rPr>
                <w:b/>
                <w:bCs/>
              </w:rPr>
              <w:t>Cu</w:t>
            </w:r>
          </w:p>
        </w:tc>
        <w:tc>
          <w:tcPr>
            <w:tcW w:w="1631" w:type="dxa"/>
            <w:vAlign w:val="top"/>
          </w:tcPr>
          <w:p w14:paraId="07F64EBA">
            <w:pPr>
              <w:pStyle w:val="37"/>
              <w:spacing w:before="185" w:line="187" w:lineRule="auto"/>
              <w:ind w:left="708"/>
            </w:pPr>
            <w:r>
              <w:rPr>
                <w:b/>
                <w:bCs/>
                <w:spacing w:val="3"/>
              </w:rPr>
              <w:t>Mn</w:t>
            </w:r>
          </w:p>
        </w:tc>
      </w:tr>
      <w:tr w14:paraId="3288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79" w:type="dxa"/>
            <w:vAlign w:val="top"/>
          </w:tcPr>
          <w:p w14:paraId="1E1B07FE">
            <w:pPr>
              <w:pStyle w:val="37"/>
              <w:spacing w:before="183" w:line="190" w:lineRule="auto"/>
              <w:ind w:left="322"/>
            </w:pPr>
            <w:r>
              <w:t>Mg</w:t>
            </w:r>
            <w:r>
              <w:rPr>
                <w:spacing w:val="7"/>
              </w:rPr>
              <w:t>9990</w:t>
            </w:r>
          </w:p>
        </w:tc>
        <w:tc>
          <w:tcPr>
            <w:tcW w:w="1349" w:type="dxa"/>
            <w:vAlign w:val="top"/>
          </w:tcPr>
          <w:p w14:paraId="51490066">
            <w:pPr>
              <w:pStyle w:val="37"/>
              <w:spacing w:before="183" w:line="189" w:lineRule="auto"/>
              <w:ind w:left="416"/>
            </w:pPr>
            <w:r>
              <w:rPr>
                <w:spacing w:val="3"/>
              </w:rPr>
              <w:t>99.90</w:t>
            </w:r>
          </w:p>
        </w:tc>
        <w:tc>
          <w:tcPr>
            <w:tcW w:w="1387" w:type="dxa"/>
            <w:vAlign w:val="top"/>
          </w:tcPr>
          <w:p w14:paraId="0FCA282A">
            <w:pPr>
              <w:pStyle w:val="37"/>
              <w:spacing w:before="183" w:line="189" w:lineRule="auto"/>
              <w:ind w:left="489"/>
            </w:pPr>
            <w:r>
              <w:rPr>
                <w:spacing w:val="2"/>
              </w:rPr>
              <w:t>0.04</w:t>
            </w:r>
          </w:p>
        </w:tc>
        <w:tc>
          <w:tcPr>
            <w:tcW w:w="1484" w:type="dxa"/>
            <w:vAlign w:val="top"/>
          </w:tcPr>
          <w:p w14:paraId="0F482818">
            <w:pPr>
              <w:pStyle w:val="37"/>
              <w:spacing w:before="182" w:line="190" w:lineRule="auto"/>
              <w:ind w:left="487"/>
            </w:pPr>
            <w:r>
              <w:rPr>
                <w:spacing w:val="2"/>
              </w:rPr>
              <w:t>0.001</w:t>
            </w:r>
          </w:p>
        </w:tc>
        <w:tc>
          <w:tcPr>
            <w:tcW w:w="1529" w:type="dxa"/>
            <w:vAlign w:val="top"/>
          </w:tcPr>
          <w:p w14:paraId="7E07C9EF">
            <w:pPr>
              <w:pStyle w:val="37"/>
              <w:spacing w:before="183" w:line="189" w:lineRule="auto"/>
              <w:ind w:left="510"/>
            </w:pPr>
            <w:r>
              <w:rPr>
                <w:spacing w:val="2"/>
              </w:rPr>
              <w:t>0.004</w:t>
            </w:r>
          </w:p>
        </w:tc>
        <w:tc>
          <w:tcPr>
            <w:tcW w:w="1631" w:type="dxa"/>
            <w:vAlign w:val="top"/>
          </w:tcPr>
          <w:p w14:paraId="6C963FB2">
            <w:pPr>
              <w:pStyle w:val="37"/>
              <w:spacing w:before="183" w:line="189" w:lineRule="auto"/>
              <w:ind w:left="613"/>
            </w:pPr>
            <w:r>
              <w:rPr>
                <w:spacing w:val="2"/>
              </w:rPr>
              <w:t>0.03</w:t>
            </w:r>
          </w:p>
        </w:tc>
      </w:tr>
    </w:tbl>
    <w:p w14:paraId="22A367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6E63A3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1.3.1.2 镁含量为 100%与表 1 中所列杂质元素含量实测值总和的差值，求和前数值应 修约至与表 1 中所列极限数位一致，求和后将数值修约至 0.0X%再与 100%求差。 </w:t>
      </w:r>
    </w:p>
    <w:p w14:paraId="62311A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1.3.1.3 分析数值的判定采用修约比较法，数值修约按 GB/T 8170 的有关规定进行。 </w:t>
      </w:r>
    </w:p>
    <w:p w14:paraId="64CCDB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修约数位与表 1 中所列极限值数位一致。 </w:t>
      </w:r>
    </w:p>
    <w:p w14:paraId="7C3383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1.3.2 外观质量 </w:t>
      </w:r>
    </w:p>
    <w:p w14:paraId="5AB8069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1.3.2.1 原生镁锭表面应平整清洁，不允许有残留熔剂、夹渣、冷隔、飞边、氧化燃 烧产物及其他影响使用的缺陷，但允许有修理痕迹。每块重量 7±0.5kg。 </w:t>
      </w:r>
    </w:p>
    <w:p w14:paraId="1B658C9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1.3.2.2 原生镁锭不允许表面有残留酸，缩孔内不允许有水分。 </w:t>
      </w:r>
    </w:p>
    <w:p w14:paraId="634E6F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2.检验规则 </w:t>
      </w:r>
    </w:p>
    <w:p w14:paraId="23A7E8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2.1 检测和验收 </w:t>
      </w:r>
    </w:p>
    <w:p w14:paraId="000A339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2.1.1 由需方在需方仓库内进行抽样检验。如检验结果与规定不符时，应及时向供方提出，供方收到需方质量异常反馈后，应在3个工作日内处理，否则视为默认需方提出的异议和处理意见。 </w:t>
      </w:r>
    </w:p>
    <w:p w14:paraId="6DAC04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2.1.2 必要时，需方可依据订货单（或合同）约定，进入供方现场对拟交货的产品 进行供货前的检查和验收。 </w:t>
      </w:r>
    </w:p>
    <w:p w14:paraId="367E1C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2.2 组批 </w:t>
      </w:r>
    </w:p>
    <w:p w14:paraId="62451D0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2.2.1 原生镁锭应成批提交检验，同一供方每次到货组批抽检一次。 </w:t>
      </w:r>
    </w:p>
    <w:p w14:paraId="666B929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2.2.2 原生镁锭在使用过程中出现质量问题时，可不定时进行取样检验。若为原生镁锭质量存在问题的，由供方承担相关责任及赔偿相应损失。</w:t>
      </w:r>
    </w:p>
    <w:p w14:paraId="35157B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2.3 检验项目 </w:t>
      </w:r>
    </w:p>
    <w:p w14:paraId="7CA86B4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每批原生镁锭应进行表 1 规定的化学成分、外观质量的检验。 </w:t>
      </w:r>
    </w:p>
    <w:p w14:paraId="7CB360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2.4 取样和制样 </w:t>
      </w:r>
    </w:p>
    <w:p w14:paraId="09A6707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2.4.1 原生镁锭的取样按照 GB/T 3499 原生镁锭中条款 5.4 规定进行。 </w:t>
      </w:r>
    </w:p>
    <w:p w14:paraId="15B22E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2.4.2 封存试样保存期限不少于 3 个月。 </w:t>
      </w:r>
    </w:p>
    <w:p w14:paraId="1FDDD4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2.5 检验结果的判定 </w:t>
      </w:r>
    </w:p>
    <w:p w14:paraId="041F97D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化学成分、外观等任何一项不合格时，判该批原生镁锭不合格。 </w:t>
      </w:r>
    </w:p>
    <w:p w14:paraId="12436F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2.6 复检 </w:t>
      </w:r>
    </w:p>
    <w:p w14:paraId="294191D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供需双方在验收过程中就质量问题发生争议时，供方需在 3 个工作日内提出复检 申请，用需方到货验收时封存样品进行复检。双方一起确认标准样品后，在需方实验 室进行复检，当复检结果在该项指标检测标准规定再现性范围内的，以需方到货验收 时检测结果为结算依据，当复检结果超出该项指标检测标准规定再现性范围的，以复 检结果为结算依据。对于到货验收时，需方已送样至具备资质的第三方检测机构进行 检测的，以第三方检测结果为结算依据，不再受理供方的复检申请。 </w:t>
      </w:r>
    </w:p>
    <w:p w14:paraId="1D247C7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2.7 试验方法 </w:t>
      </w:r>
    </w:p>
    <w:p w14:paraId="181327A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GB/T 13748（所有部分）镁及镁合金化学分析方法。 </w:t>
      </w:r>
    </w:p>
    <w:p w14:paraId="515BB1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2.8 标志、标签和随行文件 </w:t>
      </w:r>
    </w:p>
    <w:p w14:paraId="67CDEC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2.8.1 标志 </w:t>
      </w:r>
    </w:p>
    <w:p w14:paraId="54CB38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每捆镁锭上都应有标志或标签，标明执行标准、牌号、熔炼号、捆号、净重、块 数、生产日期、生产企业名称。 </w:t>
      </w:r>
    </w:p>
    <w:p w14:paraId="349C2C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2.8.2 随行文件 </w:t>
      </w:r>
    </w:p>
    <w:p w14:paraId="0600839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每批产品应附有质量证明书等，应注明：①供方信息；②产品名称和牌号；③批号、净含量；④分析检验结果及供方技术（质量）监督部门印记；⑤执行标准号；⑥ 生产日期或包装日期。 </w:t>
      </w:r>
    </w:p>
    <w:p w14:paraId="62E005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2.9 运输和贮存 </w:t>
      </w:r>
    </w:p>
    <w:p w14:paraId="2CBBCC5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2.9.1 原生镁锭用同牌号的镁质托盘或专用的干燥木质托盘盛装，表面用整体的塑料布包裹后，再用高强度塑钢带或钢带捆扎，应保证不散捆。钢带应符合 YB/T 025 的有关规定，每捆应是同一牌号镁锭，净重 1500kg±50Kg。</w:t>
      </w:r>
    </w:p>
    <w:p w14:paraId="00CC9A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2.9.2 运输 </w:t>
      </w:r>
    </w:p>
    <w:p w14:paraId="6A9E80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原生镁锭在常温状态下化学性质稳定，按常规方式运输。运输时用清洁的集装箱 或有防雨措施的车辆进行。装卸时防止产品淋湿。 </w:t>
      </w:r>
    </w:p>
    <w:p w14:paraId="39261F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2.9.3 贮存 </w:t>
      </w:r>
    </w:p>
    <w:p w14:paraId="1A5F44C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原生镁锭应贮存在干燥、清洁、通风、无腐蚀性介质的仓库内。 </w:t>
      </w:r>
    </w:p>
    <w:p w14:paraId="51431E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2.10 扣款细则 </w:t>
      </w:r>
    </w:p>
    <w:p w14:paraId="6D32101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当供方供应的原生镁锭不合格时，如需方同意接收使用的，按以下扣款细则进行扣款，否则进行退货处理。</w:t>
      </w:r>
    </w:p>
    <w:p w14:paraId="712E37F2">
      <w:pPr>
        <w:keepNext w:val="0"/>
        <w:keepLines w:val="0"/>
        <w:pageBreakBefore w:val="0"/>
        <w:kinsoku/>
        <w:wordWrap/>
        <w:overflowPunct/>
        <w:topLinePunct w:val="0"/>
        <w:autoSpaceDE/>
        <w:autoSpaceDN/>
        <w:bidi w:val="0"/>
        <w:adjustRightInd/>
        <w:snapToGrid/>
        <w:spacing w:before="38" w:line="440" w:lineRule="exact"/>
        <w:ind w:firstLine="2596" w:firstLineChars="1100"/>
        <w:textAlignment w:val="auto"/>
        <w:rPr>
          <w:rFonts w:ascii="宋体" w:hAnsi="宋体" w:eastAsia="宋体" w:cs="宋体"/>
          <w:spacing w:val="-2"/>
          <w:sz w:val="24"/>
          <w:szCs w:val="24"/>
        </w:rPr>
      </w:pPr>
    </w:p>
    <w:p w14:paraId="13C9E0EC">
      <w:pPr>
        <w:keepNext w:val="0"/>
        <w:keepLines w:val="0"/>
        <w:pageBreakBefore w:val="0"/>
        <w:kinsoku/>
        <w:wordWrap/>
        <w:overflowPunct/>
        <w:topLinePunct w:val="0"/>
        <w:autoSpaceDE/>
        <w:autoSpaceDN/>
        <w:bidi w:val="0"/>
        <w:adjustRightInd/>
        <w:snapToGrid/>
        <w:spacing w:before="38" w:line="440" w:lineRule="exact"/>
        <w:ind w:firstLine="2596" w:firstLineChars="1100"/>
        <w:textAlignment w:val="auto"/>
        <w:rPr>
          <w:rFonts w:ascii="宋体" w:hAnsi="宋体" w:eastAsia="宋体" w:cs="宋体"/>
          <w:spacing w:val="-2"/>
          <w:sz w:val="24"/>
          <w:szCs w:val="24"/>
        </w:rPr>
      </w:pPr>
    </w:p>
    <w:p w14:paraId="6909BC94">
      <w:pPr>
        <w:keepNext w:val="0"/>
        <w:keepLines w:val="0"/>
        <w:pageBreakBefore w:val="0"/>
        <w:kinsoku/>
        <w:wordWrap/>
        <w:overflowPunct/>
        <w:topLinePunct w:val="0"/>
        <w:autoSpaceDE/>
        <w:autoSpaceDN/>
        <w:bidi w:val="0"/>
        <w:adjustRightInd/>
        <w:snapToGrid/>
        <w:spacing w:before="38" w:line="440" w:lineRule="exact"/>
        <w:ind w:firstLine="2596" w:firstLineChars="1100"/>
        <w:textAlignment w:val="auto"/>
        <w:rPr>
          <w:rFonts w:ascii="宋体" w:hAnsi="宋体" w:eastAsia="宋体" w:cs="宋体"/>
          <w:sz w:val="24"/>
          <w:szCs w:val="24"/>
        </w:rPr>
      </w:pPr>
      <w:r>
        <w:rPr>
          <w:rFonts w:ascii="宋体" w:hAnsi="宋体" w:eastAsia="宋体" w:cs="宋体"/>
          <w:spacing w:val="-2"/>
          <w:sz w:val="24"/>
          <w:szCs w:val="24"/>
        </w:rPr>
        <w:t>表</w:t>
      </w:r>
      <w:r>
        <w:rPr>
          <w:rFonts w:ascii="宋体" w:hAnsi="宋体" w:eastAsia="宋体" w:cs="宋体"/>
          <w:spacing w:val="-48"/>
          <w:sz w:val="24"/>
          <w:szCs w:val="24"/>
        </w:rPr>
        <w:t xml:space="preserve"> </w:t>
      </w:r>
      <w:r>
        <w:rPr>
          <w:rFonts w:ascii="宋体" w:hAnsi="宋体" w:eastAsia="宋体" w:cs="宋体"/>
          <w:spacing w:val="-2"/>
          <w:sz w:val="24"/>
          <w:szCs w:val="24"/>
        </w:rPr>
        <w:t>2：原生镁锭扣款细则</w:t>
      </w:r>
    </w:p>
    <w:tbl>
      <w:tblPr>
        <w:tblStyle w:val="36"/>
        <w:tblpPr w:leftFromText="180" w:rightFromText="180" w:vertAnchor="text" w:horzAnchor="page" w:tblpX="1565" w:tblpY="144"/>
        <w:tblOverlap w:val="never"/>
        <w:tblW w:w="88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913"/>
        <w:gridCol w:w="1619"/>
        <w:gridCol w:w="2314"/>
        <w:gridCol w:w="2088"/>
      </w:tblGrid>
      <w:tr w14:paraId="299A4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806" w:type="dxa"/>
            <w:gridSpan w:val="5"/>
            <w:vAlign w:val="top"/>
          </w:tcPr>
          <w:p w14:paraId="685530EA">
            <w:pPr>
              <w:pStyle w:val="37"/>
              <w:keepNext w:val="0"/>
              <w:keepLines w:val="0"/>
              <w:pageBreakBefore w:val="0"/>
              <w:kinsoku/>
              <w:wordWrap/>
              <w:overflowPunct/>
              <w:topLinePunct w:val="0"/>
              <w:autoSpaceDE/>
              <w:autoSpaceDN/>
              <w:bidi w:val="0"/>
              <w:adjustRightInd/>
              <w:snapToGrid/>
              <w:spacing w:before="134" w:line="440" w:lineRule="exact"/>
              <w:ind w:left="3569"/>
              <w:textAlignment w:val="auto"/>
            </w:pPr>
            <w:r>
              <w:rPr>
                <w:b/>
                <w:bCs/>
                <w:spacing w:val="6"/>
              </w:rPr>
              <w:t>原生镁锭扣款细则</w:t>
            </w:r>
          </w:p>
        </w:tc>
      </w:tr>
      <w:tr w14:paraId="0538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72" w:type="dxa"/>
            <w:vAlign w:val="top"/>
          </w:tcPr>
          <w:p w14:paraId="7EDFCDA5">
            <w:pPr>
              <w:pStyle w:val="37"/>
              <w:keepNext w:val="0"/>
              <w:keepLines w:val="0"/>
              <w:pageBreakBefore w:val="0"/>
              <w:kinsoku/>
              <w:wordWrap/>
              <w:overflowPunct/>
              <w:topLinePunct w:val="0"/>
              <w:autoSpaceDE/>
              <w:autoSpaceDN/>
              <w:bidi w:val="0"/>
              <w:adjustRightInd/>
              <w:snapToGrid/>
              <w:spacing w:before="78" w:line="440" w:lineRule="exact"/>
              <w:ind w:left="229"/>
              <w:textAlignment w:val="auto"/>
            </w:pPr>
            <w:r>
              <w:rPr>
                <w:b/>
                <w:bCs/>
                <w:spacing w:val="4"/>
              </w:rPr>
              <w:t>序号</w:t>
            </w:r>
          </w:p>
        </w:tc>
        <w:tc>
          <w:tcPr>
            <w:tcW w:w="1913" w:type="dxa"/>
            <w:vAlign w:val="top"/>
          </w:tcPr>
          <w:p w14:paraId="30AEE076">
            <w:pPr>
              <w:pStyle w:val="37"/>
              <w:keepNext w:val="0"/>
              <w:keepLines w:val="0"/>
              <w:pageBreakBefore w:val="0"/>
              <w:kinsoku/>
              <w:wordWrap/>
              <w:overflowPunct/>
              <w:topLinePunct w:val="0"/>
              <w:autoSpaceDE/>
              <w:autoSpaceDN/>
              <w:bidi w:val="0"/>
              <w:adjustRightInd/>
              <w:snapToGrid/>
              <w:spacing w:before="78" w:line="440" w:lineRule="exact"/>
              <w:ind w:left="751"/>
              <w:textAlignment w:val="auto"/>
            </w:pPr>
            <w:r>
              <w:rPr>
                <w:b/>
                <w:bCs/>
                <w:spacing w:val="3"/>
              </w:rPr>
              <w:t>子项</w:t>
            </w:r>
          </w:p>
        </w:tc>
        <w:tc>
          <w:tcPr>
            <w:tcW w:w="1619" w:type="dxa"/>
            <w:vAlign w:val="top"/>
          </w:tcPr>
          <w:p w14:paraId="31B68462">
            <w:pPr>
              <w:pStyle w:val="37"/>
              <w:keepNext w:val="0"/>
              <w:keepLines w:val="0"/>
              <w:pageBreakBefore w:val="0"/>
              <w:kinsoku/>
              <w:wordWrap/>
              <w:overflowPunct/>
              <w:topLinePunct w:val="0"/>
              <w:autoSpaceDE/>
              <w:autoSpaceDN/>
              <w:bidi w:val="0"/>
              <w:adjustRightInd/>
              <w:snapToGrid/>
              <w:spacing w:before="78" w:line="440" w:lineRule="exact"/>
              <w:ind w:left="604"/>
              <w:textAlignment w:val="auto"/>
            </w:pPr>
            <w:r>
              <w:rPr>
                <w:b/>
                <w:bCs/>
                <w:spacing w:val="3"/>
              </w:rPr>
              <w:t>要求</w:t>
            </w:r>
          </w:p>
        </w:tc>
        <w:tc>
          <w:tcPr>
            <w:tcW w:w="2314" w:type="dxa"/>
            <w:vAlign w:val="top"/>
          </w:tcPr>
          <w:p w14:paraId="6A730C5E">
            <w:pPr>
              <w:pStyle w:val="37"/>
              <w:keepNext w:val="0"/>
              <w:keepLines w:val="0"/>
              <w:pageBreakBefore w:val="0"/>
              <w:kinsoku/>
              <w:wordWrap/>
              <w:overflowPunct/>
              <w:topLinePunct w:val="0"/>
              <w:autoSpaceDE/>
              <w:autoSpaceDN/>
              <w:bidi w:val="0"/>
              <w:adjustRightInd/>
              <w:snapToGrid/>
              <w:spacing w:before="77" w:line="440" w:lineRule="exact"/>
              <w:ind w:left="546"/>
              <w:textAlignment w:val="auto"/>
            </w:pPr>
            <w:r>
              <w:rPr>
                <w:b/>
                <w:bCs/>
                <w:spacing w:val="4"/>
              </w:rPr>
              <w:t>降级扣款规定</w:t>
            </w:r>
          </w:p>
        </w:tc>
        <w:tc>
          <w:tcPr>
            <w:tcW w:w="2088" w:type="dxa"/>
            <w:vAlign w:val="top"/>
          </w:tcPr>
          <w:p w14:paraId="2EAFF6B3">
            <w:pPr>
              <w:pStyle w:val="37"/>
              <w:keepNext w:val="0"/>
              <w:keepLines w:val="0"/>
              <w:pageBreakBefore w:val="0"/>
              <w:kinsoku/>
              <w:wordWrap/>
              <w:overflowPunct/>
              <w:topLinePunct w:val="0"/>
              <w:autoSpaceDE/>
              <w:autoSpaceDN/>
              <w:bidi w:val="0"/>
              <w:adjustRightInd/>
              <w:snapToGrid/>
              <w:spacing w:before="77" w:line="440" w:lineRule="exact"/>
              <w:ind w:left="631"/>
              <w:textAlignment w:val="auto"/>
            </w:pPr>
            <w:r>
              <w:rPr>
                <w:b/>
                <w:bCs/>
                <w:spacing w:val="5"/>
              </w:rPr>
              <w:t>扣款金额</w:t>
            </w:r>
          </w:p>
        </w:tc>
      </w:tr>
      <w:tr w14:paraId="16244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72" w:type="dxa"/>
            <w:vAlign w:val="top"/>
          </w:tcPr>
          <w:p w14:paraId="32578060">
            <w:pPr>
              <w:pStyle w:val="37"/>
              <w:keepNext w:val="0"/>
              <w:keepLines w:val="0"/>
              <w:pageBreakBefore w:val="0"/>
              <w:kinsoku/>
              <w:wordWrap/>
              <w:overflowPunct/>
              <w:topLinePunct w:val="0"/>
              <w:autoSpaceDE/>
              <w:autoSpaceDN/>
              <w:bidi w:val="0"/>
              <w:adjustRightInd/>
              <w:snapToGrid/>
              <w:spacing w:before="123" w:line="440" w:lineRule="exact"/>
              <w:ind w:left="404"/>
              <w:textAlignment w:val="auto"/>
            </w:pPr>
            <w:r>
              <w:t>1</w:t>
            </w:r>
          </w:p>
        </w:tc>
        <w:tc>
          <w:tcPr>
            <w:tcW w:w="1913" w:type="dxa"/>
            <w:vAlign w:val="top"/>
          </w:tcPr>
          <w:p w14:paraId="0455792A">
            <w:pPr>
              <w:pStyle w:val="37"/>
              <w:keepNext w:val="0"/>
              <w:keepLines w:val="0"/>
              <w:pageBreakBefore w:val="0"/>
              <w:kinsoku/>
              <w:wordWrap/>
              <w:overflowPunct/>
              <w:topLinePunct w:val="0"/>
              <w:autoSpaceDE/>
              <w:autoSpaceDN/>
              <w:bidi w:val="0"/>
              <w:adjustRightInd/>
              <w:snapToGrid/>
              <w:spacing w:before="91" w:line="440" w:lineRule="exact"/>
              <w:ind w:left="800"/>
              <w:textAlignment w:val="auto"/>
            </w:pPr>
            <w:r>
              <w:rPr>
                <w:position w:val="1"/>
              </w:rPr>
              <w:t>Fe</w:t>
            </w:r>
            <w:r>
              <w:rPr>
                <w:spacing w:val="10"/>
                <w:position w:val="1"/>
              </w:rPr>
              <w:t>%</w:t>
            </w:r>
          </w:p>
        </w:tc>
        <w:tc>
          <w:tcPr>
            <w:tcW w:w="1619" w:type="dxa"/>
            <w:vAlign w:val="top"/>
          </w:tcPr>
          <w:p w14:paraId="63C87A10">
            <w:pPr>
              <w:pStyle w:val="37"/>
              <w:keepNext w:val="0"/>
              <w:keepLines w:val="0"/>
              <w:pageBreakBefore w:val="0"/>
              <w:kinsoku/>
              <w:wordWrap/>
              <w:overflowPunct/>
              <w:topLinePunct w:val="0"/>
              <w:autoSpaceDE/>
              <w:autoSpaceDN/>
              <w:bidi w:val="0"/>
              <w:adjustRightInd/>
              <w:snapToGrid/>
              <w:spacing w:before="91" w:line="440" w:lineRule="exact"/>
              <w:ind w:left="515"/>
              <w:textAlignment w:val="auto"/>
            </w:pPr>
            <w:r>
              <w:rPr>
                <w:spacing w:val="1"/>
                <w:position w:val="1"/>
              </w:rPr>
              <w:t>≤0.04</w:t>
            </w:r>
          </w:p>
        </w:tc>
        <w:tc>
          <w:tcPr>
            <w:tcW w:w="2314" w:type="dxa"/>
            <w:vAlign w:val="top"/>
          </w:tcPr>
          <w:p w14:paraId="302BABA1">
            <w:pPr>
              <w:pStyle w:val="37"/>
              <w:keepNext w:val="0"/>
              <w:keepLines w:val="0"/>
              <w:pageBreakBefore w:val="0"/>
              <w:kinsoku/>
              <w:wordWrap/>
              <w:overflowPunct/>
              <w:topLinePunct w:val="0"/>
              <w:autoSpaceDE/>
              <w:autoSpaceDN/>
              <w:bidi w:val="0"/>
              <w:adjustRightInd/>
              <w:snapToGrid/>
              <w:spacing w:before="90" w:line="440" w:lineRule="exact"/>
              <w:ind w:left="400"/>
              <w:textAlignment w:val="auto"/>
            </w:pPr>
            <w:r>
              <w:rPr>
                <w:spacing w:val="5"/>
              </w:rPr>
              <w:t>每高于要求</w:t>
            </w:r>
            <w:r>
              <w:rPr>
                <w:spacing w:val="-32"/>
              </w:rPr>
              <w:t xml:space="preserve"> </w:t>
            </w:r>
            <w:r>
              <w:rPr>
                <w:spacing w:val="5"/>
              </w:rPr>
              <w:t>0.01</w:t>
            </w:r>
          </w:p>
        </w:tc>
        <w:tc>
          <w:tcPr>
            <w:tcW w:w="2088" w:type="dxa"/>
            <w:vAlign w:val="top"/>
          </w:tcPr>
          <w:p w14:paraId="7D270919">
            <w:pPr>
              <w:pStyle w:val="37"/>
              <w:keepNext w:val="0"/>
              <w:keepLines w:val="0"/>
              <w:pageBreakBefore w:val="0"/>
              <w:kinsoku/>
              <w:wordWrap/>
              <w:overflowPunct/>
              <w:topLinePunct w:val="0"/>
              <w:autoSpaceDE/>
              <w:autoSpaceDN/>
              <w:bidi w:val="0"/>
              <w:adjustRightInd/>
              <w:snapToGrid/>
              <w:spacing w:before="91" w:line="440" w:lineRule="exact"/>
              <w:ind w:left="617"/>
              <w:textAlignment w:val="auto"/>
            </w:pPr>
            <w:r>
              <w:t>100</w:t>
            </w:r>
            <w:r>
              <w:rPr>
                <w:spacing w:val="-34"/>
              </w:rPr>
              <w:t xml:space="preserve"> </w:t>
            </w:r>
            <w:r>
              <w:t>元/吨</w:t>
            </w:r>
          </w:p>
        </w:tc>
      </w:tr>
      <w:tr w14:paraId="13516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72" w:type="dxa"/>
            <w:vAlign w:val="top"/>
          </w:tcPr>
          <w:p w14:paraId="5917A40A">
            <w:pPr>
              <w:pStyle w:val="37"/>
              <w:keepNext w:val="0"/>
              <w:keepLines w:val="0"/>
              <w:pageBreakBefore w:val="0"/>
              <w:kinsoku/>
              <w:wordWrap/>
              <w:overflowPunct/>
              <w:topLinePunct w:val="0"/>
              <w:autoSpaceDE/>
              <w:autoSpaceDN/>
              <w:bidi w:val="0"/>
              <w:adjustRightInd/>
              <w:snapToGrid/>
              <w:spacing w:before="123" w:line="440" w:lineRule="exact"/>
              <w:ind w:left="391"/>
              <w:textAlignment w:val="auto"/>
            </w:pPr>
            <w:r>
              <w:t>2</w:t>
            </w:r>
          </w:p>
        </w:tc>
        <w:tc>
          <w:tcPr>
            <w:tcW w:w="1913" w:type="dxa"/>
            <w:vAlign w:val="top"/>
          </w:tcPr>
          <w:p w14:paraId="5B7620D5">
            <w:pPr>
              <w:pStyle w:val="37"/>
              <w:keepNext w:val="0"/>
              <w:keepLines w:val="0"/>
              <w:pageBreakBefore w:val="0"/>
              <w:kinsoku/>
              <w:wordWrap/>
              <w:overflowPunct/>
              <w:topLinePunct w:val="0"/>
              <w:autoSpaceDE/>
              <w:autoSpaceDN/>
              <w:bidi w:val="0"/>
              <w:adjustRightInd/>
              <w:snapToGrid/>
              <w:spacing w:before="91" w:line="440" w:lineRule="exact"/>
              <w:ind w:left="796"/>
              <w:textAlignment w:val="auto"/>
            </w:pPr>
            <w:r>
              <w:rPr>
                <w:position w:val="1"/>
              </w:rPr>
              <w:t>Ni</w:t>
            </w:r>
            <w:r>
              <w:rPr>
                <w:spacing w:val="14"/>
                <w:position w:val="1"/>
              </w:rPr>
              <w:t>%</w:t>
            </w:r>
          </w:p>
        </w:tc>
        <w:tc>
          <w:tcPr>
            <w:tcW w:w="1619" w:type="dxa"/>
            <w:vAlign w:val="top"/>
          </w:tcPr>
          <w:p w14:paraId="5A211AD1">
            <w:pPr>
              <w:pStyle w:val="37"/>
              <w:keepNext w:val="0"/>
              <w:keepLines w:val="0"/>
              <w:pageBreakBefore w:val="0"/>
              <w:kinsoku/>
              <w:wordWrap/>
              <w:overflowPunct/>
              <w:topLinePunct w:val="0"/>
              <w:autoSpaceDE/>
              <w:autoSpaceDN/>
              <w:bidi w:val="0"/>
              <w:adjustRightInd/>
              <w:snapToGrid/>
              <w:spacing w:before="125" w:line="440" w:lineRule="exact"/>
              <w:ind w:left="462"/>
              <w:textAlignment w:val="auto"/>
            </w:pPr>
            <w:r>
              <w:rPr>
                <w:spacing w:val="1"/>
              </w:rPr>
              <w:t>≤0.001</w:t>
            </w:r>
          </w:p>
        </w:tc>
        <w:tc>
          <w:tcPr>
            <w:tcW w:w="2314" w:type="dxa"/>
            <w:vAlign w:val="top"/>
          </w:tcPr>
          <w:p w14:paraId="14AA1664">
            <w:pPr>
              <w:pStyle w:val="37"/>
              <w:keepNext w:val="0"/>
              <w:keepLines w:val="0"/>
              <w:pageBreakBefore w:val="0"/>
              <w:kinsoku/>
              <w:wordWrap/>
              <w:overflowPunct/>
              <w:topLinePunct w:val="0"/>
              <w:autoSpaceDE/>
              <w:autoSpaceDN/>
              <w:bidi w:val="0"/>
              <w:adjustRightInd/>
              <w:snapToGrid/>
              <w:spacing w:before="90" w:line="440" w:lineRule="exact"/>
              <w:ind w:left="348"/>
              <w:textAlignment w:val="auto"/>
            </w:pPr>
            <w:r>
              <w:rPr>
                <w:spacing w:val="5"/>
              </w:rPr>
              <w:t>每高于要求</w:t>
            </w:r>
            <w:r>
              <w:rPr>
                <w:spacing w:val="-34"/>
              </w:rPr>
              <w:t xml:space="preserve"> </w:t>
            </w:r>
            <w:r>
              <w:rPr>
                <w:spacing w:val="5"/>
              </w:rPr>
              <w:t>0.001</w:t>
            </w:r>
          </w:p>
        </w:tc>
        <w:tc>
          <w:tcPr>
            <w:tcW w:w="2088" w:type="dxa"/>
            <w:vAlign w:val="top"/>
          </w:tcPr>
          <w:p w14:paraId="5BCFC290">
            <w:pPr>
              <w:pStyle w:val="37"/>
              <w:keepNext w:val="0"/>
              <w:keepLines w:val="0"/>
              <w:pageBreakBefore w:val="0"/>
              <w:kinsoku/>
              <w:wordWrap/>
              <w:overflowPunct/>
              <w:topLinePunct w:val="0"/>
              <w:autoSpaceDE/>
              <w:autoSpaceDN/>
              <w:bidi w:val="0"/>
              <w:adjustRightInd/>
              <w:snapToGrid/>
              <w:spacing w:before="91" w:line="440" w:lineRule="exact"/>
              <w:ind w:left="659"/>
              <w:textAlignment w:val="auto"/>
            </w:pPr>
            <w:r>
              <w:rPr>
                <w:spacing w:val="2"/>
              </w:rPr>
              <w:t>50</w:t>
            </w:r>
            <w:r>
              <w:rPr>
                <w:spacing w:val="-39"/>
              </w:rPr>
              <w:t xml:space="preserve"> </w:t>
            </w:r>
            <w:r>
              <w:rPr>
                <w:spacing w:val="2"/>
              </w:rPr>
              <w:t>元/吨</w:t>
            </w:r>
          </w:p>
        </w:tc>
      </w:tr>
      <w:tr w14:paraId="6AB0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72" w:type="dxa"/>
            <w:vAlign w:val="top"/>
          </w:tcPr>
          <w:p w14:paraId="3219CB75">
            <w:pPr>
              <w:pStyle w:val="37"/>
              <w:keepNext w:val="0"/>
              <w:keepLines w:val="0"/>
              <w:pageBreakBefore w:val="0"/>
              <w:kinsoku/>
              <w:wordWrap/>
              <w:overflowPunct/>
              <w:topLinePunct w:val="0"/>
              <w:autoSpaceDE/>
              <w:autoSpaceDN/>
              <w:bidi w:val="0"/>
              <w:adjustRightInd/>
              <w:snapToGrid/>
              <w:spacing w:before="126" w:line="440" w:lineRule="exact"/>
              <w:ind w:left="393"/>
              <w:textAlignment w:val="auto"/>
            </w:pPr>
            <w:r>
              <w:t>3</w:t>
            </w:r>
          </w:p>
        </w:tc>
        <w:tc>
          <w:tcPr>
            <w:tcW w:w="1913" w:type="dxa"/>
            <w:vAlign w:val="top"/>
          </w:tcPr>
          <w:p w14:paraId="1DD0A11A">
            <w:pPr>
              <w:pStyle w:val="37"/>
              <w:keepNext w:val="0"/>
              <w:keepLines w:val="0"/>
              <w:pageBreakBefore w:val="0"/>
              <w:kinsoku/>
              <w:wordWrap/>
              <w:overflowPunct/>
              <w:topLinePunct w:val="0"/>
              <w:autoSpaceDE/>
              <w:autoSpaceDN/>
              <w:bidi w:val="0"/>
              <w:adjustRightInd/>
              <w:snapToGrid/>
              <w:spacing w:before="93" w:line="440" w:lineRule="exact"/>
              <w:ind w:left="801"/>
              <w:textAlignment w:val="auto"/>
            </w:pPr>
            <w:r>
              <w:rPr>
                <w:position w:val="1"/>
              </w:rPr>
              <w:t>Cu</w:t>
            </w:r>
            <w:r>
              <w:rPr>
                <w:spacing w:val="9"/>
                <w:position w:val="1"/>
              </w:rPr>
              <w:t>%</w:t>
            </w:r>
          </w:p>
        </w:tc>
        <w:tc>
          <w:tcPr>
            <w:tcW w:w="1619" w:type="dxa"/>
            <w:vAlign w:val="top"/>
          </w:tcPr>
          <w:p w14:paraId="36A254B3">
            <w:pPr>
              <w:pStyle w:val="37"/>
              <w:keepNext w:val="0"/>
              <w:keepLines w:val="0"/>
              <w:pageBreakBefore w:val="0"/>
              <w:kinsoku/>
              <w:wordWrap/>
              <w:overflowPunct/>
              <w:topLinePunct w:val="0"/>
              <w:autoSpaceDE/>
              <w:autoSpaceDN/>
              <w:bidi w:val="0"/>
              <w:adjustRightInd/>
              <w:snapToGrid/>
              <w:spacing w:before="93" w:line="440" w:lineRule="exact"/>
              <w:ind w:left="455"/>
              <w:textAlignment w:val="auto"/>
            </w:pPr>
            <w:r>
              <w:rPr>
                <w:spacing w:val="1"/>
                <w:position w:val="1"/>
              </w:rPr>
              <w:t>≤0.004</w:t>
            </w:r>
          </w:p>
        </w:tc>
        <w:tc>
          <w:tcPr>
            <w:tcW w:w="2314" w:type="dxa"/>
            <w:vAlign w:val="top"/>
          </w:tcPr>
          <w:p w14:paraId="6EFA51A2">
            <w:pPr>
              <w:pStyle w:val="37"/>
              <w:keepNext w:val="0"/>
              <w:keepLines w:val="0"/>
              <w:pageBreakBefore w:val="0"/>
              <w:kinsoku/>
              <w:wordWrap/>
              <w:overflowPunct/>
              <w:topLinePunct w:val="0"/>
              <w:autoSpaceDE/>
              <w:autoSpaceDN/>
              <w:bidi w:val="0"/>
              <w:adjustRightInd/>
              <w:snapToGrid/>
              <w:spacing w:before="93" w:line="440" w:lineRule="exact"/>
              <w:ind w:left="348"/>
              <w:textAlignment w:val="auto"/>
            </w:pPr>
            <w:r>
              <w:rPr>
                <w:spacing w:val="5"/>
              </w:rPr>
              <w:t>每高于要求</w:t>
            </w:r>
            <w:r>
              <w:rPr>
                <w:spacing w:val="-34"/>
              </w:rPr>
              <w:t xml:space="preserve"> </w:t>
            </w:r>
            <w:r>
              <w:rPr>
                <w:spacing w:val="5"/>
              </w:rPr>
              <w:t>0.001</w:t>
            </w:r>
          </w:p>
        </w:tc>
        <w:tc>
          <w:tcPr>
            <w:tcW w:w="2088" w:type="dxa"/>
            <w:vAlign w:val="top"/>
          </w:tcPr>
          <w:p w14:paraId="54C8CBB6">
            <w:pPr>
              <w:pStyle w:val="37"/>
              <w:keepNext w:val="0"/>
              <w:keepLines w:val="0"/>
              <w:pageBreakBefore w:val="0"/>
              <w:kinsoku/>
              <w:wordWrap/>
              <w:overflowPunct/>
              <w:topLinePunct w:val="0"/>
              <w:autoSpaceDE/>
              <w:autoSpaceDN/>
              <w:bidi w:val="0"/>
              <w:adjustRightInd/>
              <w:snapToGrid/>
              <w:spacing w:before="94" w:line="440" w:lineRule="exact"/>
              <w:ind w:left="659"/>
              <w:textAlignment w:val="auto"/>
            </w:pPr>
            <w:r>
              <w:rPr>
                <w:spacing w:val="2"/>
              </w:rPr>
              <w:t>50</w:t>
            </w:r>
            <w:r>
              <w:rPr>
                <w:spacing w:val="-39"/>
              </w:rPr>
              <w:t xml:space="preserve"> </w:t>
            </w:r>
            <w:r>
              <w:rPr>
                <w:spacing w:val="2"/>
              </w:rPr>
              <w:t>元/吨</w:t>
            </w:r>
          </w:p>
        </w:tc>
      </w:tr>
      <w:tr w14:paraId="75FD9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72" w:type="dxa"/>
            <w:vAlign w:val="top"/>
          </w:tcPr>
          <w:p w14:paraId="24ADE460">
            <w:pPr>
              <w:pStyle w:val="37"/>
              <w:keepNext w:val="0"/>
              <w:keepLines w:val="0"/>
              <w:pageBreakBefore w:val="0"/>
              <w:kinsoku/>
              <w:wordWrap/>
              <w:overflowPunct/>
              <w:topLinePunct w:val="0"/>
              <w:autoSpaceDE/>
              <w:autoSpaceDN/>
              <w:bidi w:val="0"/>
              <w:adjustRightInd/>
              <w:snapToGrid/>
              <w:spacing w:before="126" w:line="440" w:lineRule="exact"/>
              <w:ind w:left="388"/>
              <w:textAlignment w:val="auto"/>
            </w:pPr>
            <w:r>
              <w:t>4</w:t>
            </w:r>
          </w:p>
        </w:tc>
        <w:tc>
          <w:tcPr>
            <w:tcW w:w="1913" w:type="dxa"/>
            <w:vAlign w:val="top"/>
          </w:tcPr>
          <w:p w14:paraId="2D89A407">
            <w:pPr>
              <w:pStyle w:val="37"/>
              <w:keepNext w:val="0"/>
              <w:keepLines w:val="0"/>
              <w:pageBreakBefore w:val="0"/>
              <w:kinsoku/>
              <w:wordWrap/>
              <w:overflowPunct/>
              <w:topLinePunct w:val="0"/>
              <w:autoSpaceDE/>
              <w:autoSpaceDN/>
              <w:bidi w:val="0"/>
              <w:adjustRightInd/>
              <w:snapToGrid/>
              <w:spacing w:before="93" w:line="440" w:lineRule="exact"/>
              <w:ind w:left="796"/>
              <w:textAlignment w:val="auto"/>
            </w:pPr>
            <w:r>
              <w:rPr>
                <w:position w:val="1"/>
              </w:rPr>
              <w:t>Mn</w:t>
            </w:r>
            <w:r>
              <w:rPr>
                <w:spacing w:val="14"/>
                <w:position w:val="1"/>
              </w:rPr>
              <w:t>%</w:t>
            </w:r>
          </w:p>
        </w:tc>
        <w:tc>
          <w:tcPr>
            <w:tcW w:w="1619" w:type="dxa"/>
            <w:vAlign w:val="top"/>
          </w:tcPr>
          <w:p w14:paraId="1E75126A">
            <w:pPr>
              <w:pStyle w:val="37"/>
              <w:keepNext w:val="0"/>
              <w:keepLines w:val="0"/>
              <w:pageBreakBefore w:val="0"/>
              <w:kinsoku/>
              <w:wordWrap/>
              <w:overflowPunct/>
              <w:topLinePunct w:val="0"/>
              <w:autoSpaceDE/>
              <w:autoSpaceDN/>
              <w:bidi w:val="0"/>
              <w:adjustRightInd/>
              <w:snapToGrid/>
              <w:spacing w:before="93" w:line="440" w:lineRule="exact"/>
              <w:ind w:left="515"/>
              <w:textAlignment w:val="auto"/>
            </w:pPr>
            <w:r>
              <w:rPr>
                <w:spacing w:val="1"/>
                <w:position w:val="1"/>
              </w:rPr>
              <w:t>≤0.03</w:t>
            </w:r>
          </w:p>
        </w:tc>
        <w:tc>
          <w:tcPr>
            <w:tcW w:w="2314" w:type="dxa"/>
            <w:vAlign w:val="top"/>
          </w:tcPr>
          <w:p w14:paraId="00FF2540">
            <w:pPr>
              <w:pStyle w:val="37"/>
              <w:keepNext w:val="0"/>
              <w:keepLines w:val="0"/>
              <w:pageBreakBefore w:val="0"/>
              <w:kinsoku/>
              <w:wordWrap/>
              <w:overflowPunct/>
              <w:topLinePunct w:val="0"/>
              <w:autoSpaceDE/>
              <w:autoSpaceDN/>
              <w:bidi w:val="0"/>
              <w:adjustRightInd/>
              <w:snapToGrid/>
              <w:spacing w:before="93" w:line="440" w:lineRule="exact"/>
              <w:ind w:left="400"/>
              <w:textAlignment w:val="auto"/>
            </w:pPr>
            <w:r>
              <w:rPr>
                <w:spacing w:val="5"/>
              </w:rPr>
              <w:t>每高于要求</w:t>
            </w:r>
            <w:r>
              <w:rPr>
                <w:spacing w:val="-32"/>
              </w:rPr>
              <w:t xml:space="preserve"> </w:t>
            </w:r>
            <w:r>
              <w:rPr>
                <w:spacing w:val="5"/>
              </w:rPr>
              <w:t>0.01</w:t>
            </w:r>
          </w:p>
        </w:tc>
        <w:tc>
          <w:tcPr>
            <w:tcW w:w="2088" w:type="dxa"/>
            <w:vAlign w:val="top"/>
          </w:tcPr>
          <w:p w14:paraId="7CE3F3BD">
            <w:pPr>
              <w:pStyle w:val="37"/>
              <w:keepNext w:val="0"/>
              <w:keepLines w:val="0"/>
              <w:pageBreakBefore w:val="0"/>
              <w:kinsoku/>
              <w:wordWrap/>
              <w:overflowPunct/>
              <w:topLinePunct w:val="0"/>
              <w:autoSpaceDE/>
              <w:autoSpaceDN/>
              <w:bidi w:val="0"/>
              <w:adjustRightInd/>
              <w:snapToGrid/>
              <w:spacing w:before="94" w:line="440" w:lineRule="exact"/>
              <w:ind w:left="659"/>
              <w:textAlignment w:val="auto"/>
            </w:pPr>
            <w:r>
              <w:rPr>
                <w:spacing w:val="2"/>
              </w:rPr>
              <w:t>50</w:t>
            </w:r>
            <w:r>
              <w:rPr>
                <w:spacing w:val="-39"/>
              </w:rPr>
              <w:t xml:space="preserve"> </w:t>
            </w:r>
            <w:r>
              <w:rPr>
                <w:spacing w:val="2"/>
              </w:rPr>
              <w:t>元/吨</w:t>
            </w:r>
          </w:p>
        </w:tc>
      </w:tr>
      <w:tr w14:paraId="690C0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72" w:type="dxa"/>
            <w:vAlign w:val="top"/>
          </w:tcPr>
          <w:p w14:paraId="2EC726DE">
            <w:pPr>
              <w:pStyle w:val="37"/>
              <w:keepNext w:val="0"/>
              <w:keepLines w:val="0"/>
              <w:pageBreakBefore w:val="0"/>
              <w:kinsoku/>
              <w:wordWrap/>
              <w:overflowPunct/>
              <w:topLinePunct w:val="0"/>
              <w:autoSpaceDE/>
              <w:autoSpaceDN/>
              <w:bidi w:val="0"/>
              <w:adjustRightInd/>
              <w:snapToGrid/>
              <w:spacing w:before="149" w:line="440" w:lineRule="exact"/>
              <w:ind w:left="393"/>
              <w:textAlignment w:val="auto"/>
            </w:pPr>
            <w:r>
              <w:t>5</w:t>
            </w:r>
          </w:p>
        </w:tc>
        <w:tc>
          <w:tcPr>
            <w:tcW w:w="1913" w:type="dxa"/>
            <w:vAlign w:val="top"/>
          </w:tcPr>
          <w:p w14:paraId="29F93EB0">
            <w:pPr>
              <w:pStyle w:val="37"/>
              <w:keepNext w:val="0"/>
              <w:keepLines w:val="0"/>
              <w:pageBreakBefore w:val="0"/>
              <w:kinsoku/>
              <w:wordWrap/>
              <w:overflowPunct/>
              <w:topLinePunct w:val="0"/>
              <w:autoSpaceDE/>
              <w:autoSpaceDN/>
              <w:bidi w:val="0"/>
              <w:adjustRightInd/>
              <w:snapToGrid/>
              <w:spacing w:before="114" w:line="440" w:lineRule="exact"/>
              <w:ind w:left="545"/>
              <w:textAlignment w:val="auto"/>
            </w:pPr>
            <w:r>
              <w:rPr>
                <w:spacing w:val="6"/>
              </w:rPr>
              <w:t>外观质量</w:t>
            </w:r>
          </w:p>
        </w:tc>
        <w:tc>
          <w:tcPr>
            <w:tcW w:w="6021" w:type="dxa"/>
            <w:gridSpan w:val="3"/>
            <w:vAlign w:val="top"/>
          </w:tcPr>
          <w:p w14:paraId="3AD33DCA">
            <w:pPr>
              <w:pStyle w:val="37"/>
              <w:keepNext w:val="0"/>
              <w:keepLines w:val="0"/>
              <w:pageBreakBefore w:val="0"/>
              <w:kinsoku/>
              <w:wordWrap/>
              <w:overflowPunct/>
              <w:topLinePunct w:val="0"/>
              <w:autoSpaceDE/>
              <w:autoSpaceDN/>
              <w:bidi w:val="0"/>
              <w:adjustRightInd/>
              <w:snapToGrid/>
              <w:spacing w:before="114" w:line="440" w:lineRule="exact"/>
              <w:jc w:val="right"/>
              <w:textAlignment w:val="auto"/>
            </w:pPr>
            <w:r>
              <w:rPr>
                <w:spacing w:val="-1"/>
              </w:rPr>
              <w:t>经需方评审可降级使用的，扣款</w:t>
            </w:r>
            <w:r>
              <w:rPr>
                <w:spacing w:val="-34"/>
              </w:rPr>
              <w:t xml:space="preserve"> </w:t>
            </w:r>
            <w:r>
              <w:rPr>
                <w:spacing w:val="-1"/>
              </w:rPr>
              <w:t>50</w:t>
            </w:r>
            <w:r>
              <w:rPr>
                <w:spacing w:val="-39"/>
              </w:rPr>
              <w:t xml:space="preserve"> </w:t>
            </w:r>
            <w:r>
              <w:rPr>
                <w:spacing w:val="-1"/>
              </w:rPr>
              <w:t>元/吨，不能使用的，退</w:t>
            </w:r>
            <w:r>
              <w:rPr>
                <w:spacing w:val="-2"/>
              </w:rPr>
              <w:t>货处理。</w:t>
            </w:r>
          </w:p>
        </w:tc>
      </w:tr>
      <w:tr w14:paraId="15BA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806" w:type="dxa"/>
            <w:gridSpan w:val="5"/>
            <w:vAlign w:val="top"/>
          </w:tcPr>
          <w:p w14:paraId="0169155C">
            <w:pPr>
              <w:pStyle w:val="37"/>
              <w:keepNext w:val="0"/>
              <w:keepLines w:val="0"/>
              <w:pageBreakBefore w:val="0"/>
              <w:kinsoku/>
              <w:wordWrap/>
              <w:overflowPunct/>
              <w:topLinePunct w:val="0"/>
              <w:autoSpaceDE/>
              <w:autoSpaceDN/>
              <w:bidi w:val="0"/>
              <w:adjustRightInd/>
              <w:snapToGrid/>
              <w:spacing w:before="114" w:line="440" w:lineRule="exact"/>
              <w:ind w:left="21"/>
              <w:textAlignment w:val="auto"/>
            </w:pPr>
            <w:r>
              <w:rPr>
                <w:spacing w:val="5"/>
              </w:rPr>
              <w:t>注：降级扣款时，不足</w:t>
            </w:r>
            <w:r>
              <w:rPr>
                <w:spacing w:val="-18"/>
              </w:rPr>
              <w:t xml:space="preserve"> </w:t>
            </w:r>
            <w:r>
              <w:rPr>
                <w:spacing w:val="5"/>
              </w:rPr>
              <w:t>0.01</w:t>
            </w:r>
            <w:r>
              <w:rPr>
                <w:spacing w:val="-38"/>
              </w:rPr>
              <w:t xml:space="preserve"> </w:t>
            </w:r>
            <w:r>
              <w:rPr>
                <w:spacing w:val="5"/>
              </w:rPr>
              <w:t>按</w:t>
            </w:r>
            <w:r>
              <w:rPr>
                <w:spacing w:val="-38"/>
              </w:rPr>
              <w:t xml:space="preserve"> </w:t>
            </w:r>
            <w:r>
              <w:rPr>
                <w:spacing w:val="5"/>
              </w:rPr>
              <w:t>0.01</w:t>
            </w:r>
            <w:r>
              <w:rPr>
                <w:spacing w:val="-39"/>
              </w:rPr>
              <w:t xml:space="preserve"> </w:t>
            </w:r>
            <w:r>
              <w:rPr>
                <w:spacing w:val="5"/>
              </w:rPr>
              <w:t>标准扣款，不足</w:t>
            </w:r>
            <w:r>
              <w:rPr>
                <w:spacing w:val="-36"/>
              </w:rPr>
              <w:t xml:space="preserve"> </w:t>
            </w:r>
            <w:r>
              <w:rPr>
                <w:spacing w:val="5"/>
              </w:rPr>
              <w:t>0.001</w:t>
            </w:r>
            <w:r>
              <w:rPr>
                <w:spacing w:val="-38"/>
              </w:rPr>
              <w:t xml:space="preserve"> </w:t>
            </w:r>
            <w:r>
              <w:rPr>
                <w:spacing w:val="5"/>
              </w:rPr>
              <w:t>按</w:t>
            </w:r>
            <w:r>
              <w:rPr>
                <w:spacing w:val="-35"/>
              </w:rPr>
              <w:t xml:space="preserve"> </w:t>
            </w:r>
            <w:r>
              <w:rPr>
                <w:spacing w:val="5"/>
              </w:rPr>
              <w:t>0.001</w:t>
            </w:r>
            <w:r>
              <w:rPr>
                <w:spacing w:val="-40"/>
              </w:rPr>
              <w:t xml:space="preserve"> </w:t>
            </w:r>
            <w:r>
              <w:rPr>
                <w:spacing w:val="5"/>
              </w:rPr>
              <w:t>标准扣款。</w:t>
            </w:r>
          </w:p>
        </w:tc>
      </w:tr>
    </w:tbl>
    <w:p w14:paraId="11A99AE1">
      <w:pPr>
        <w:keepNext w:val="0"/>
        <w:keepLines w:val="0"/>
        <w:pageBreakBefore w:val="0"/>
        <w:kinsoku/>
        <w:wordWrap/>
        <w:overflowPunct/>
        <w:topLinePunct w:val="0"/>
        <w:autoSpaceDE/>
        <w:autoSpaceDN/>
        <w:bidi w:val="0"/>
        <w:adjustRightInd/>
        <w:snapToGrid/>
        <w:spacing w:line="440" w:lineRule="exact"/>
        <w:textAlignment w:val="auto"/>
        <w:rPr>
          <w:rFonts w:ascii="Arial"/>
          <w:sz w:val="2"/>
        </w:rPr>
      </w:pPr>
    </w:p>
    <w:p w14:paraId="4D3C63B5">
      <w:pPr>
        <w:pStyle w:val="22"/>
      </w:pPr>
    </w:p>
    <w:p w14:paraId="3C55C337">
      <w:pPr>
        <w:pStyle w:val="22"/>
      </w:pPr>
    </w:p>
    <w:p w14:paraId="2D8DE634">
      <w:pPr>
        <w:pStyle w:val="22"/>
      </w:pPr>
    </w:p>
    <w:p w14:paraId="6B6631D4">
      <w:pPr>
        <w:pStyle w:val="22"/>
      </w:pPr>
    </w:p>
    <w:p w14:paraId="6FC08D10">
      <w:pPr>
        <w:pStyle w:val="22"/>
      </w:pPr>
    </w:p>
    <w:p w14:paraId="393A1C05">
      <w:pPr>
        <w:pStyle w:val="22"/>
      </w:pPr>
    </w:p>
    <w:p w14:paraId="781A2B7F">
      <w:pPr>
        <w:pStyle w:val="22"/>
      </w:pPr>
    </w:p>
    <w:p w14:paraId="1FF17A76">
      <w:pPr>
        <w:pStyle w:val="22"/>
      </w:pPr>
    </w:p>
    <w:p w14:paraId="05C2F1E6">
      <w:pPr>
        <w:pStyle w:val="22"/>
      </w:pPr>
    </w:p>
    <w:p w14:paraId="0E69CAF8">
      <w:pPr>
        <w:pStyle w:val="22"/>
      </w:pPr>
    </w:p>
    <w:p w14:paraId="1EE5C934">
      <w:pPr>
        <w:rPr>
          <w:rFonts w:hint="eastAsia"/>
          <w:b/>
          <w:szCs w:val="21"/>
        </w:rPr>
      </w:pPr>
    </w:p>
    <w:p w14:paraId="69631DEB">
      <w:pPr>
        <w:rPr>
          <w:rFonts w:hint="eastAsia"/>
          <w:b/>
          <w:szCs w:val="21"/>
        </w:rPr>
      </w:pPr>
    </w:p>
    <w:p w14:paraId="53E19DD8">
      <w:pPr>
        <w:rPr>
          <w:rFonts w:hint="eastAsia" w:asciiTheme="majorEastAsia" w:hAnsiTheme="majorEastAsia" w:eastAsiaTheme="majorEastAsia" w:cstheme="majorEastAsia"/>
          <w:b/>
          <w:szCs w:val="21"/>
        </w:rPr>
      </w:pPr>
      <w:bookmarkStart w:id="2" w:name="_GoBack"/>
      <w:bookmarkEnd w:id="2"/>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3</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14:paraId="0ABA2588">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14:paraId="7E1628AF">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广西百矿新材料技术有限公司</w:t>
      </w:r>
      <w:r>
        <w:rPr>
          <w:rFonts w:hint="eastAsia" w:asciiTheme="majorEastAsia" w:hAnsiTheme="majorEastAsia" w:eastAsiaTheme="majorEastAsia" w:cstheme="majorEastAsia"/>
          <w:sz w:val="21"/>
          <w:szCs w:val="21"/>
        </w:rPr>
        <w:t>：</w:t>
      </w:r>
    </w:p>
    <w:p w14:paraId="5B5A4616">
      <w:pPr>
        <w:spacing w:line="360" w:lineRule="auto"/>
        <w:ind w:firstLine="420"/>
        <w:rPr>
          <w:rFonts w:hint="eastAsia" w:asciiTheme="majorEastAsia" w:hAnsiTheme="majorEastAsia" w:eastAsiaTheme="majorEastAsia" w:cstheme="majorEastAsia"/>
          <w:sz w:val="21"/>
          <w:szCs w:val="21"/>
        </w:rPr>
      </w:pPr>
    </w:p>
    <w:p w14:paraId="162335D2">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金属镁采购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14:paraId="5B8CEF9A">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广西百矿新材料技术有限公司</w:t>
      </w:r>
      <w:r>
        <w:rPr>
          <w:rFonts w:hint="eastAsia" w:asciiTheme="majorEastAsia" w:hAnsiTheme="majorEastAsia" w:eastAsiaTheme="majorEastAsia" w:cstheme="majorEastAsia"/>
          <w:b w:val="0"/>
          <w:bCs w:val="0"/>
          <w:sz w:val="21"/>
          <w:szCs w:val="21"/>
          <w:u w:val="single"/>
          <w:lang w:val="en-US" w:eastAsia="zh-CN"/>
        </w:rPr>
        <w:t>2025年金属镁采购项目邀请书</w:t>
      </w:r>
      <w:r>
        <w:rPr>
          <w:rFonts w:hint="eastAsia" w:asciiTheme="majorEastAsia" w:hAnsiTheme="majorEastAsia" w:eastAsiaTheme="majorEastAsia" w:cstheme="majorEastAsia"/>
          <w:b w:val="0"/>
          <w:bCs w:val="0"/>
          <w:sz w:val="21"/>
          <w:szCs w:val="21"/>
          <w:u w:val="none"/>
        </w:rPr>
        <w:t>规定的交货期要求。</w:t>
      </w:r>
    </w:p>
    <w:p w14:paraId="06B710D6">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val="en-US" w:eastAsia="zh-CN"/>
        </w:rPr>
        <w:t>金属镁</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14:paraId="16AE2B45">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val="en-US" w:eastAsia="zh-CN"/>
        </w:rPr>
        <w:t>金属镁</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14:paraId="1795F7D6">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Huahe.Lu@geely.com</w:t>
      </w:r>
    </w:p>
    <w:p w14:paraId="3E630282">
      <w:pPr>
        <w:pStyle w:val="22"/>
        <w:rPr>
          <w:rFonts w:hint="eastAsia" w:asciiTheme="majorEastAsia" w:hAnsiTheme="majorEastAsia" w:eastAsiaTheme="majorEastAsia" w:cstheme="majorEastAsia"/>
          <w:lang w:eastAsia="zh-CN"/>
        </w:rPr>
      </w:pPr>
    </w:p>
    <w:p w14:paraId="76034A2E">
      <w:pPr>
        <w:pStyle w:val="2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14:paraId="72639986">
      <w:pPr>
        <w:spacing w:line="360" w:lineRule="auto"/>
        <w:ind w:firstLine="420"/>
        <w:rPr>
          <w:rFonts w:hint="eastAsia" w:asciiTheme="majorEastAsia" w:hAnsiTheme="majorEastAsia" w:eastAsiaTheme="majorEastAsia" w:cstheme="majorEastAsia"/>
          <w:sz w:val="21"/>
          <w:szCs w:val="21"/>
        </w:rPr>
      </w:pPr>
    </w:p>
    <w:p w14:paraId="01933079">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5B34D2BE">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6898B6FD">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6084FCEE">
      <w:pPr>
        <w:rPr>
          <w:rFonts w:hint="eastAsia"/>
        </w:rPr>
      </w:pPr>
    </w:p>
    <w:p w14:paraId="2C98E446">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2040C32C">
        <w:pPr>
          <w:pStyle w:val="8"/>
          <w:jc w:val="center"/>
        </w:pPr>
        <w:r>
          <w:fldChar w:fldCharType="begin"/>
        </w:r>
        <w:r>
          <w:instrText xml:space="preserve">PAGE   \* MERGEFORMAT</w:instrText>
        </w:r>
        <w:r>
          <w:fldChar w:fldCharType="separate"/>
        </w:r>
        <w:r>
          <w:rPr>
            <w:lang w:val="zh-CN"/>
          </w:rPr>
          <w:t>3</w:t>
        </w:r>
        <w:r>
          <w:fldChar w:fldCharType="end"/>
        </w:r>
      </w:p>
    </w:sdtContent>
  </w:sdt>
  <w:p w14:paraId="0351143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8936">
    <w:pPr>
      <w:pStyle w:val="8"/>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D68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8919">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14:paraId="4B57E625">
    <w:r>
      <w:pict>
        <v:shape id="_x0000_s2050" o:spid="_x0000_s2050" o:spt="75" alt="Title: EayslinkWatermark" type="#_x0000_t75" style="position:absolute;left:0pt;height:45pt;width:9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0A1B">
    <w:pPr>
      <w:pStyle w:val="9"/>
    </w:pPr>
  </w:p>
  <w:p w14:paraId="0EDEBB9E">
    <w:r>
      <w:pict>
        <v:shape id="_x0000_s2049" o:spid="_x0000_s2049" o:spt="75" alt="Title: EayslinkWatermark" type="#_x0000_t75" style="position:absolute;left:0pt;height:45pt;width:9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D53C">
    <w:pPr>
      <w:pStyle w:val="9"/>
    </w:pPr>
  </w:p>
  <w:p w14:paraId="200B5C96">
    <w:r>
      <w:pict>
        <v:shape id="EayslinkWatermark" o:spid="_x0000_s2051" o:spt="75" alt="Title: EayslinkWatermark" type="#_x0000_t75" style="position:absolute;left:0pt;height:45pt;width:9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5540D"/>
    <w:multiLevelType w:val="singleLevel"/>
    <w:tmpl w:val="7515540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15CF"/>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165668"/>
    <w:rsid w:val="03B234C9"/>
    <w:rsid w:val="047F0FEB"/>
    <w:rsid w:val="052F65AB"/>
    <w:rsid w:val="05772429"/>
    <w:rsid w:val="063B27C1"/>
    <w:rsid w:val="06F63781"/>
    <w:rsid w:val="07456121"/>
    <w:rsid w:val="0A420305"/>
    <w:rsid w:val="0B820F78"/>
    <w:rsid w:val="0B8A3BDC"/>
    <w:rsid w:val="0C7C5845"/>
    <w:rsid w:val="0CAD008F"/>
    <w:rsid w:val="0DE54DDD"/>
    <w:rsid w:val="0E082052"/>
    <w:rsid w:val="0E6C3CDC"/>
    <w:rsid w:val="10437703"/>
    <w:rsid w:val="113A610C"/>
    <w:rsid w:val="11E9103B"/>
    <w:rsid w:val="12290200"/>
    <w:rsid w:val="12AC23E2"/>
    <w:rsid w:val="136B5FB3"/>
    <w:rsid w:val="13934C8A"/>
    <w:rsid w:val="139376FC"/>
    <w:rsid w:val="139B2695"/>
    <w:rsid w:val="144D187B"/>
    <w:rsid w:val="159B0014"/>
    <w:rsid w:val="17073614"/>
    <w:rsid w:val="17C15D97"/>
    <w:rsid w:val="185D040A"/>
    <w:rsid w:val="188E5A7E"/>
    <w:rsid w:val="18C56ABE"/>
    <w:rsid w:val="18C740FB"/>
    <w:rsid w:val="1A174747"/>
    <w:rsid w:val="1AE051C5"/>
    <w:rsid w:val="1B0325F3"/>
    <w:rsid w:val="1BA12E75"/>
    <w:rsid w:val="1BE90CBC"/>
    <w:rsid w:val="1C0B4FDF"/>
    <w:rsid w:val="1C5B2F04"/>
    <w:rsid w:val="1CD42A2E"/>
    <w:rsid w:val="1D5D2FEB"/>
    <w:rsid w:val="1DC3395B"/>
    <w:rsid w:val="1EA413BD"/>
    <w:rsid w:val="1EA96421"/>
    <w:rsid w:val="1F16393D"/>
    <w:rsid w:val="212849CA"/>
    <w:rsid w:val="217C545D"/>
    <w:rsid w:val="22B86521"/>
    <w:rsid w:val="245C646E"/>
    <w:rsid w:val="24782E39"/>
    <w:rsid w:val="25281CA0"/>
    <w:rsid w:val="256C065C"/>
    <w:rsid w:val="263920D0"/>
    <w:rsid w:val="271C3AA6"/>
    <w:rsid w:val="27FF17B9"/>
    <w:rsid w:val="28266776"/>
    <w:rsid w:val="286A351C"/>
    <w:rsid w:val="28DF7FBC"/>
    <w:rsid w:val="2A7055D9"/>
    <w:rsid w:val="2BB655EB"/>
    <w:rsid w:val="2CA17371"/>
    <w:rsid w:val="2DE03868"/>
    <w:rsid w:val="2EFA0920"/>
    <w:rsid w:val="2F2E0DD3"/>
    <w:rsid w:val="2FDF0AC1"/>
    <w:rsid w:val="30530CB9"/>
    <w:rsid w:val="31241C20"/>
    <w:rsid w:val="31A606A8"/>
    <w:rsid w:val="331B1825"/>
    <w:rsid w:val="3370188D"/>
    <w:rsid w:val="337C12F0"/>
    <w:rsid w:val="33A5028C"/>
    <w:rsid w:val="340A6022"/>
    <w:rsid w:val="34991DD6"/>
    <w:rsid w:val="34A26162"/>
    <w:rsid w:val="34E47465"/>
    <w:rsid w:val="35D55EAC"/>
    <w:rsid w:val="360E21C1"/>
    <w:rsid w:val="36401C52"/>
    <w:rsid w:val="37861D96"/>
    <w:rsid w:val="37FD118C"/>
    <w:rsid w:val="38AC6F88"/>
    <w:rsid w:val="395A55A8"/>
    <w:rsid w:val="3A3E06A3"/>
    <w:rsid w:val="3B0722D4"/>
    <w:rsid w:val="3CCC43B5"/>
    <w:rsid w:val="3DDD74C1"/>
    <w:rsid w:val="3E2D76D6"/>
    <w:rsid w:val="3E4F3034"/>
    <w:rsid w:val="3F2915A3"/>
    <w:rsid w:val="408373C1"/>
    <w:rsid w:val="409E30A8"/>
    <w:rsid w:val="40FC4CB0"/>
    <w:rsid w:val="41034C6C"/>
    <w:rsid w:val="41504F94"/>
    <w:rsid w:val="418A16EC"/>
    <w:rsid w:val="41B35408"/>
    <w:rsid w:val="43922586"/>
    <w:rsid w:val="46DE6196"/>
    <w:rsid w:val="47AB2817"/>
    <w:rsid w:val="487415C3"/>
    <w:rsid w:val="487B65BE"/>
    <w:rsid w:val="48821426"/>
    <w:rsid w:val="4B166A95"/>
    <w:rsid w:val="4B493BD2"/>
    <w:rsid w:val="4C7157A4"/>
    <w:rsid w:val="4D2423DA"/>
    <w:rsid w:val="4E7C360B"/>
    <w:rsid w:val="4F3E52A8"/>
    <w:rsid w:val="4F586394"/>
    <w:rsid w:val="4F8E66AE"/>
    <w:rsid w:val="50232F42"/>
    <w:rsid w:val="51DE68AB"/>
    <w:rsid w:val="52074CBA"/>
    <w:rsid w:val="533D0BDE"/>
    <w:rsid w:val="53411EE9"/>
    <w:rsid w:val="53513A3C"/>
    <w:rsid w:val="536F00DE"/>
    <w:rsid w:val="539313E4"/>
    <w:rsid w:val="54116199"/>
    <w:rsid w:val="543F18E6"/>
    <w:rsid w:val="55497E47"/>
    <w:rsid w:val="561B446B"/>
    <w:rsid w:val="56B26B95"/>
    <w:rsid w:val="57005247"/>
    <w:rsid w:val="5780446C"/>
    <w:rsid w:val="57C021E2"/>
    <w:rsid w:val="57C6574D"/>
    <w:rsid w:val="5A58599B"/>
    <w:rsid w:val="5B1D587B"/>
    <w:rsid w:val="5B2172A6"/>
    <w:rsid w:val="5B3434F8"/>
    <w:rsid w:val="5BED75A9"/>
    <w:rsid w:val="5D1619BA"/>
    <w:rsid w:val="5E6A71F7"/>
    <w:rsid w:val="5EBD751B"/>
    <w:rsid w:val="5F557AF4"/>
    <w:rsid w:val="5FD41082"/>
    <w:rsid w:val="600E2170"/>
    <w:rsid w:val="60934C78"/>
    <w:rsid w:val="60FC4012"/>
    <w:rsid w:val="6106280A"/>
    <w:rsid w:val="618F164B"/>
    <w:rsid w:val="61A241F9"/>
    <w:rsid w:val="62976BA7"/>
    <w:rsid w:val="62D46057"/>
    <w:rsid w:val="62D460A8"/>
    <w:rsid w:val="63EF192E"/>
    <w:rsid w:val="640336FD"/>
    <w:rsid w:val="647C5B23"/>
    <w:rsid w:val="650D0632"/>
    <w:rsid w:val="6534570D"/>
    <w:rsid w:val="65413FA7"/>
    <w:rsid w:val="65BB3DCB"/>
    <w:rsid w:val="66D44B2F"/>
    <w:rsid w:val="67714B74"/>
    <w:rsid w:val="67A105BB"/>
    <w:rsid w:val="67E919DE"/>
    <w:rsid w:val="682806B6"/>
    <w:rsid w:val="686D619C"/>
    <w:rsid w:val="6ACD6C40"/>
    <w:rsid w:val="6B26681C"/>
    <w:rsid w:val="6B3E03B6"/>
    <w:rsid w:val="6B5B2464"/>
    <w:rsid w:val="6B997406"/>
    <w:rsid w:val="6BE91E82"/>
    <w:rsid w:val="6CFB43E6"/>
    <w:rsid w:val="6D226F1D"/>
    <w:rsid w:val="6D651ED0"/>
    <w:rsid w:val="6E1038D1"/>
    <w:rsid w:val="6EA76F13"/>
    <w:rsid w:val="6F5D25CA"/>
    <w:rsid w:val="704A38E5"/>
    <w:rsid w:val="71246855"/>
    <w:rsid w:val="716B46DE"/>
    <w:rsid w:val="724F2B10"/>
    <w:rsid w:val="72E55401"/>
    <w:rsid w:val="73645753"/>
    <w:rsid w:val="737D1E5A"/>
    <w:rsid w:val="73B93F82"/>
    <w:rsid w:val="74E62BE1"/>
    <w:rsid w:val="75592C7C"/>
    <w:rsid w:val="7600251B"/>
    <w:rsid w:val="76444236"/>
    <w:rsid w:val="76BF0406"/>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4">
    <w:name w:val="Default Paragraph Font"/>
    <w:link w:val="15"/>
    <w:autoRedefine/>
    <w:unhideWhenUsed/>
    <w:qFormat/>
    <w:uiPriority w:val="1"/>
    <w:rPr>
      <w:kern w:val="1"/>
    </w:rPr>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annotation text"/>
    <w:basedOn w:val="1"/>
    <w:link w:val="27"/>
    <w:autoRedefine/>
    <w:unhideWhenUsed/>
    <w:qFormat/>
    <w:uiPriority w:val="99"/>
    <w:pPr>
      <w:jc w:val="left"/>
    </w:pPr>
  </w:style>
  <w:style w:type="paragraph" w:styleId="5">
    <w:name w:val="Body Text"/>
    <w:basedOn w:val="1"/>
    <w:autoRedefine/>
    <w:qFormat/>
    <w:uiPriority w:val="1"/>
    <w:pPr>
      <w:ind w:left="169"/>
    </w:pPr>
    <w:rPr>
      <w:rFonts w:ascii="宋体" w:hAnsi="宋体" w:eastAsia="宋体" w:cs="宋体"/>
      <w:sz w:val="24"/>
      <w:szCs w:val="24"/>
      <w:lang w:val="zh-CN" w:eastAsia="zh-CN" w:bidi="zh-CN"/>
    </w:rPr>
  </w:style>
  <w:style w:type="paragraph" w:styleId="6">
    <w:name w:val="Date"/>
    <w:basedOn w:val="1"/>
    <w:next w:val="1"/>
    <w:link w:val="25"/>
    <w:autoRedefine/>
    <w:unhideWhenUsed/>
    <w:qFormat/>
    <w:uiPriority w:val="99"/>
    <w:pPr>
      <w:ind w:left="100" w:leftChars="2500"/>
    </w:pPr>
  </w:style>
  <w:style w:type="paragraph" w:styleId="7">
    <w:name w:val="Balloon Text"/>
    <w:basedOn w:val="1"/>
    <w:link w:val="28"/>
    <w:autoRedefine/>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0"/>
    <w:pPr>
      <w:spacing w:before="240" w:after="60"/>
      <w:jc w:val="center"/>
      <w:outlineLvl w:val="0"/>
    </w:pPr>
    <w:rPr>
      <w:rFonts w:ascii="微软雅黑" w:hAnsi="微软雅黑" w:eastAsia="微软雅黑"/>
      <w:b/>
      <w:bCs/>
      <w:sz w:val="44"/>
      <w:szCs w:val="32"/>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autoRedefine/>
    <w:qFormat/>
    <w:uiPriority w:val="0"/>
    <w:rPr>
      <w:kern w:val="1"/>
    </w:rPr>
  </w:style>
  <w:style w:type="character" w:styleId="16">
    <w:name w:val="Strong"/>
    <w:basedOn w:val="14"/>
    <w:autoRedefine/>
    <w:qFormat/>
    <w:uiPriority w:val="22"/>
    <w:rPr>
      <w:b/>
      <w:bCs/>
    </w:rPr>
  </w:style>
  <w:style w:type="character" w:styleId="17">
    <w:name w:val="page number"/>
    <w:basedOn w:val="14"/>
    <w:autoRedefine/>
    <w:qFormat/>
    <w:uiPriority w:val="0"/>
  </w:style>
  <w:style w:type="character" w:styleId="18">
    <w:name w:val="FollowedHyperlink"/>
    <w:basedOn w:val="14"/>
    <w:autoRedefine/>
    <w:unhideWhenUsed/>
    <w:qFormat/>
    <w:uiPriority w:val="99"/>
    <w:rPr>
      <w:color w:val="800080" w:themeColor="followedHyperlink"/>
      <w:u w:val="single"/>
      <w14:textFill>
        <w14:solidFill>
          <w14:schemeClr w14:val="folHlink"/>
        </w14:solidFill>
      </w14:textFill>
    </w:rPr>
  </w:style>
  <w:style w:type="character" w:styleId="19">
    <w:name w:val="Emphasis"/>
    <w:basedOn w:val="14"/>
    <w:autoRedefine/>
    <w:qFormat/>
    <w:uiPriority w:val="20"/>
    <w:rPr>
      <w:i/>
    </w:rPr>
  </w:style>
  <w:style w:type="character" w:styleId="20">
    <w:name w:val="Hyperlink"/>
    <w:basedOn w:val="14"/>
    <w:autoRedefine/>
    <w:unhideWhenUsed/>
    <w:qFormat/>
    <w:uiPriority w:val="99"/>
    <w:rPr>
      <w:color w:val="0000FF"/>
      <w:u w:val="none"/>
    </w:rPr>
  </w:style>
  <w:style w:type="character" w:styleId="21">
    <w:name w:val="annotation reference"/>
    <w:basedOn w:val="14"/>
    <w:autoRedefine/>
    <w:unhideWhenUsed/>
    <w:qFormat/>
    <w:uiPriority w:val="99"/>
    <w:rPr>
      <w:sz w:val="21"/>
      <w:szCs w:val="21"/>
    </w:rPr>
  </w:style>
  <w:style w:type="paragraph" w:customStyle="1" w:styleId="2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日期 Char"/>
    <w:basedOn w:val="14"/>
    <w:link w:val="6"/>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4"/>
    <w:link w:val="4"/>
    <w:autoRedefine/>
    <w:semiHidden/>
    <w:qFormat/>
    <w:uiPriority w:val="99"/>
  </w:style>
  <w:style w:type="character" w:customStyle="1" w:styleId="28">
    <w:name w:val="批注框文本 Char"/>
    <w:basedOn w:val="14"/>
    <w:link w:val="7"/>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4"/>
    <w:autoRedefine/>
    <w:qFormat/>
    <w:uiPriority w:val="0"/>
    <w:rPr>
      <w:rFonts w:hint="eastAsia" w:ascii="宋体" w:hAnsi="宋体" w:eastAsia="宋体" w:cs="宋体"/>
      <w:color w:val="000000"/>
      <w:sz w:val="24"/>
      <w:szCs w:val="24"/>
      <w:u w:val="none"/>
    </w:rPr>
  </w:style>
  <w:style w:type="character" w:customStyle="1" w:styleId="33">
    <w:name w:val="font41"/>
    <w:basedOn w:val="14"/>
    <w:autoRedefine/>
    <w:qFormat/>
    <w:uiPriority w:val="0"/>
    <w:rPr>
      <w:rFonts w:hint="default" w:ascii="Times New Roman" w:hAnsi="Times New Roman" w:cs="Times New Roman"/>
      <w:color w:val="000000"/>
      <w:sz w:val="22"/>
      <w:szCs w:val="22"/>
      <w:u w:val="none"/>
    </w:rPr>
  </w:style>
  <w:style w:type="character" w:customStyle="1" w:styleId="34">
    <w:name w:val="font11"/>
    <w:basedOn w:val="14"/>
    <w:autoRedefine/>
    <w:qFormat/>
    <w:uiPriority w:val="0"/>
    <w:rPr>
      <w:rFonts w:hint="eastAsia" w:ascii="宋体" w:hAnsi="宋体" w:eastAsia="宋体" w:cs="宋体"/>
      <w:color w:val="FF0000"/>
      <w:sz w:val="20"/>
      <w:szCs w:val="20"/>
      <w:u w:val="none"/>
    </w:rPr>
  </w:style>
  <w:style w:type="paragraph" w:customStyle="1" w:styleId="35">
    <w:name w:val="样式1"/>
    <w:basedOn w:val="1"/>
    <w:autoRedefine/>
    <w:qFormat/>
    <w:uiPriority w:val="0"/>
    <w:rPr>
      <w:b/>
      <w:color w:val="538135"/>
      <w:sz w:val="28"/>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1980</Words>
  <Characters>2199</Characters>
  <Lines>13</Lines>
  <Paragraphs>3</Paragraphs>
  <TotalTime>0</TotalTime>
  <ScaleCrop>false</ScaleCrop>
  <LinksUpToDate>false</LinksUpToDate>
  <CharactersWithSpaces>2369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合子</cp:lastModifiedBy>
  <dcterms:modified xsi:type="dcterms:W3CDTF">2025-05-07T09:45:59Z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{"watermark_type":"track","current_time":"2024-08-22 13:03","employee_id":"emp_53e76e55-ad6f-4d81-87d8-0a05bbd30828","agent_id":"b19ca44061d9f6ebf9943345378a88a5adc3f81f8ae6e55a4c6b6fe042a30ccc","process":"","custom_content":"科技租户","total_content":"2024-08-22 13:03-emp_53e76e55-ad6f-4d81-87d8-0a05bbd30828-b19ca44061d9f6ebf9943345378a88a5adc3f81f8ae6e55a4c6b6fe042a30ccc-{{process}}-科技租户"}</vt:lpwstr>
  </property>
  <property fmtid="{D5CDD505-2E9C-101B-9397-08002B2CF9AE}" pid="3" name="ICV">
    <vt:lpwstr>BD3C30A683794D4FA96E423101E5F91B</vt:lpwstr>
  </property>
  <property fmtid="{D5CDD505-2E9C-101B-9397-08002B2CF9AE}" pid="4" name="KSOProductBuildVer">
    <vt:lpwstr>2052-12.1.0.20784</vt:lpwstr>
  </property>
  <property fmtid="{D5CDD505-2E9C-101B-9397-08002B2CF9AE}" pid="5" name="KSOTemplateDocerSaveRecord">
    <vt:lpwstr>eyJoZGlkIjoiYTkwZTdjNDk4YTZkNTI1Yjk1OWM1MzE0MTEzODM5MzMiLCJ1c2VySWQiOiI3MTM5Mjc5MjcifQ==</vt:lpwstr>
  </property>
</Properties>
</file>