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E8B9">
      <w:pPr>
        <w:spacing w:before="156" w:beforeLines="50" w:after="156" w:afterLines="50" w:line="360" w:lineRule="auto"/>
        <w:ind w:firstLine="2570" w:firstLineChars="800"/>
        <w:jc w:val="both"/>
        <w:outlineLvl w:val="0"/>
        <w:rPr>
          <w:rFonts w:hint="eastAsia" w:ascii="宋体" w:hAnsi="宋体" w:eastAsia="宋体" w:cs="Times New Roman"/>
          <w:b/>
          <w:kern w:val="10"/>
          <w:sz w:val="32"/>
          <w:szCs w:val="32"/>
        </w:rPr>
      </w:pPr>
      <w:r>
        <w:rPr>
          <w:rFonts w:hint="eastAsia" w:ascii="宋体" w:hAnsi="宋体" w:cs="Times New Roman"/>
          <w:b/>
          <w:kern w:val="10"/>
          <w:sz w:val="32"/>
          <w:szCs w:val="32"/>
          <w:lang w:val="en-US" w:eastAsia="zh-CN"/>
        </w:rPr>
        <w:t>1阴</w:t>
      </w:r>
      <w:r>
        <w:rPr>
          <w:rFonts w:hint="eastAsia" w:ascii="宋体" w:hAnsi="宋体" w:eastAsia="宋体" w:cs="Times New Roman"/>
          <w:b/>
          <w:kern w:val="10"/>
          <w:sz w:val="32"/>
          <w:szCs w:val="32"/>
        </w:rPr>
        <w:t>极浇铸用</w:t>
      </w:r>
      <w:r>
        <w:rPr>
          <w:rFonts w:hint="eastAsia" w:ascii="宋体" w:hAnsi="宋体" w:eastAsia="宋体" w:cs="Times New Roman"/>
          <w:b/>
          <w:kern w:val="10"/>
          <w:sz w:val="32"/>
          <w:szCs w:val="32"/>
          <w:lang w:eastAsia="zh-CN"/>
        </w:rPr>
        <w:t>磷</w:t>
      </w:r>
      <w:r>
        <w:rPr>
          <w:rFonts w:hint="eastAsia" w:ascii="宋体" w:hAnsi="宋体" w:eastAsia="宋体" w:cs="Times New Roman"/>
          <w:b/>
          <w:kern w:val="10"/>
          <w:sz w:val="32"/>
          <w:szCs w:val="32"/>
        </w:rPr>
        <w:t>生铁</w:t>
      </w:r>
    </w:p>
    <w:p w14:paraId="4D8E99DD">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0" w:name="_Toc26087"/>
      <w:bookmarkStart w:id="1" w:name="_Toc5772"/>
      <w:r>
        <w:rPr>
          <w:rFonts w:hint="eastAsia" w:ascii="宋体" w:hAnsi="宋体" w:cs="Times New Roman"/>
          <w:b/>
          <w:color w:val="auto"/>
          <w:kern w:val="10"/>
          <w:sz w:val="24"/>
          <w:highlight w:val="none"/>
          <w:lang w:val="en-US" w:eastAsia="zh-CN"/>
        </w:rPr>
        <w:t>1.1 范围</w:t>
      </w:r>
      <w:bookmarkEnd w:id="0"/>
      <w:bookmarkEnd w:id="1"/>
    </w:p>
    <w:p w14:paraId="1F64FDEE">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本细则根据企业标准及依据GB/T718—2005 《铸造用生铁》标准，结合电解铝业务部实际生产运行情况编制，规定了阴极浇铸用磷生铁的外观质量、化学成分、检验频次及取样方法、质量细则等要求。适用于电解铝业务部下属各铝厂采购阴极浇铸用磷生铁的质量检验及质量验</w:t>
      </w:r>
      <w:bookmarkStart w:id="38" w:name="_GoBack"/>
      <w:bookmarkEnd w:id="38"/>
      <w:r>
        <w:rPr>
          <w:rFonts w:hint="eastAsia" w:ascii="宋体" w:hAnsi="宋体" w:eastAsia="宋体" w:cs="Times New Roman"/>
          <w:kern w:val="10"/>
          <w:sz w:val="24"/>
          <w:lang w:val="en-US" w:eastAsia="zh-CN"/>
        </w:rPr>
        <w:t>证。</w:t>
      </w:r>
      <w:bookmarkStart w:id="2" w:name="_Toc31509"/>
    </w:p>
    <w:p w14:paraId="1E662A9B">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3" w:name="_Toc23355"/>
      <w:r>
        <w:rPr>
          <w:rFonts w:hint="eastAsia" w:ascii="宋体" w:hAnsi="宋体" w:cs="Times New Roman"/>
          <w:b/>
          <w:color w:val="auto"/>
          <w:kern w:val="10"/>
          <w:sz w:val="24"/>
          <w:highlight w:val="none"/>
          <w:lang w:val="en-US" w:eastAsia="zh-CN"/>
        </w:rPr>
        <w:t>1.2 外观质量</w:t>
      </w:r>
      <w:bookmarkEnd w:id="2"/>
      <w:bookmarkEnd w:id="3"/>
    </w:p>
    <w:p w14:paraId="54888DA0">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阴极浇铸用磷生铁不应有其他杂质，铁块表面要洁净，不应有明显夹渣及大量氧化物。</w:t>
      </w:r>
    </w:p>
    <w:p w14:paraId="7DDBF30E">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4" w:name="_Toc7791"/>
      <w:bookmarkStart w:id="5" w:name="_Toc26157"/>
      <w:r>
        <w:rPr>
          <w:rFonts w:hint="eastAsia" w:ascii="宋体" w:hAnsi="宋体" w:cs="Times New Roman"/>
          <w:b/>
          <w:color w:val="auto"/>
          <w:kern w:val="10"/>
          <w:sz w:val="24"/>
          <w:highlight w:val="none"/>
          <w:lang w:val="en-US" w:eastAsia="zh-CN"/>
        </w:rPr>
        <w:t>1.3 化学成分</w:t>
      </w:r>
      <w:bookmarkEnd w:id="4"/>
      <w:bookmarkEnd w:id="5"/>
    </w:p>
    <w:p w14:paraId="0BEDB3D4">
      <w:pPr>
        <w:spacing w:line="360" w:lineRule="auto"/>
        <w:ind w:firstLine="480" w:firstLineChars="200"/>
        <w:rPr>
          <w:rFonts w:hint="eastAsia"/>
          <w:kern w:val="10"/>
          <w:sz w:val="24"/>
        </w:rPr>
      </w:pPr>
      <w:r>
        <w:rPr>
          <w:rFonts w:hint="eastAsia"/>
          <w:kern w:val="10"/>
          <w:sz w:val="24"/>
          <w:lang w:eastAsia="zh-CN"/>
        </w:rPr>
        <w:t>阴</w:t>
      </w:r>
      <w:r>
        <w:rPr>
          <w:rFonts w:hint="eastAsia"/>
          <w:kern w:val="10"/>
          <w:sz w:val="24"/>
        </w:rPr>
        <w:t>极浇铸用</w:t>
      </w:r>
      <w:r>
        <w:rPr>
          <w:rFonts w:hint="eastAsia"/>
          <w:kern w:val="10"/>
          <w:sz w:val="24"/>
          <w:lang w:eastAsia="zh-CN"/>
        </w:rPr>
        <w:t>磷</w:t>
      </w:r>
      <w:r>
        <w:rPr>
          <w:rFonts w:hint="eastAsia"/>
          <w:kern w:val="10"/>
          <w:sz w:val="24"/>
        </w:rPr>
        <w:t>生铁的化学成分应符合下表规定。</w:t>
      </w:r>
    </w:p>
    <w:tbl>
      <w:tblPr>
        <w:tblStyle w:val="3"/>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768"/>
        <w:gridCol w:w="1620"/>
        <w:gridCol w:w="1575"/>
        <w:gridCol w:w="1478"/>
        <w:gridCol w:w="2407"/>
      </w:tblGrid>
      <w:tr w14:paraId="116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0" w:type="dxa"/>
            <w:vMerge w:val="restart"/>
            <w:tcBorders>
              <w:tl2br w:val="single" w:color="auto" w:sz="4" w:space="0"/>
            </w:tcBorders>
            <w:vAlign w:val="top"/>
          </w:tcPr>
          <w:p w14:paraId="358DAAE6">
            <w:pPr>
              <w:spacing w:line="360" w:lineRule="auto"/>
              <w:rPr>
                <w:rFonts w:hint="eastAsia" w:ascii="宋体" w:hAnsi="宋体" w:eastAsia="宋体" w:cs="宋体"/>
                <w:b w:val="0"/>
                <w:bCs w:val="0"/>
                <w:color w:val="auto"/>
                <w:kern w:val="10"/>
                <w:sz w:val="21"/>
                <w:szCs w:val="21"/>
              </w:rPr>
            </w:pPr>
          </w:p>
        </w:tc>
        <w:tc>
          <w:tcPr>
            <w:tcW w:w="8848" w:type="dxa"/>
            <w:gridSpan w:val="5"/>
            <w:vAlign w:val="top"/>
          </w:tcPr>
          <w:p w14:paraId="115B0F9A">
            <w:pPr>
              <w:spacing w:line="360" w:lineRule="auto"/>
              <w:ind w:firstLine="2730" w:firstLineChars="1300"/>
              <w:jc w:val="both"/>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化学成分，%</w:t>
            </w:r>
          </w:p>
        </w:tc>
      </w:tr>
      <w:tr w14:paraId="49EF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10" w:type="dxa"/>
            <w:vMerge w:val="continue"/>
            <w:vAlign w:val="top"/>
          </w:tcPr>
          <w:p w14:paraId="2267FA03">
            <w:pPr>
              <w:spacing w:line="360" w:lineRule="auto"/>
              <w:rPr>
                <w:rFonts w:hint="eastAsia" w:ascii="宋体" w:hAnsi="宋体" w:eastAsia="宋体" w:cs="宋体"/>
                <w:b w:val="0"/>
                <w:bCs w:val="0"/>
                <w:color w:val="auto"/>
                <w:kern w:val="10"/>
                <w:sz w:val="21"/>
                <w:szCs w:val="21"/>
              </w:rPr>
            </w:pPr>
          </w:p>
        </w:tc>
        <w:tc>
          <w:tcPr>
            <w:tcW w:w="1768" w:type="dxa"/>
            <w:vAlign w:val="top"/>
          </w:tcPr>
          <w:p w14:paraId="081773C1">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C</w:t>
            </w:r>
          </w:p>
        </w:tc>
        <w:tc>
          <w:tcPr>
            <w:tcW w:w="1620" w:type="dxa"/>
            <w:vAlign w:val="top"/>
          </w:tcPr>
          <w:p w14:paraId="0746E187">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Si</w:t>
            </w:r>
          </w:p>
        </w:tc>
        <w:tc>
          <w:tcPr>
            <w:tcW w:w="1575" w:type="dxa"/>
            <w:vAlign w:val="top"/>
          </w:tcPr>
          <w:p w14:paraId="0C4239E8">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Mn</w:t>
            </w:r>
          </w:p>
        </w:tc>
        <w:tc>
          <w:tcPr>
            <w:tcW w:w="1478" w:type="dxa"/>
            <w:vAlign w:val="top"/>
          </w:tcPr>
          <w:p w14:paraId="70EE8211">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P</w:t>
            </w:r>
          </w:p>
        </w:tc>
        <w:tc>
          <w:tcPr>
            <w:tcW w:w="2407" w:type="dxa"/>
            <w:vAlign w:val="top"/>
          </w:tcPr>
          <w:p w14:paraId="557C50BB">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S</w:t>
            </w:r>
          </w:p>
        </w:tc>
      </w:tr>
      <w:tr w14:paraId="7E80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10" w:type="dxa"/>
            <w:vAlign w:val="top"/>
          </w:tcPr>
          <w:p w14:paraId="1DC4F518">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标准要求</w:t>
            </w:r>
          </w:p>
        </w:tc>
        <w:tc>
          <w:tcPr>
            <w:tcW w:w="1768" w:type="dxa"/>
            <w:vAlign w:val="center"/>
          </w:tcPr>
          <w:p w14:paraId="1C30633F">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lang w:val="en-US" w:eastAsia="zh-CN"/>
              </w:rPr>
              <w:t>3.0-3.5</w:t>
            </w:r>
          </w:p>
        </w:tc>
        <w:tc>
          <w:tcPr>
            <w:tcW w:w="1620" w:type="dxa"/>
            <w:vAlign w:val="center"/>
          </w:tcPr>
          <w:p w14:paraId="3F556374">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lang w:val="en-US" w:eastAsia="zh-CN"/>
              </w:rPr>
              <w:t>2.8-3.3</w:t>
            </w:r>
          </w:p>
        </w:tc>
        <w:tc>
          <w:tcPr>
            <w:tcW w:w="1575" w:type="dxa"/>
            <w:vAlign w:val="center"/>
          </w:tcPr>
          <w:p w14:paraId="00639226">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lang w:val="en-US" w:eastAsia="zh-CN"/>
              </w:rPr>
              <w:t>0.4-0.9</w:t>
            </w:r>
          </w:p>
        </w:tc>
        <w:tc>
          <w:tcPr>
            <w:tcW w:w="1478" w:type="dxa"/>
            <w:vAlign w:val="center"/>
          </w:tcPr>
          <w:p w14:paraId="3369DA99">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lang w:val="en-US" w:eastAsia="zh-CN"/>
              </w:rPr>
              <w:t>0.6-0.9</w:t>
            </w:r>
          </w:p>
        </w:tc>
        <w:tc>
          <w:tcPr>
            <w:tcW w:w="2407" w:type="dxa"/>
            <w:vAlign w:val="center"/>
          </w:tcPr>
          <w:p w14:paraId="2EBAA374">
            <w:pPr>
              <w:spacing w:line="360" w:lineRule="auto"/>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kern w:val="10"/>
                <w:sz w:val="21"/>
                <w:szCs w:val="21"/>
                <w:lang w:val="en-US" w:eastAsia="zh-CN"/>
              </w:rPr>
              <w:t>0.10</w:t>
            </w:r>
          </w:p>
        </w:tc>
      </w:tr>
      <w:tr w14:paraId="1934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458" w:type="dxa"/>
            <w:gridSpan w:val="6"/>
            <w:vAlign w:val="top"/>
          </w:tcPr>
          <w:p w14:paraId="7A5412F0">
            <w:pPr>
              <w:numPr>
                <w:ilvl w:val="0"/>
                <w:numId w:val="0"/>
              </w:num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 xml:space="preserve">表中规定的各指标，需方有物殊要求，可由供需双方另行商定，并在合同中注明。 </w:t>
            </w:r>
          </w:p>
          <w:p w14:paraId="693AF3E4">
            <w:pPr>
              <w:numPr>
                <w:ilvl w:val="0"/>
                <w:numId w:val="0"/>
              </w:numP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sz w:val="21"/>
                <w:szCs w:val="21"/>
                <w:lang w:val="en-US" w:eastAsia="zh-CN"/>
              </w:rPr>
              <w:t>2.数值修约比较按GB/T8170 的有关规定进行，修约数位与表中所列极限数位一致。</w:t>
            </w:r>
            <w:r>
              <w:rPr>
                <w:rFonts w:hint="eastAsia" w:ascii="宋体" w:hAnsi="宋体" w:eastAsia="宋体" w:cs="宋体"/>
                <w:b w:val="0"/>
                <w:bCs w:val="0"/>
                <w:color w:val="auto"/>
                <w:sz w:val="21"/>
                <w:szCs w:val="21"/>
              </w:rPr>
              <w:t xml:space="preserve"> </w:t>
            </w:r>
          </w:p>
        </w:tc>
      </w:tr>
    </w:tbl>
    <w:p w14:paraId="0898A5B3">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6" w:name="_Toc12982"/>
      <w:bookmarkStart w:id="7" w:name="_Toc13748"/>
      <w:r>
        <w:rPr>
          <w:rFonts w:hint="eastAsia" w:ascii="宋体" w:hAnsi="宋体" w:cs="Times New Roman"/>
          <w:b/>
          <w:color w:val="auto"/>
          <w:kern w:val="10"/>
          <w:sz w:val="24"/>
          <w:highlight w:val="none"/>
          <w:lang w:val="en-US" w:eastAsia="zh-CN"/>
        </w:rPr>
        <w:t>1.4 检验频次及取样方法</w:t>
      </w:r>
      <w:bookmarkEnd w:id="6"/>
      <w:bookmarkEnd w:id="7"/>
    </w:p>
    <w:p w14:paraId="00110B2F">
      <w:pPr>
        <w:spacing w:line="360" w:lineRule="auto"/>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1</w:t>
      </w:r>
      <w:r>
        <w:rPr>
          <w:rFonts w:hint="eastAsia" w:ascii="宋体" w:hAnsi="宋体" w:eastAsia="宋体" w:cs="Times New Roman"/>
          <w:sz w:val="24"/>
          <w:highlight w:val="none"/>
          <w:lang w:val="en-US" w:eastAsia="zh-CN"/>
        </w:rPr>
        <w:t>.4.1磷生铁的化学成份，不同供方以不大于60吨组批抽检一次，该批次到货量不足60吨的同样组批抽检1次。采用化学方法分析时，每批随机抽取2个样品，每个样品由一块磷生铁钻取，最终结果取2个样品的平均值。采用光谱方法分析时，每批随机抽取2个样品，分别切割平分为2块试样，实行“一检一封”原则，最终结果取2个样品的平均值。外观质量同步进行。</w:t>
      </w:r>
    </w:p>
    <w:p w14:paraId="0F8376CE">
      <w:pP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宋体" w:hAnsi="宋体" w:cs="Times New Roman"/>
          <w:sz w:val="24"/>
          <w:highlight w:val="none"/>
          <w:lang w:val="en-US" w:eastAsia="zh-CN"/>
        </w:rPr>
        <w:t>1</w:t>
      </w:r>
      <w:r>
        <w:rPr>
          <w:rFonts w:hint="eastAsia" w:ascii="宋体" w:hAnsi="宋体" w:eastAsia="宋体" w:cs="Times New Roman"/>
          <w:sz w:val="24"/>
          <w:highlight w:val="none"/>
          <w:lang w:val="en-US" w:eastAsia="zh-CN"/>
        </w:rPr>
        <w:t>.4.2</w:t>
      </w:r>
      <w:r>
        <w:rPr>
          <w:rFonts w:hint="eastAsia" w:asciiTheme="majorEastAsia" w:hAnsiTheme="majorEastAsia" w:eastAsiaTheme="majorEastAsia" w:cstheme="majorEastAsia"/>
          <w:color w:val="auto"/>
          <w:sz w:val="24"/>
          <w:highlight w:val="none"/>
          <w:lang w:val="en-US" w:eastAsia="zh-CN"/>
        </w:rPr>
        <w:t>供需双方在验收过程中就质量问题发生争议时，由双方在场重新对原样进行取样、封样，并共同委托双方认可权威机构进行仲裁检验，以仲裁结果为最终结果进行结算，检验费用由责任方承担。</w:t>
      </w:r>
    </w:p>
    <w:p w14:paraId="10764E3F">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8" w:name="_Toc11765"/>
      <w:bookmarkStart w:id="9" w:name="_Toc23514"/>
      <w:r>
        <w:rPr>
          <w:rFonts w:hint="eastAsia" w:ascii="宋体" w:hAnsi="宋体" w:cs="Times New Roman"/>
          <w:b/>
          <w:color w:val="auto"/>
          <w:kern w:val="10"/>
          <w:sz w:val="24"/>
          <w:highlight w:val="none"/>
          <w:lang w:val="en-US" w:eastAsia="zh-CN"/>
        </w:rPr>
        <w:t>1.5 质量细则</w:t>
      </w:r>
      <w:bookmarkEnd w:id="8"/>
      <w:bookmarkEnd w:id="9"/>
    </w:p>
    <w:tbl>
      <w:tblPr>
        <w:tblStyle w:val="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50"/>
        <w:gridCol w:w="1164"/>
        <w:gridCol w:w="2039"/>
        <w:gridCol w:w="3089"/>
        <w:gridCol w:w="2380"/>
      </w:tblGrid>
      <w:tr w14:paraId="5D39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68" w:type="dxa"/>
            <w:gridSpan w:val="6"/>
            <w:vAlign w:val="center"/>
          </w:tcPr>
          <w:p w14:paraId="3758CBE9">
            <w:pPr>
              <w:keepNext w:val="0"/>
              <w:keepLines w:val="0"/>
              <w:widowControl/>
              <w:suppressLineNumbers w:val="0"/>
              <w:shd w:val="clear" w:color="auto" w:fill="auto"/>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color w:val="auto"/>
                <w:kern w:val="2"/>
                <w:sz w:val="21"/>
                <w:szCs w:val="21"/>
                <w:highlight w:val="none"/>
                <w:lang w:val="en-US" w:eastAsia="zh-CN"/>
              </w:rPr>
              <w:t>阴极浇铸用磷生铁质量细则</w:t>
            </w:r>
          </w:p>
        </w:tc>
      </w:tr>
      <w:tr w14:paraId="1508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0E699306">
            <w:pPr>
              <w:keepNext w:val="0"/>
              <w:keepLines w:val="0"/>
              <w:widowControl/>
              <w:suppressLineNumbers w:val="0"/>
              <w:shd w:val="clear" w:color="auto" w:fill="auto"/>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序号</w:t>
            </w:r>
          </w:p>
        </w:tc>
        <w:tc>
          <w:tcPr>
            <w:tcW w:w="650" w:type="dxa"/>
            <w:vAlign w:val="center"/>
          </w:tcPr>
          <w:p w14:paraId="0AAB5A71">
            <w:pPr>
              <w:keepNext w:val="0"/>
              <w:keepLines w:val="0"/>
              <w:widowControl/>
              <w:suppressLineNumbers w:val="0"/>
              <w:shd w:val="clear" w:color="auto" w:fill="auto"/>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项目</w:t>
            </w:r>
          </w:p>
        </w:tc>
        <w:tc>
          <w:tcPr>
            <w:tcW w:w="1164" w:type="dxa"/>
            <w:vAlign w:val="center"/>
          </w:tcPr>
          <w:p w14:paraId="63906304">
            <w:pPr>
              <w:keepNext w:val="0"/>
              <w:keepLines w:val="0"/>
              <w:widowControl/>
              <w:suppressLineNumbers w:val="0"/>
              <w:shd w:val="clear" w:color="auto" w:fill="auto"/>
              <w:jc w:val="both"/>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控制指标</w:t>
            </w:r>
          </w:p>
        </w:tc>
        <w:tc>
          <w:tcPr>
            <w:tcW w:w="2039" w:type="dxa"/>
            <w:vAlign w:val="center"/>
          </w:tcPr>
          <w:p w14:paraId="25BE0092">
            <w:pPr>
              <w:keepNext w:val="0"/>
              <w:keepLines w:val="0"/>
              <w:widowControl/>
              <w:suppressLineNumbers w:val="0"/>
              <w:shd w:val="clear" w:color="auto" w:fill="auto"/>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不合格处置范围</w:t>
            </w:r>
            <w:r>
              <w:rPr>
                <w:rFonts w:hint="eastAsia" w:ascii="宋体" w:hAnsi="宋体" w:eastAsia="宋体" w:cs="宋体"/>
                <w:b w:val="0"/>
                <w:bCs w:val="0"/>
                <w:color w:val="auto"/>
                <w:sz w:val="21"/>
                <w:szCs w:val="21"/>
                <w:highlight w:val="none"/>
                <w:shd w:val="clear" w:color="auto" w:fill="auto"/>
                <w:lang w:bidi="ar"/>
              </w:rPr>
              <w:t>（x为对应的控制子项）</w:t>
            </w:r>
          </w:p>
        </w:tc>
        <w:tc>
          <w:tcPr>
            <w:tcW w:w="3089" w:type="dxa"/>
            <w:vAlign w:val="center"/>
          </w:tcPr>
          <w:p w14:paraId="6EC72D45">
            <w:pPr>
              <w:keepNext w:val="0"/>
              <w:keepLines w:val="0"/>
              <w:widowControl/>
              <w:suppressLineNumbers w:val="0"/>
              <w:shd w:val="clear" w:color="auto" w:fill="auto"/>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不合格处置措施</w:t>
            </w:r>
          </w:p>
        </w:tc>
        <w:tc>
          <w:tcPr>
            <w:tcW w:w="2380" w:type="dxa"/>
            <w:vAlign w:val="center"/>
          </w:tcPr>
          <w:p w14:paraId="42126209">
            <w:pPr>
              <w:keepNext w:val="0"/>
              <w:keepLines w:val="0"/>
              <w:widowControl/>
              <w:suppressLineNumbers w:val="0"/>
              <w:shd w:val="clear" w:color="auto" w:fill="auto"/>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备 注</w:t>
            </w:r>
          </w:p>
        </w:tc>
      </w:tr>
      <w:tr w14:paraId="3A89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46" w:type="dxa"/>
            <w:vMerge w:val="restart"/>
            <w:vAlign w:val="center"/>
          </w:tcPr>
          <w:p w14:paraId="74B04959">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1</w:t>
            </w:r>
          </w:p>
        </w:tc>
        <w:tc>
          <w:tcPr>
            <w:tcW w:w="650" w:type="dxa"/>
            <w:vMerge w:val="restart"/>
            <w:vAlign w:val="center"/>
          </w:tcPr>
          <w:p w14:paraId="3EA3490E">
            <w:pPr>
              <w:widowControl w:val="0"/>
              <w:autoSpaceDE w:val="0"/>
              <w:autoSpaceDN w:val="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C%</w:t>
            </w:r>
          </w:p>
        </w:tc>
        <w:tc>
          <w:tcPr>
            <w:tcW w:w="1164" w:type="dxa"/>
            <w:vMerge w:val="restart"/>
            <w:vAlign w:val="center"/>
          </w:tcPr>
          <w:p w14:paraId="5BDADFFE">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3.0～3.5</w:t>
            </w:r>
          </w:p>
        </w:tc>
        <w:tc>
          <w:tcPr>
            <w:tcW w:w="2039" w:type="dxa"/>
            <w:vAlign w:val="center"/>
          </w:tcPr>
          <w:p w14:paraId="56BD8EBB">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2.5≤x＜3.0</w:t>
            </w:r>
          </w:p>
        </w:tc>
        <w:tc>
          <w:tcPr>
            <w:tcW w:w="3089" w:type="dxa"/>
            <w:vAlign w:val="center"/>
          </w:tcPr>
          <w:p w14:paraId="0ACDF65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w:t>
            </w:r>
            <w:r>
              <w:rPr>
                <w:rFonts w:hint="eastAsia" w:ascii="宋体" w:hAnsi="宋体" w:eastAsia="宋体" w:cs="宋体"/>
                <w:b w:val="0"/>
                <w:bCs w:val="0"/>
                <w:i w:val="0"/>
                <w:color w:val="auto"/>
                <w:spacing w:val="0"/>
                <w:w w:val="100"/>
                <w:kern w:val="10"/>
                <w:position w:val="0"/>
                <w:sz w:val="21"/>
                <w:szCs w:val="21"/>
                <w:highlight w:val="none"/>
                <w:u w:val="none"/>
                <w:shd w:val="clear" w:color="auto" w:fill="auto"/>
                <w:lang w:val="en-US" w:eastAsia="zh-CN" w:bidi="ar"/>
              </w:rPr>
              <w:t>3.35</w:t>
            </w:r>
            <w:r>
              <w:rPr>
                <w:rFonts w:hint="eastAsia" w:ascii="宋体" w:hAnsi="宋体" w:eastAsia="宋体" w:cs="宋体"/>
                <w:b w:val="0"/>
                <w:bCs w:val="0"/>
                <w:color w:val="auto"/>
                <w:kern w:val="10"/>
                <w:sz w:val="21"/>
                <w:szCs w:val="21"/>
                <w:highlight w:val="none"/>
                <w:vertAlign w:val="baseline"/>
                <w:lang w:val="en-US" w:eastAsia="zh-CN"/>
              </w:rPr>
              <w:t>-实测炭含量）/100/0.97/0.8由厂家补发石墨碎调整。</w:t>
            </w:r>
          </w:p>
        </w:tc>
        <w:tc>
          <w:tcPr>
            <w:tcW w:w="2380" w:type="dxa"/>
            <w:vAlign w:val="center"/>
          </w:tcPr>
          <w:p w14:paraId="675DA6F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3.35为碳调整中心值 ；0.97是石墨碎中固定碳的含量，0.8是吸收率</w:t>
            </w:r>
          </w:p>
        </w:tc>
      </w:tr>
      <w:tr w14:paraId="7898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46" w:type="dxa"/>
            <w:vMerge w:val="continue"/>
            <w:vAlign w:val="center"/>
          </w:tcPr>
          <w:p w14:paraId="5D4A6885">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7D24C848">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1164" w:type="dxa"/>
            <w:vMerge w:val="continue"/>
            <w:vAlign w:val="center"/>
          </w:tcPr>
          <w:p w14:paraId="71578604">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4889A67C">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3.5＜x≤4.2</w:t>
            </w:r>
          </w:p>
        </w:tc>
        <w:tc>
          <w:tcPr>
            <w:tcW w:w="3089" w:type="dxa"/>
            <w:vAlign w:val="center"/>
          </w:tcPr>
          <w:p w14:paraId="7C65FE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按照总重×（实测炭含量/3.35-1）×150元/吨进行扣款处理。</w:t>
            </w:r>
          </w:p>
        </w:tc>
        <w:tc>
          <w:tcPr>
            <w:tcW w:w="2380" w:type="dxa"/>
            <w:vAlign w:val="center"/>
          </w:tcPr>
          <w:p w14:paraId="65C85B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3.35为碳调整中心值。</w:t>
            </w:r>
          </w:p>
        </w:tc>
      </w:tr>
      <w:tr w14:paraId="4D51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6" w:type="dxa"/>
            <w:vMerge w:val="continue"/>
            <w:vAlign w:val="center"/>
          </w:tcPr>
          <w:p w14:paraId="7CA8F184">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218D7E61">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1164" w:type="dxa"/>
            <w:vMerge w:val="continue"/>
            <w:vAlign w:val="center"/>
          </w:tcPr>
          <w:p w14:paraId="64607E38">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627C790A">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＜2.5或＞4.2</w:t>
            </w:r>
          </w:p>
        </w:tc>
        <w:tc>
          <w:tcPr>
            <w:tcW w:w="3089" w:type="dxa"/>
            <w:vAlign w:val="center"/>
          </w:tcPr>
          <w:p w14:paraId="583A03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380" w:type="dxa"/>
            <w:vAlign w:val="center"/>
          </w:tcPr>
          <w:p w14:paraId="14F36EB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5B86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46" w:type="dxa"/>
            <w:vMerge w:val="restart"/>
            <w:vAlign w:val="center"/>
          </w:tcPr>
          <w:p w14:paraId="796CEEA6">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2</w:t>
            </w:r>
          </w:p>
        </w:tc>
        <w:tc>
          <w:tcPr>
            <w:tcW w:w="650" w:type="dxa"/>
            <w:vMerge w:val="restart"/>
            <w:vAlign w:val="center"/>
          </w:tcPr>
          <w:p w14:paraId="0EEB5B3B">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rPr>
              <w:t>Si</w:t>
            </w: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14:paraId="5344095A">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2.8～3.3</w:t>
            </w:r>
          </w:p>
        </w:tc>
        <w:tc>
          <w:tcPr>
            <w:tcW w:w="2039" w:type="dxa"/>
            <w:vAlign w:val="center"/>
          </w:tcPr>
          <w:p w14:paraId="35978054">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ar-SA"/>
              </w:rPr>
              <w:t>2.0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b w:val="0"/>
                <w:bCs w:val="0"/>
                <w:color w:val="auto"/>
                <w:kern w:val="2"/>
                <w:sz w:val="21"/>
                <w:szCs w:val="21"/>
                <w:highlight w:val="none"/>
                <w:lang w:val="en-US" w:eastAsia="zh-CN" w:bidi="ar-SA"/>
              </w:rPr>
              <w:t>2.8</w:t>
            </w:r>
          </w:p>
        </w:tc>
        <w:tc>
          <w:tcPr>
            <w:tcW w:w="3089" w:type="dxa"/>
            <w:vAlign w:val="center"/>
          </w:tcPr>
          <w:p w14:paraId="0CEC527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由厂家补发一级硅铁调整，补发量：总重×（3.1-实测硅含量）/100*/0.75/0.80。外加罚扣50元/吨。</w:t>
            </w:r>
          </w:p>
        </w:tc>
        <w:tc>
          <w:tcPr>
            <w:tcW w:w="2380" w:type="dxa"/>
            <w:vAlign w:val="center"/>
          </w:tcPr>
          <w:p w14:paraId="1F889EC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 xml:space="preserve">3.1为硅调整中心值,0.75为硅含量，0.80为吸收率. </w:t>
            </w:r>
          </w:p>
        </w:tc>
      </w:tr>
      <w:tr w14:paraId="488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46" w:type="dxa"/>
            <w:vMerge w:val="continue"/>
            <w:vAlign w:val="center"/>
          </w:tcPr>
          <w:p w14:paraId="60018316">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1EA0E9B7">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p>
        </w:tc>
        <w:tc>
          <w:tcPr>
            <w:tcW w:w="1164" w:type="dxa"/>
            <w:vMerge w:val="continue"/>
            <w:vAlign w:val="center"/>
          </w:tcPr>
          <w:p w14:paraId="541C88CA">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0644E0E8">
            <w:pPr>
              <w:widowControl w:val="0"/>
              <w:autoSpaceDE w:val="0"/>
              <w:autoSpaceDN w:val="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3.3＜x≤</w:t>
            </w:r>
            <w:r>
              <w:rPr>
                <w:rFonts w:hint="eastAsia" w:ascii="宋体" w:hAnsi="宋体" w:eastAsia="宋体" w:cs="宋体"/>
                <w:b w:val="0"/>
                <w:bCs w:val="0"/>
                <w:color w:val="auto"/>
                <w:sz w:val="21"/>
                <w:szCs w:val="21"/>
                <w:highlight w:val="none"/>
                <w:lang w:val="en-US" w:eastAsia="zh-CN" w:bidi="ar-SA"/>
              </w:rPr>
              <w:t>3.6</w:t>
            </w:r>
          </w:p>
        </w:tc>
        <w:tc>
          <w:tcPr>
            <w:tcW w:w="3089" w:type="dxa"/>
            <w:vAlign w:val="center"/>
          </w:tcPr>
          <w:p w14:paraId="067E32A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按照总重×（实测硅含量/3.1-1）×150元/吨进行扣款处理。</w:t>
            </w:r>
          </w:p>
        </w:tc>
        <w:tc>
          <w:tcPr>
            <w:tcW w:w="2380" w:type="dxa"/>
            <w:vAlign w:val="center"/>
          </w:tcPr>
          <w:p w14:paraId="5D26026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3.1为硅调整中心值,150元为回调用费用（电费、化验、人工等）。</w:t>
            </w:r>
          </w:p>
        </w:tc>
      </w:tr>
      <w:tr w14:paraId="706B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6" w:type="dxa"/>
            <w:vMerge w:val="continue"/>
            <w:vAlign w:val="center"/>
          </w:tcPr>
          <w:p w14:paraId="471A38A3">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5C5635A7">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p>
        </w:tc>
        <w:tc>
          <w:tcPr>
            <w:tcW w:w="1164" w:type="dxa"/>
            <w:vMerge w:val="continue"/>
            <w:vAlign w:val="center"/>
          </w:tcPr>
          <w:p w14:paraId="47F30B1E">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5A200465">
            <w:pPr>
              <w:widowControl w:val="0"/>
              <w:autoSpaceDE w:val="0"/>
              <w:autoSpaceDN w:val="0"/>
              <w:jc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＜2.0或＞3.6</w:t>
            </w:r>
          </w:p>
        </w:tc>
        <w:tc>
          <w:tcPr>
            <w:tcW w:w="3089" w:type="dxa"/>
            <w:vAlign w:val="center"/>
          </w:tcPr>
          <w:p w14:paraId="3E18F0B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380" w:type="dxa"/>
            <w:vAlign w:val="center"/>
          </w:tcPr>
          <w:p w14:paraId="43A965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162B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46" w:type="dxa"/>
            <w:vMerge w:val="restart"/>
            <w:vAlign w:val="center"/>
          </w:tcPr>
          <w:p w14:paraId="41C05099">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3</w:t>
            </w:r>
          </w:p>
        </w:tc>
        <w:tc>
          <w:tcPr>
            <w:tcW w:w="650" w:type="dxa"/>
            <w:vMerge w:val="restart"/>
            <w:vAlign w:val="center"/>
          </w:tcPr>
          <w:p w14:paraId="11AF0AF5">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Mn%</w:t>
            </w:r>
          </w:p>
        </w:tc>
        <w:tc>
          <w:tcPr>
            <w:tcW w:w="1164" w:type="dxa"/>
            <w:vMerge w:val="restart"/>
            <w:vAlign w:val="center"/>
          </w:tcPr>
          <w:p w14:paraId="6D20A7D9">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0.4～0.9</w:t>
            </w:r>
          </w:p>
        </w:tc>
        <w:tc>
          <w:tcPr>
            <w:tcW w:w="2039" w:type="dxa"/>
            <w:vAlign w:val="center"/>
          </w:tcPr>
          <w:p w14:paraId="636A1858">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color w:val="auto"/>
                <w:kern w:val="10"/>
                <w:sz w:val="21"/>
                <w:szCs w:val="21"/>
                <w:highlight w:val="none"/>
                <w:lang w:val="en-US" w:eastAsia="zh-CN"/>
              </w:rPr>
              <w:t>0.2</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b w:val="0"/>
                <w:bCs w:val="0"/>
                <w:color w:val="auto"/>
                <w:kern w:val="10"/>
                <w:sz w:val="21"/>
                <w:szCs w:val="21"/>
                <w:highlight w:val="none"/>
                <w:lang w:val="en-US" w:eastAsia="zh-CN"/>
              </w:rPr>
              <w:t>0.4</w:t>
            </w:r>
          </w:p>
        </w:tc>
        <w:tc>
          <w:tcPr>
            <w:tcW w:w="3089" w:type="dxa"/>
            <w:vAlign w:val="center"/>
          </w:tcPr>
          <w:p w14:paraId="7303BB6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由厂家补发一级锰铁调整，补发量：总重×（</w:t>
            </w:r>
            <w:r>
              <w:rPr>
                <w:rFonts w:hint="eastAsia" w:ascii="宋体" w:hAnsi="宋体" w:eastAsia="宋体" w:cs="宋体"/>
                <w:b w:val="0"/>
                <w:bCs w:val="0"/>
                <w:color w:val="auto"/>
                <w:kern w:val="10"/>
                <w:sz w:val="21"/>
                <w:szCs w:val="21"/>
                <w:highlight w:val="none"/>
                <w:u w:val="none"/>
                <w:shd w:val="clear" w:color="auto" w:fill="auto"/>
                <w:vertAlign w:val="baseline"/>
                <w:lang w:val="en-US" w:eastAsia="zh-CN" w:bidi="ar"/>
              </w:rPr>
              <w:t>0.7</w:t>
            </w:r>
            <w:r>
              <w:rPr>
                <w:rFonts w:hint="eastAsia" w:ascii="宋体" w:hAnsi="宋体" w:eastAsia="宋体" w:cs="宋体"/>
                <w:b w:val="0"/>
                <w:bCs w:val="0"/>
                <w:color w:val="auto"/>
                <w:kern w:val="10"/>
                <w:sz w:val="21"/>
                <w:szCs w:val="21"/>
                <w:highlight w:val="none"/>
                <w:vertAlign w:val="baseline"/>
                <w:lang w:val="en-US" w:eastAsia="zh-CN"/>
              </w:rPr>
              <w:t>-实测锰含量）/100/0.7/0.95。外加罚扣50元/吨。</w:t>
            </w:r>
          </w:p>
        </w:tc>
        <w:tc>
          <w:tcPr>
            <w:tcW w:w="2380" w:type="dxa"/>
            <w:vAlign w:val="center"/>
          </w:tcPr>
          <w:p w14:paraId="41E1871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 xml:space="preserve">0.7为锰调整中心值，0.7为锰含量，0.95为吸收率。 </w:t>
            </w:r>
          </w:p>
        </w:tc>
      </w:tr>
      <w:tr w14:paraId="7D95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46" w:type="dxa"/>
            <w:vMerge w:val="continue"/>
            <w:vAlign w:val="center"/>
          </w:tcPr>
          <w:p w14:paraId="4C6D1B23">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4C70A673">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164" w:type="dxa"/>
            <w:vMerge w:val="continue"/>
            <w:vAlign w:val="center"/>
          </w:tcPr>
          <w:p w14:paraId="33D75C77">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090C720F">
            <w:pPr>
              <w:widowControl/>
              <w:jc w:val="center"/>
              <w:textAlignment w:val="center"/>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0.9＜x≤</w:t>
            </w:r>
            <w:r>
              <w:rPr>
                <w:rFonts w:hint="eastAsia" w:ascii="宋体" w:hAnsi="宋体" w:eastAsia="宋体" w:cs="宋体"/>
                <w:b w:val="0"/>
                <w:bCs w:val="0"/>
                <w:color w:val="auto"/>
                <w:kern w:val="10"/>
                <w:sz w:val="21"/>
                <w:szCs w:val="21"/>
                <w:highlight w:val="none"/>
                <w:lang w:val="en-US" w:eastAsia="zh-CN"/>
              </w:rPr>
              <w:t>1.4</w:t>
            </w:r>
          </w:p>
        </w:tc>
        <w:tc>
          <w:tcPr>
            <w:tcW w:w="3089" w:type="dxa"/>
            <w:vAlign w:val="center"/>
          </w:tcPr>
          <w:p w14:paraId="3B432C4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按照总重×（实测锰含量/</w:t>
            </w:r>
            <w:r>
              <w:rPr>
                <w:rFonts w:hint="eastAsia" w:ascii="宋体" w:hAnsi="宋体" w:eastAsia="宋体" w:cs="宋体"/>
                <w:b w:val="0"/>
                <w:bCs w:val="0"/>
                <w:color w:val="auto"/>
                <w:kern w:val="10"/>
                <w:sz w:val="21"/>
                <w:szCs w:val="21"/>
                <w:highlight w:val="none"/>
                <w:u w:val="none"/>
                <w:shd w:val="clear" w:color="auto" w:fill="auto"/>
                <w:vertAlign w:val="baseline"/>
                <w:lang w:val="en-US" w:eastAsia="zh-CN" w:bidi="ar"/>
              </w:rPr>
              <w:t>0.7</w:t>
            </w:r>
            <w:r>
              <w:rPr>
                <w:rFonts w:hint="eastAsia" w:ascii="宋体" w:hAnsi="宋体" w:eastAsia="宋体" w:cs="宋体"/>
                <w:b w:val="0"/>
                <w:bCs w:val="0"/>
                <w:color w:val="auto"/>
                <w:kern w:val="10"/>
                <w:sz w:val="21"/>
                <w:szCs w:val="21"/>
                <w:highlight w:val="none"/>
                <w:vertAlign w:val="baseline"/>
                <w:lang w:val="en-US" w:eastAsia="zh-CN"/>
              </w:rPr>
              <w:t>-1）×250元/吨进行扣款处理。</w:t>
            </w:r>
          </w:p>
        </w:tc>
        <w:tc>
          <w:tcPr>
            <w:tcW w:w="2380" w:type="dxa"/>
            <w:vAlign w:val="center"/>
          </w:tcPr>
          <w:p w14:paraId="6901ED6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0.7为锰调整中心值，阴极磷生铁锰含量易超标，调整更困难。</w:t>
            </w:r>
          </w:p>
        </w:tc>
      </w:tr>
      <w:tr w14:paraId="5BD4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6" w:type="dxa"/>
            <w:vMerge w:val="continue"/>
            <w:vAlign w:val="center"/>
          </w:tcPr>
          <w:p w14:paraId="7BCA33F1">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2B3B1EE3">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164" w:type="dxa"/>
            <w:vMerge w:val="continue"/>
            <w:vAlign w:val="center"/>
          </w:tcPr>
          <w:p w14:paraId="35EEF366">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07663C2A">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＜0.2或＞1.4</w:t>
            </w:r>
          </w:p>
        </w:tc>
        <w:tc>
          <w:tcPr>
            <w:tcW w:w="3089" w:type="dxa"/>
            <w:vAlign w:val="center"/>
          </w:tcPr>
          <w:p w14:paraId="4842DCA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380" w:type="dxa"/>
            <w:vAlign w:val="center"/>
          </w:tcPr>
          <w:p w14:paraId="0B7586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785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46" w:type="dxa"/>
            <w:vMerge w:val="restart"/>
            <w:vAlign w:val="center"/>
          </w:tcPr>
          <w:p w14:paraId="2D5DE3D2">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4</w:t>
            </w:r>
          </w:p>
        </w:tc>
        <w:tc>
          <w:tcPr>
            <w:tcW w:w="650" w:type="dxa"/>
            <w:vMerge w:val="restart"/>
            <w:vAlign w:val="center"/>
          </w:tcPr>
          <w:p w14:paraId="75EA0B8E">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rPr>
              <w:t>P</w:t>
            </w: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14:paraId="2B4AEE85">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0.6～0.9</w:t>
            </w:r>
          </w:p>
        </w:tc>
        <w:tc>
          <w:tcPr>
            <w:tcW w:w="2039" w:type="dxa"/>
            <w:vAlign w:val="center"/>
          </w:tcPr>
          <w:p w14:paraId="04DF8B36">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0.3≤x＜0.6</w:t>
            </w:r>
          </w:p>
        </w:tc>
        <w:tc>
          <w:tcPr>
            <w:tcW w:w="3089" w:type="dxa"/>
            <w:vAlign w:val="center"/>
          </w:tcPr>
          <w:p w14:paraId="276DF61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由厂家补发一级磷铁调整，补发量：总重×（0.75-实测磷含量）/100/0.16进行扣款处理。外加罚扣50元/吨</w:t>
            </w:r>
          </w:p>
        </w:tc>
        <w:tc>
          <w:tcPr>
            <w:tcW w:w="2380" w:type="dxa"/>
            <w:vAlign w:val="center"/>
          </w:tcPr>
          <w:p w14:paraId="3340CF6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0.75为磷调整中心值,0.16为为磷含量。</w:t>
            </w:r>
          </w:p>
        </w:tc>
      </w:tr>
      <w:tr w14:paraId="5D8E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6" w:type="dxa"/>
            <w:vMerge w:val="continue"/>
            <w:vAlign w:val="center"/>
          </w:tcPr>
          <w:p w14:paraId="10FB3B21">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79D0DC13">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p>
        </w:tc>
        <w:tc>
          <w:tcPr>
            <w:tcW w:w="1164" w:type="dxa"/>
            <w:vMerge w:val="continue"/>
            <w:vAlign w:val="center"/>
          </w:tcPr>
          <w:p w14:paraId="251F85C0">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3AEE0AB4">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0.9＜x≤1.3</w:t>
            </w:r>
          </w:p>
        </w:tc>
        <w:tc>
          <w:tcPr>
            <w:tcW w:w="3089" w:type="dxa"/>
            <w:vAlign w:val="center"/>
          </w:tcPr>
          <w:p w14:paraId="042CB0E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按照总重×（实测磷含量/0.75-1）×200元/吨进行扣款处理。</w:t>
            </w:r>
          </w:p>
        </w:tc>
        <w:tc>
          <w:tcPr>
            <w:tcW w:w="2380" w:type="dxa"/>
            <w:vAlign w:val="center"/>
          </w:tcPr>
          <w:p w14:paraId="42C547A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0.75为磷调整中心值。</w:t>
            </w:r>
          </w:p>
        </w:tc>
      </w:tr>
      <w:tr w14:paraId="4D1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6" w:type="dxa"/>
            <w:vMerge w:val="continue"/>
            <w:vAlign w:val="center"/>
          </w:tcPr>
          <w:p w14:paraId="3239471F">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3B147C6C">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p>
        </w:tc>
        <w:tc>
          <w:tcPr>
            <w:tcW w:w="1164" w:type="dxa"/>
            <w:vMerge w:val="continue"/>
            <w:vAlign w:val="center"/>
          </w:tcPr>
          <w:p w14:paraId="72C3649B">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2FD308E8">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＜0.3或＞1.3</w:t>
            </w:r>
          </w:p>
        </w:tc>
        <w:tc>
          <w:tcPr>
            <w:tcW w:w="3089" w:type="dxa"/>
            <w:vAlign w:val="center"/>
          </w:tcPr>
          <w:p w14:paraId="5AEF3F5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380" w:type="dxa"/>
            <w:vAlign w:val="center"/>
          </w:tcPr>
          <w:p w14:paraId="6622E4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4C1B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vMerge w:val="restart"/>
            <w:vAlign w:val="center"/>
          </w:tcPr>
          <w:p w14:paraId="5BE82633">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5</w:t>
            </w:r>
          </w:p>
        </w:tc>
        <w:tc>
          <w:tcPr>
            <w:tcW w:w="650" w:type="dxa"/>
            <w:vMerge w:val="restart"/>
            <w:vAlign w:val="center"/>
          </w:tcPr>
          <w:p w14:paraId="62B216E1">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rPr>
              <w:t>S</w:t>
            </w:r>
            <w: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14:paraId="79960C91">
            <w:pPr>
              <w:keepNext w:val="0"/>
              <w:keepLines w:val="0"/>
              <w:widowControl/>
              <w:suppressLineNumbers w:val="0"/>
              <w:jc w:val="center"/>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i w:val="0"/>
                <w:color w:val="auto"/>
                <w:kern w:val="10"/>
                <w:sz w:val="21"/>
                <w:szCs w:val="21"/>
                <w:highlight w:val="none"/>
                <w:u w:val="none"/>
                <w:lang w:val="en-US" w:eastAsia="zh-CN" w:bidi="ar"/>
              </w:rPr>
              <w:t>0.10</w:t>
            </w:r>
          </w:p>
        </w:tc>
        <w:tc>
          <w:tcPr>
            <w:tcW w:w="2039" w:type="dxa"/>
            <w:vAlign w:val="center"/>
          </w:tcPr>
          <w:p w14:paraId="45D8B22B">
            <w:pPr>
              <w:keepNext w:val="0"/>
              <w:keepLines w:val="0"/>
              <w:widowControl/>
              <w:suppressLineNumbers w:val="0"/>
              <w:jc w:val="center"/>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0.10＜x≤0.15</w:t>
            </w:r>
          </w:p>
        </w:tc>
        <w:tc>
          <w:tcPr>
            <w:tcW w:w="3089" w:type="dxa"/>
            <w:vAlign w:val="center"/>
          </w:tcPr>
          <w:p w14:paraId="45B3EE2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按照总重×（实测硫含量/0.06-1）×500元/吨进行扣款处理。</w:t>
            </w:r>
          </w:p>
        </w:tc>
        <w:tc>
          <w:tcPr>
            <w:tcW w:w="2380" w:type="dxa"/>
            <w:vAlign w:val="center"/>
          </w:tcPr>
          <w:p w14:paraId="6A376DC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0.06为硫调整中心值。</w:t>
            </w:r>
          </w:p>
        </w:tc>
      </w:tr>
      <w:tr w14:paraId="5DDE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6" w:type="dxa"/>
            <w:vMerge w:val="continue"/>
            <w:vAlign w:val="center"/>
          </w:tcPr>
          <w:p w14:paraId="7F73C163">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650" w:type="dxa"/>
            <w:vMerge w:val="continue"/>
            <w:vAlign w:val="center"/>
          </w:tcPr>
          <w:p w14:paraId="764D4282">
            <w:pPr>
              <w:keepNext w:val="0"/>
              <w:keepLines w:val="0"/>
              <w:widowControl/>
              <w:suppressLineNumbers w:val="0"/>
              <w:jc w:val="center"/>
              <w:textAlignment w:val="center"/>
              <w:rPr>
                <w:rFonts w:hint="eastAsia" w:ascii="宋体" w:hAnsi="宋体" w:eastAsia="宋体" w:cs="宋体"/>
                <w:b w:val="0"/>
                <w:bCs w:val="0"/>
                <w:color w:val="auto"/>
                <w:kern w:val="10"/>
                <w:sz w:val="21"/>
                <w:szCs w:val="21"/>
                <w:highlight w:val="none"/>
              </w:rPr>
            </w:pPr>
          </w:p>
        </w:tc>
        <w:tc>
          <w:tcPr>
            <w:tcW w:w="1164" w:type="dxa"/>
            <w:vMerge w:val="continue"/>
            <w:vAlign w:val="center"/>
          </w:tcPr>
          <w:p w14:paraId="3242E041">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14:paraId="1DC560DE">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＞0.15</w:t>
            </w:r>
          </w:p>
        </w:tc>
        <w:tc>
          <w:tcPr>
            <w:tcW w:w="3089" w:type="dxa"/>
            <w:vAlign w:val="center"/>
          </w:tcPr>
          <w:p w14:paraId="4F51D8F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380" w:type="dxa"/>
            <w:vAlign w:val="center"/>
          </w:tcPr>
          <w:p w14:paraId="7C7391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10"/>
                <w:sz w:val="21"/>
                <w:szCs w:val="21"/>
                <w:highlight w:val="none"/>
                <w:vertAlign w:val="baseline"/>
                <w:lang w:val="en-US" w:eastAsia="zh-CN"/>
              </w:rPr>
            </w:pPr>
          </w:p>
        </w:tc>
      </w:tr>
    </w:tbl>
    <w:p w14:paraId="4760FF8B">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10" w:name="_Toc10484"/>
      <w:r>
        <w:rPr>
          <w:rFonts w:hint="eastAsia" w:ascii="宋体" w:hAnsi="宋体" w:cs="Times New Roman"/>
          <w:b/>
          <w:color w:val="auto"/>
          <w:kern w:val="10"/>
          <w:sz w:val="24"/>
          <w:highlight w:val="none"/>
          <w:lang w:val="en-US" w:eastAsia="zh-CN"/>
        </w:rPr>
        <w:t>1.6 封存试样的保存期限</w:t>
      </w:r>
      <w:bookmarkEnd w:id="10"/>
    </w:p>
    <w:p w14:paraId="0BDE0DDB">
      <w:pPr>
        <w:pStyle w:val="5"/>
        <w:ind w:firstLine="480" w:firstLineChars="200"/>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阴极浇铸用磷生铁封存试样保存期限为6个月。</w:t>
      </w:r>
    </w:p>
    <w:p w14:paraId="23144CEB">
      <w:pPr>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br w:type="page"/>
      </w:r>
    </w:p>
    <w:p w14:paraId="704B627F">
      <w:pPr>
        <w:spacing w:before="156" w:beforeLines="50" w:after="156" w:afterLines="50" w:line="360" w:lineRule="auto"/>
        <w:jc w:val="center"/>
        <w:outlineLvl w:val="0"/>
        <w:rPr>
          <w:rFonts w:hint="eastAsia" w:ascii="宋体" w:hAnsi="宋体" w:eastAsia="宋体" w:cs="宋体"/>
          <w:b/>
          <w:kern w:val="10"/>
          <w:sz w:val="32"/>
          <w:szCs w:val="32"/>
          <w:lang w:val="en-US" w:eastAsia="zh-CN"/>
        </w:rPr>
      </w:pPr>
      <w:r>
        <w:rPr>
          <w:rFonts w:hint="eastAsia" w:ascii="宋体" w:hAnsi="宋体" w:cs="宋体"/>
          <w:b/>
          <w:kern w:val="10"/>
          <w:sz w:val="32"/>
          <w:szCs w:val="32"/>
          <w:lang w:val="en-US" w:eastAsia="zh-CN"/>
        </w:rPr>
        <w:t>2</w:t>
      </w:r>
      <w:r>
        <w:rPr>
          <w:rFonts w:hint="eastAsia" w:ascii="宋体" w:hAnsi="宋体" w:eastAsia="宋体" w:cs="宋体"/>
          <w:b/>
          <w:kern w:val="10"/>
          <w:sz w:val="32"/>
          <w:szCs w:val="32"/>
          <w:lang w:val="en-US" w:eastAsia="zh-CN"/>
        </w:rPr>
        <w:t>阳极浇铸用锰铁</w:t>
      </w:r>
    </w:p>
    <w:p w14:paraId="26CBC76E">
      <w:pPr>
        <w:spacing w:before="156" w:beforeLines="50" w:after="156" w:afterLines="50" w:line="360" w:lineRule="auto"/>
        <w:outlineLvl w:val="1"/>
        <w:rPr>
          <w:rFonts w:hint="eastAsia" w:ascii="宋体" w:hAnsi="宋体" w:eastAsia="宋体" w:cs="Times New Roman"/>
          <w:b/>
          <w:kern w:val="10"/>
          <w:sz w:val="24"/>
          <w:lang w:val="en-US" w:eastAsia="zh-CN"/>
        </w:rPr>
      </w:pPr>
      <w:bookmarkStart w:id="11" w:name="_Toc26834"/>
      <w:bookmarkStart w:id="12" w:name="_Toc26848"/>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.1 范围</w:t>
      </w:r>
      <w:bookmarkEnd w:id="11"/>
      <w:bookmarkEnd w:id="12"/>
    </w:p>
    <w:p w14:paraId="61D4D044">
      <w:pPr>
        <w:spacing w:line="360" w:lineRule="auto"/>
        <w:ind w:firstLine="480" w:firstLineChars="200"/>
      </w:pPr>
      <w:r>
        <w:rPr>
          <w:rFonts w:hint="eastAsia" w:ascii="宋体" w:hAnsi="宋体" w:eastAsia="宋体" w:cs="Times New Roman"/>
          <w:kern w:val="10"/>
          <w:sz w:val="24"/>
          <w:lang w:val="en-US" w:eastAsia="zh-CN"/>
        </w:rPr>
        <w:t>本细则根据企业标准及依据GB/T3795-2014《锰铁》标准，结合电解铝业务部实际生产运行情况编制，规定了阳极浇铸用锰铁的外观质量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化学成分、物理状态、检验频次及取样方法、质量细则等要求。适用于电解铝业务部下属各铝厂采购阳极浇铸用锰铁的质量检验及质量验证。</w:t>
      </w:r>
    </w:p>
    <w:p w14:paraId="7A629B70">
      <w:pPr>
        <w:spacing w:before="156" w:beforeLines="50" w:after="156" w:afterLines="50" w:line="360" w:lineRule="auto"/>
        <w:outlineLvl w:val="1"/>
        <w:rPr>
          <w:rFonts w:hint="eastAsia" w:ascii="宋体" w:hAnsi="宋体" w:eastAsia="宋体" w:cs="Times New Roman"/>
          <w:b/>
          <w:kern w:val="10"/>
          <w:sz w:val="24"/>
          <w:lang w:val="en-US" w:eastAsia="zh-CN"/>
        </w:rPr>
      </w:pPr>
      <w:bookmarkStart w:id="13" w:name="_Toc7603"/>
      <w:bookmarkStart w:id="14" w:name="_Toc28947"/>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.2 外观质量</w:t>
      </w:r>
      <w:bookmarkEnd w:id="13"/>
      <w:bookmarkEnd w:id="14"/>
    </w:p>
    <w:p w14:paraId="511C7BC5">
      <w:pPr>
        <w:spacing w:line="360" w:lineRule="auto"/>
        <w:ind w:firstLine="480" w:firstLineChars="200"/>
        <w:rPr>
          <w:rFonts w:hint="eastAsia"/>
        </w:rPr>
      </w:pPr>
      <w:r>
        <w:rPr>
          <w:rFonts w:hint="eastAsia"/>
          <w:kern w:val="10"/>
          <w:sz w:val="24"/>
          <w:lang w:eastAsia="zh-CN"/>
        </w:rPr>
        <w:t>锰</w:t>
      </w:r>
      <w:r>
        <w:rPr>
          <w:rFonts w:hint="eastAsia"/>
          <w:kern w:val="10"/>
          <w:sz w:val="24"/>
        </w:rPr>
        <w:t>铁</w:t>
      </w:r>
      <w:r>
        <w:rPr>
          <w:rFonts w:hint="eastAsia"/>
          <w:kern w:val="10"/>
          <w:sz w:val="24"/>
          <w:lang w:eastAsia="zh-CN"/>
        </w:rPr>
        <w:t>表面应洁净，无其他杂质。锰铁不应有明显夹渣及大量氧化物。</w:t>
      </w:r>
    </w:p>
    <w:p w14:paraId="1F165FC2">
      <w:pPr>
        <w:spacing w:before="156" w:beforeLines="50" w:after="156" w:afterLines="50" w:line="360" w:lineRule="auto"/>
        <w:outlineLvl w:val="1"/>
        <w:rPr>
          <w:rFonts w:hint="eastAsia" w:ascii="宋体" w:hAnsi="宋体" w:eastAsia="宋体" w:cs="Times New Roman"/>
          <w:b/>
          <w:kern w:val="10"/>
          <w:sz w:val="24"/>
          <w:lang w:val="en-US" w:eastAsia="zh-CN"/>
        </w:rPr>
      </w:pPr>
      <w:bookmarkStart w:id="15" w:name="_Toc27187"/>
      <w:bookmarkStart w:id="16" w:name="_Toc20944"/>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.3 化学成分</w:t>
      </w:r>
      <w:bookmarkEnd w:id="15"/>
      <w:bookmarkEnd w:id="16"/>
    </w:p>
    <w:p w14:paraId="16CB0F02">
      <w:pPr>
        <w:spacing w:line="360" w:lineRule="auto"/>
        <w:ind w:firstLine="480" w:firstLineChars="200"/>
        <w:rPr>
          <w:rFonts w:hint="eastAsia"/>
          <w:kern w:val="10"/>
          <w:sz w:val="24"/>
        </w:rPr>
      </w:pPr>
      <w:r>
        <w:rPr>
          <w:rFonts w:hint="eastAsia"/>
          <w:kern w:val="10"/>
          <w:sz w:val="24"/>
        </w:rPr>
        <w:t>锰铁的化学成分应符合下表规定。</w:t>
      </w:r>
    </w:p>
    <w:tbl>
      <w:tblPr>
        <w:tblStyle w:val="3"/>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5220"/>
      </w:tblGrid>
      <w:tr w14:paraId="5A1C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58" w:type="dxa"/>
            <w:gridSpan w:val="2"/>
            <w:vAlign w:val="center"/>
          </w:tcPr>
          <w:p w14:paraId="11F4691E">
            <w:pPr>
              <w:spacing w:line="360" w:lineRule="auto"/>
              <w:jc w:val="center"/>
              <w:rPr>
                <w:rFonts w:hint="eastAsia" w:ascii="宋体" w:hAnsi="宋体" w:eastAsia="宋体" w:cs="宋体"/>
                <w:b w:val="0"/>
                <w:bCs w:val="0"/>
                <w:kern w:val="10"/>
                <w:sz w:val="21"/>
                <w:szCs w:val="21"/>
              </w:rPr>
            </w:pPr>
            <w:r>
              <w:rPr>
                <w:rFonts w:hint="eastAsia" w:ascii="宋体" w:hAnsi="宋体" w:eastAsia="宋体" w:cs="宋体"/>
                <w:b w:val="0"/>
                <w:bCs w:val="0"/>
                <w:kern w:val="10"/>
                <w:sz w:val="21"/>
                <w:szCs w:val="21"/>
              </w:rPr>
              <w:t>化学成分，%</w:t>
            </w:r>
          </w:p>
        </w:tc>
      </w:tr>
      <w:tr w14:paraId="0EEF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Align w:val="top"/>
          </w:tcPr>
          <w:p w14:paraId="13FEA473">
            <w:pPr>
              <w:spacing w:line="360" w:lineRule="auto"/>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kern w:val="10"/>
                <w:sz w:val="21"/>
                <w:szCs w:val="21"/>
              </w:rPr>
              <w:t>Mn</w:t>
            </w:r>
          </w:p>
        </w:tc>
        <w:tc>
          <w:tcPr>
            <w:tcW w:w="5220" w:type="dxa"/>
            <w:vAlign w:val="top"/>
          </w:tcPr>
          <w:p w14:paraId="053361D7">
            <w:pPr>
              <w:spacing w:line="360" w:lineRule="auto"/>
              <w:jc w:val="center"/>
              <w:rPr>
                <w:rFonts w:hint="eastAsia" w:ascii="宋体" w:hAnsi="宋体" w:eastAsia="宋体" w:cs="宋体"/>
                <w:b w:val="0"/>
                <w:bCs w:val="0"/>
                <w:color w:val="auto"/>
                <w:kern w:val="10"/>
                <w:sz w:val="21"/>
                <w:szCs w:val="21"/>
                <w:lang w:val="en-US"/>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kern w:val="10"/>
                <w:sz w:val="21"/>
                <w:szCs w:val="21"/>
                <w:lang w:val="en-US" w:eastAsia="zh-CN"/>
              </w:rPr>
              <w:t>70.0</w:t>
            </w:r>
          </w:p>
        </w:tc>
      </w:tr>
      <w:tr w14:paraId="35FA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8" w:type="dxa"/>
            <w:gridSpan w:val="2"/>
            <w:vAlign w:val="top"/>
          </w:tcPr>
          <w:p w14:paraId="5B915B13">
            <w:pPr>
              <w:rPr>
                <w:rFonts w:hint="eastAsia" w:ascii="宋体" w:hAnsi="宋体" w:eastAsia="宋体" w:cs="宋体"/>
                <w:b w:val="0"/>
                <w:bCs w:val="0"/>
                <w:kern w:val="10"/>
                <w:sz w:val="21"/>
                <w:szCs w:val="21"/>
              </w:rPr>
            </w:pPr>
            <w:r>
              <w:rPr>
                <w:rFonts w:hint="eastAsia" w:ascii="宋体" w:hAnsi="宋体" w:eastAsia="宋体" w:cs="宋体"/>
                <w:b w:val="0"/>
                <w:bCs w:val="0"/>
                <w:kern w:val="10"/>
                <w:sz w:val="21"/>
                <w:szCs w:val="21"/>
              </w:rPr>
              <w:t>备注：1、对表中锰元素含量的规定：依据</w:t>
            </w:r>
            <w:r>
              <w:rPr>
                <w:rFonts w:hint="eastAsia" w:ascii="宋体" w:hAnsi="宋体" w:cs="宋体"/>
                <w:b w:val="0"/>
                <w:bCs w:val="0"/>
                <w:kern w:val="10"/>
                <w:sz w:val="21"/>
                <w:szCs w:val="21"/>
                <w:lang w:eastAsia="zh-CN"/>
              </w:rPr>
              <w:t>GB/T 3795-2014</w:t>
            </w:r>
            <w:r>
              <w:rPr>
                <w:rFonts w:hint="eastAsia" w:ascii="宋体" w:hAnsi="宋体" w:eastAsia="宋体" w:cs="宋体"/>
                <w:b w:val="0"/>
                <w:bCs w:val="0"/>
                <w:kern w:val="10"/>
                <w:sz w:val="21"/>
                <w:szCs w:val="21"/>
              </w:rPr>
              <w:t>中内容并结合生产需求规定此标准。</w:t>
            </w:r>
          </w:p>
          <w:p w14:paraId="1FB954A7">
            <w:pPr>
              <w:ind w:firstLine="630" w:firstLineChars="300"/>
              <w:rPr>
                <w:rFonts w:hint="eastAsia" w:ascii="宋体" w:hAnsi="宋体" w:eastAsia="宋体" w:cs="宋体"/>
                <w:b w:val="0"/>
                <w:bCs w:val="0"/>
                <w:kern w:val="10"/>
                <w:sz w:val="21"/>
                <w:szCs w:val="21"/>
              </w:rPr>
            </w:pPr>
            <w:r>
              <w:rPr>
                <w:rFonts w:hint="eastAsia" w:ascii="宋体" w:hAnsi="宋体" w:eastAsia="宋体" w:cs="宋体"/>
                <w:b w:val="0"/>
                <w:bCs w:val="0"/>
                <w:kern w:val="10"/>
                <w:sz w:val="21"/>
                <w:szCs w:val="21"/>
              </w:rPr>
              <w:t>2、对</w:t>
            </w:r>
            <w:r>
              <w:rPr>
                <w:rFonts w:hint="eastAsia" w:ascii="宋体" w:hAnsi="宋体" w:cs="宋体"/>
                <w:b w:val="0"/>
                <w:bCs w:val="0"/>
                <w:kern w:val="10"/>
                <w:sz w:val="21"/>
                <w:szCs w:val="21"/>
                <w:lang w:eastAsia="zh-CN"/>
              </w:rPr>
              <w:t>GB/T 3795-2014</w:t>
            </w:r>
            <w:r>
              <w:rPr>
                <w:rFonts w:hint="eastAsia" w:ascii="宋体" w:hAnsi="宋体" w:eastAsia="宋体" w:cs="宋体"/>
                <w:b w:val="0"/>
                <w:bCs w:val="0"/>
                <w:kern w:val="10"/>
                <w:sz w:val="21"/>
                <w:szCs w:val="21"/>
              </w:rPr>
              <w:t>化学成分表中规定的其他元素，如果需方有要求，供方应提供检测数据。</w:t>
            </w:r>
          </w:p>
          <w:p w14:paraId="092168D1">
            <w:pPr>
              <w:ind w:firstLine="630" w:firstLineChars="300"/>
              <w:rPr>
                <w:rFonts w:hint="eastAsia" w:ascii="宋体" w:hAnsi="宋体" w:eastAsia="宋体" w:cs="宋体"/>
                <w:b w:val="0"/>
                <w:bCs w:val="0"/>
                <w:sz w:val="21"/>
                <w:szCs w:val="21"/>
              </w:rPr>
            </w:pPr>
            <w:r>
              <w:rPr>
                <w:rFonts w:hint="eastAsia" w:ascii="宋体" w:hAnsi="宋体" w:eastAsia="宋体" w:cs="宋体"/>
                <w:b w:val="0"/>
                <w:bCs w:val="0"/>
                <w:kern w:val="10"/>
                <w:sz w:val="21"/>
                <w:szCs w:val="21"/>
              </w:rPr>
              <w:t>3、</w:t>
            </w:r>
            <w:r>
              <w:rPr>
                <w:rFonts w:hint="eastAsia" w:ascii="宋体" w:hAnsi="宋体" w:eastAsia="宋体" w:cs="宋体"/>
                <w:b w:val="0"/>
                <w:bCs w:val="0"/>
                <w:sz w:val="21"/>
                <w:szCs w:val="21"/>
              </w:rPr>
              <w:t>表中规定的元素含量，需方有物殊要求，可由供需双方另行商定，并在合同中注明。</w:t>
            </w:r>
          </w:p>
          <w:p w14:paraId="03018667">
            <w:pPr>
              <w:ind w:firstLine="630" w:firstLineChars="300"/>
              <w:rPr>
                <w:rFonts w:hint="eastAsia" w:ascii="宋体" w:hAnsi="宋体" w:eastAsia="宋体" w:cs="宋体"/>
                <w:b w:val="0"/>
                <w:bCs w:val="0"/>
                <w:kern w:val="10"/>
                <w:sz w:val="21"/>
                <w:szCs w:val="21"/>
              </w:rPr>
            </w:pPr>
            <w:r>
              <w:rPr>
                <w:rFonts w:hint="eastAsia" w:ascii="宋体" w:hAnsi="宋体" w:eastAsia="宋体" w:cs="宋体"/>
                <w:b w:val="0"/>
                <w:bCs w:val="0"/>
                <w:kern w:val="10"/>
                <w:sz w:val="21"/>
                <w:szCs w:val="21"/>
              </w:rPr>
              <w:t>4、</w:t>
            </w:r>
            <w:r>
              <w:rPr>
                <w:rFonts w:hint="eastAsia" w:ascii="宋体" w:hAnsi="宋体" w:eastAsia="宋体" w:cs="宋体"/>
                <w:b w:val="0"/>
                <w:bCs w:val="0"/>
                <w:sz w:val="21"/>
                <w:szCs w:val="21"/>
              </w:rPr>
              <w:t>我公司常用的是</w:t>
            </w:r>
            <w:r>
              <w:rPr>
                <w:rFonts w:hint="eastAsia" w:ascii="宋体" w:hAnsi="宋体" w:eastAsia="宋体" w:cs="宋体"/>
                <w:b w:val="0"/>
                <w:bCs w:val="0"/>
                <w:kern w:val="10"/>
                <w:sz w:val="21"/>
                <w:szCs w:val="21"/>
              </w:rPr>
              <w:t>FeMn</w:t>
            </w:r>
            <w:r>
              <w:rPr>
                <w:rFonts w:hint="eastAsia" w:ascii="宋体" w:hAnsi="宋体" w:eastAsia="宋体" w:cs="宋体"/>
                <w:b w:val="0"/>
                <w:bCs w:val="0"/>
                <w:kern w:val="10"/>
                <w:sz w:val="21"/>
                <w:szCs w:val="21"/>
                <w:lang w:val="en-US" w:eastAsia="zh-CN"/>
              </w:rPr>
              <w:t>74</w:t>
            </w:r>
            <w:r>
              <w:rPr>
                <w:rFonts w:hint="eastAsia" w:ascii="宋体" w:hAnsi="宋体" w:eastAsia="宋体" w:cs="宋体"/>
                <w:b w:val="0"/>
                <w:bCs w:val="0"/>
                <w:kern w:val="10"/>
                <w:sz w:val="21"/>
                <w:szCs w:val="21"/>
              </w:rPr>
              <w:t>属于高碳锰铁，碳含量应大于2.0%至8.0%。</w:t>
            </w:r>
          </w:p>
          <w:p w14:paraId="0EC60F5E">
            <w:pPr>
              <w:ind w:firstLine="630" w:firstLineChars="300"/>
              <w:rPr>
                <w:rFonts w:hint="eastAsia" w:ascii="宋体" w:hAnsi="宋体" w:eastAsia="宋体" w:cs="宋体"/>
                <w:b w:val="0"/>
                <w:bCs w:val="0"/>
                <w:kern w:val="10"/>
                <w:sz w:val="21"/>
                <w:szCs w:val="21"/>
              </w:rPr>
            </w:pPr>
            <w:r>
              <w:rPr>
                <w:rFonts w:hint="eastAsia" w:ascii="宋体" w:hAnsi="宋体" w:eastAsia="宋体" w:cs="宋体"/>
                <w:b w:val="0"/>
                <w:bCs w:val="0"/>
                <w:kern w:val="10"/>
                <w:sz w:val="21"/>
                <w:szCs w:val="21"/>
                <w:lang w:val="en-US" w:eastAsia="zh-CN"/>
              </w:rPr>
              <w:t>5、</w:t>
            </w:r>
            <w:r>
              <w:rPr>
                <w:rFonts w:hint="eastAsia" w:ascii="宋体" w:hAnsi="宋体" w:eastAsia="宋体" w:cs="宋体"/>
                <w:b w:val="0"/>
                <w:bCs w:val="0"/>
                <w:kern w:val="10"/>
                <w:sz w:val="21"/>
                <w:szCs w:val="21"/>
              </w:rPr>
              <w:t>数值修约比较按GB/T</w:t>
            </w:r>
            <w:r>
              <w:rPr>
                <w:rFonts w:hint="eastAsia" w:ascii="宋体" w:hAnsi="宋体" w:eastAsia="宋体" w:cs="宋体"/>
                <w:b w:val="0"/>
                <w:bCs w:val="0"/>
                <w:kern w:val="10"/>
                <w:sz w:val="21"/>
                <w:szCs w:val="21"/>
                <w:lang w:val="en-US" w:eastAsia="zh-CN"/>
              </w:rPr>
              <w:t xml:space="preserve"> 8170有关</w:t>
            </w:r>
            <w:r>
              <w:rPr>
                <w:rFonts w:hint="eastAsia" w:ascii="宋体" w:hAnsi="宋体" w:eastAsia="宋体" w:cs="宋体"/>
                <w:b w:val="0"/>
                <w:bCs w:val="0"/>
                <w:kern w:val="10"/>
                <w:sz w:val="21"/>
                <w:szCs w:val="21"/>
              </w:rPr>
              <w:t>规定进行，修约数位与表中所列极限数位一致。</w:t>
            </w:r>
          </w:p>
        </w:tc>
      </w:tr>
    </w:tbl>
    <w:p w14:paraId="0D35134B">
      <w:pPr>
        <w:spacing w:before="156" w:beforeLines="50" w:after="156" w:afterLines="50" w:line="360" w:lineRule="auto"/>
        <w:outlineLvl w:val="1"/>
        <w:rPr>
          <w:rFonts w:hint="eastAsia" w:ascii="宋体" w:hAnsi="宋体" w:eastAsia="宋体" w:cs="Times New Roman"/>
          <w:b/>
          <w:color w:val="auto"/>
          <w:kern w:val="10"/>
          <w:sz w:val="24"/>
          <w:lang w:val="en-US" w:eastAsia="zh-CN"/>
        </w:rPr>
      </w:pPr>
      <w:bookmarkStart w:id="17" w:name="_Toc31352"/>
      <w:bookmarkStart w:id="18" w:name="_Toc2378"/>
      <w:r>
        <w:rPr>
          <w:rFonts w:hint="eastAsia" w:ascii="宋体" w:hAnsi="宋体" w:cs="Times New Roman"/>
          <w:b/>
          <w:color w:val="auto"/>
          <w:kern w:val="10"/>
          <w:sz w:val="24"/>
          <w:lang w:val="en-US" w:eastAsia="zh-CN"/>
        </w:rPr>
        <w:t>2</w:t>
      </w:r>
      <w:r>
        <w:rPr>
          <w:rFonts w:hint="eastAsia" w:ascii="宋体" w:hAnsi="宋体" w:eastAsia="宋体" w:cs="Times New Roman"/>
          <w:b/>
          <w:color w:val="auto"/>
          <w:kern w:val="10"/>
          <w:sz w:val="24"/>
          <w:lang w:val="en-US" w:eastAsia="zh-CN"/>
        </w:rPr>
        <w:t>.4 物理状态</w:t>
      </w:r>
      <w:bookmarkEnd w:id="17"/>
      <w:bookmarkEnd w:id="18"/>
    </w:p>
    <w:p w14:paraId="31878CCA">
      <w:pPr>
        <w:spacing w:line="360" w:lineRule="auto"/>
        <w:ind w:firstLine="480" w:firstLineChars="200"/>
        <w:rPr>
          <w:rFonts w:hint="eastAsia"/>
          <w:kern w:val="10"/>
          <w:sz w:val="24"/>
        </w:rPr>
      </w:pPr>
      <w:r>
        <w:rPr>
          <w:rFonts w:hint="eastAsia"/>
          <w:kern w:val="10"/>
          <w:sz w:val="24"/>
        </w:rPr>
        <w:t>锰</w:t>
      </w:r>
      <w:r>
        <w:rPr>
          <w:rFonts w:hint="eastAsia"/>
          <w:sz w:val="24"/>
        </w:rPr>
        <w:t>铁以块状供货，其粒度范围应符合下表规定。</w:t>
      </w:r>
    </w:p>
    <w:tbl>
      <w:tblPr>
        <w:tblStyle w:val="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734"/>
        <w:gridCol w:w="2141"/>
        <w:gridCol w:w="2577"/>
      </w:tblGrid>
      <w:tr w14:paraId="256A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66" w:type="dxa"/>
            <w:vMerge w:val="restart"/>
            <w:vAlign w:val="top"/>
          </w:tcPr>
          <w:p w14:paraId="6B0BF3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粒度级别</w:t>
            </w:r>
          </w:p>
        </w:tc>
        <w:tc>
          <w:tcPr>
            <w:tcW w:w="2734" w:type="dxa"/>
            <w:vMerge w:val="restart"/>
            <w:vAlign w:val="top"/>
          </w:tcPr>
          <w:p w14:paraId="4071F2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粒度/mm</w:t>
            </w:r>
          </w:p>
        </w:tc>
        <w:tc>
          <w:tcPr>
            <w:tcW w:w="4718" w:type="dxa"/>
            <w:gridSpan w:val="2"/>
            <w:vAlign w:val="top"/>
          </w:tcPr>
          <w:p w14:paraId="4C4A392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允许偏差/%不大于</w:t>
            </w:r>
          </w:p>
        </w:tc>
      </w:tr>
      <w:tr w14:paraId="36A7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6" w:type="dxa"/>
            <w:vMerge w:val="continue"/>
            <w:vAlign w:val="top"/>
          </w:tcPr>
          <w:p w14:paraId="0AA0A310">
            <w:pPr>
              <w:spacing w:line="360" w:lineRule="auto"/>
              <w:jc w:val="center"/>
              <w:rPr>
                <w:rFonts w:hint="eastAsia" w:ascii="宋体" w:hAnsi="宋体" w:eastAsia="宋体" w:cs="宋体"/>
                <w:sz w:val="21"/>
                <w:szCs w:val="21"/>
              </w:rPr>
            </w:pPr>
          </w:p>
        </w:tc>
        <w:tc>
          <w:tcPr>
            <w:tcW w:w="2734" w:type="dxa"/>
            <w:vMerge w:val="continue"/>
            <w:vAlign w:val="top"/>
          </w:tcPr>
          <w:p w14:paraId="7211ADC3">
            <w:pPr>
              <w:spacing w:line="360" w:lineRule="auto"/>
              <w:jc w:val="center"/>
              <w:rPr>
                <w:rFonts w:hint="eastAsia" w:ascii="宋体" w:hAnsi="宋体" w:eastAsia="宋体" w:cs="宋体"/>
                <w:sz w:val="21"/>
                <w:szCs w:val="21"/>
              </w:rPr>
            </w:pPr>
          </w:p>
        </w:tc>
        <w:tc>
          <w:tcPr>
            <w:tcW w:w="2141" w:type="dxa"/>
            <w:vAlign w:val="top"/>
          </w:tcPr>
          <w:p w14:paraId="60DE74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筛</w:t>
            </w:r>
            <w:r>
              <w:rPr>
                <w:rFonts w:hint="eastAsia" w:ascii="宋体" w:hAnsi="宋体" w:eastAsia="宋体" w:cs="宋体"/>
                <w:sz w:val="21"/>
                <w:szCs w:val="21"/>
                <w:lang w:eastAsia="zh-CN"/>
              </w:rPr>
              <w:t>上</w:t>
            </w:r>
            <w:r>
              <w:rPr>
                <w:rFonts w:hint="eastAsia" w:ascii="宋体" w:hAnsi="宋体" w:eastAsia="宋体" w:cs="宋体"/>
                <w:sz w:val="21"/>
                <w:szCs w:val="21"/>
              </w:rPr>
              <w:t>物</w:t>
            </w:r>
          </w:p>
        </w:tc>
        <w:tc>
          <w:tcPr>
            <w:tcW w:w="2577" w:type="dxa"/>
            <w:vAlign w:val="top"/>
          </w:tcPr>
          <w:p w14:paraId="77E9668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筛下物</w:t>
            </w:r>
          </w:p>
        </w:tc>
      </w:tr>
      <w:tr w14:paraId="4180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6" w:type="dxa"/>
            <w:vAlign w:val="top"/>
          </w:tcPr>
          <w:p w14:paraId="3856087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34" w:type="dxa"/>
            <w:vAlign w:val="top"/>
          </w:tcPr>
          <w:p w14:paraId="2D841C6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kern w:val="10"/>
                <w:sz w:val="21"/>
                <w:szCs w:val="21"/>
              </w:rPr>
              <w:t>～250</w:t>
            </w:r>
          </w:p>
        </w:tc>
        <w:tc>
          <w:tcPr>
            <w:tcW w:w="2141" w:type="dxa"/>
            <w:vAlign w:val="top"/>
          </w:tcPr>
          <w:p w14:paraId="499E95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577" w:type="dxa"/>
            <w:vAlign w:val="top"/>
          </w:tcPr>
          <w:p w14:paraId="22AD7B2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7FF5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6" w:type="dxa"/>
            <w:vAlign w:val="top"/>
          </w:tcPr>
          <w:p w14:paraId="4DF57C0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34" w:type="dxa"/>
            <w:vAlign w:val="top"/>
          </w:tcPr>
          <w:p w14:paraId="791FC53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r>
              <w:rPr>
                <w:rFonts w:hint="eastAsia" w:ascii="宋体" w:hAnsi="宋体" w:eastAsia="宋体" w:cs="宋体"/>
                <w:kern w:val="10"/>
                <w:sz w:val="21"/>
                <w:szCs w:val="21"/>
              </w:rPr>
              <w:t>～</w:t>
            </w:r>
            <w:r>
              <w:rPr>
                <w:rFonts w:hint="eastAsia" w:ascii="宋体" w:hAnsi="宋体" w:eastAsia="宋体" w:cs="宋体"/>
                <w:sz w:val="21"/>
                <w:szCs w:val="21"/>
                <w:lang w:val="en-US" w:eastAsia="zh-CN"/>
              </w:rPr>
              <w:t>150</w:t>
            </w:r>
          </w:p>
        </w:tc>
        <w:tc>
          <w:tcPr>
            <w:tcW w:w="2141" w:type="dxa"/>
            <w:vAlign w:val="top"/>
          </w:tcPr>
          <w:p w14:paraId="7A02050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77" w:type="dxa"/>
            <w:vAlign w:val="top"/>
          </w:tcPr>
          <w:p w14:paraId="644A9DB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7549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6" w:type="dxa"/>
            <w:vAlign w:val="top"/>
          </w:tcPr>
          <w:p w14:paraId="5DEA6D0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34" w:type="dxa"/>
            <w:vAlign w:val="top"/>
          </w:tcPr>
          <w:p w14:paraId="4D366A09">
            <w:pPr>
              <w:spacing w:line="36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10</w:t>
            </w:r>
            <w:r>
              <w:rPr>
                <w:rFonts w:hint="eastAsia" w:ascii="宋体" w:hAnsi="宋体" w:eastAsia="宋体" w:cs="宋体"/>
                <w:kern w:val="10"/>
                <w:sz w:val="21"/>
                <w:szCs w:val="21"/>
              </w:rPr>
              <w:t>～</w:t>
            </w:r>
            <w:r>
              <w:rPr>
                <w:rFonts w:hint="eastAsia" w:ascii="宋体" w:hAnsi="宋体" w:eastAsia="宋体" w:cs="宋体"/>
                <w:sz w:val="21"/>
                <w:szCs w:val="21"/>
                <w:lang w:val="en-US" w:eastAsia="zh-CN"/>
              </w:rPr>
              <w:t>50</w:t>
            </w:r>
          </w:p>
        </w:tc>
        <w:tc>
          <w:tcPr>
            <w:tcW w:w="2141" w:type="dxa"/>
            <w:vAlign w:val="top"/>
          </w:tcPr>
          <w:p w14:paraId="315F391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77" w:type="dxa"/>
            <w:vAlign w:val="top"/>
          </w:tcPr>
          <w:p w14:paraId="2CDC70F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327C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6" w:type="dxa"/>
            <w:vAlign w:val="top"/>
          </w:tcPr>
          <w:p w14:paraId="44D63B9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34" w:type="dxa"/>
            <w:vAlign w:val="top"/>
          </w:tcPr>
          <w:p w14:paraId="3EE6886D">
            <w:pPr>
              <w:spacing w:line="36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0.097</w:t>
            </w:r>
            <w:r>
              <w:rPr>
                <w:rFonts w:hint="eastAsia" w:ascii="宋体" w:hAnsi="宋体" w:eastAsia="宋体" w:cs="宋体"/>
                <w:kern w:val="10"/>
                <w:sz w:val="21"/>
                <w:szCs w:val="21"/>
              </w:rPr>
              <w:t>～</w:t>
            </w:r>
            <w:r>
              <w:rPr>
                <w:rFonts w:hint="eastAsia" w:ascii="宋体" w:hAnsi="宋体" w:eastAsia="宋体" w:cs="宋体"/>
                <w:sz w:val="21"/>
                <w:szCs w:val="21"/>
                <w:lang w:val="en-US" w:eastAsia="zh-CN"/>
              </w:rPr>
              <w:t>0.45</w:t>
            </w:r>
          </w:p>
        </w:tc>
        <w:tc>
          <w:tcPr>
            <w:tcW w:w="2141" w:type="dxa"/>
            <w:vAlign w:val="top"/>
          </w:tcPr>
          <w:p w14:paraId="74AD978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77" w:type="dxa"/>
            <w:vAlign w:val="top"/>
          </w:tcPr>
          <w:p w14:paraId="0D5A7F9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14:paraId="0928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318" w:type="dxa"/>
            <w:gridSpan w:val="4"/>
            <w:vAlign w:val="top"/>
          </w:tcPr>
          <w:p w14:paraId="6CF689E5">
            <w:pPr>
              <w:rPr>
                <w:rFonts w:hint="eastAsia" w:ascii="宋体" w:hAnsi="宋体" w:eastAsia="宋体" w:cs="宋体"/>
                <w:sz w:val="21"/>
                <w:szCs w:val="21"/>
              </w:rPr>
            </w:pPr>
            <w:r>
              <w:rPr>
                <w:rFonts w:hint="eastAsia" w:ascii="宋体" w:hAnsi="宋体" w:eastAsia="宋体" w:cs="宋体"/>
                <w:sz w:val="21"/>
                <w:szCs w:val="21"/>
              </w:rPr>
              <w:t>备注：1、需方对粒度有特殊需要，可由供需双方另行商定，并在合同中注明。</w:t>
            </w:r>
          </w:p>
          <w:p w14:paraId="7A2660AB">
            <w:pPr>
              <w:numPr>
                <w:ilvl w:val="0"/>
                <w:numId w:val="1"/>
              </w:numPr>
              <w:ind w:left="630" w:leftChars="0" w:firstLine="0" w:firstLineChars="0"/>
              <w:rPr>
                <w:rFonts w:hint="eastAsia" w:ascii="宋体" w:hAnsi="宋体" w:eastAsia="宋体" w:cs="宋体"/>
                <w:sz w:val="21"/>
                <w:szCs w:val="21"/>
              </w:rPr>
            </w:pPr>
            <w:r>
              <w:rPr>
                <w:rFonts w:hint="eastAsia" w:ascii="宋体" w:hAnsi="宋体" w:eastAsia="宋体" w:cs="宋体"/>
                <w:sz w:val="21"/>
                <w:szCs w:val="21"/>
              </w:rPr>
              <w:t>锰铁粒度检查按GB/T13247的规定进行。</w:t>
            </w:r>
          </w:p>
          <w:p w14:paraId="2C4D2C66">
            <w:pPr>
              <w:pStyle w:val="5"/>
              <w:numPr>
                <w:ilvl w:val="0"/>
                <w:numId w:val="1"/>
              </w:numPr>
              <w:ind w:left="630" w:leftChars="0" w:firstLine="0" w:firstLineChars="0"/>
              <w:jc w:val="both"/>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物理状态因我公司暂未配备检测设备不作常规检测，根据生产运行情况，不定时抽样外检，具体抽样时间以具体通知为准。</w:t>
            </w:r>
          </w:p>
        </w:tc>
      </w:tr>
    </w:tbl>
    <w:p w14:paraId="40D38EF3">
      <w:pPr>
        <w:spacing w:before="156" w:beforeLines="50" w:after="156" w:afterLines="50" w:line="360" w:lineRule="auto"/>
        <w:outlineLvl w:val="1"/>
        <w:rPr>
          <w:rFonts w:hint="eastAsia" w:ascii="宋体" w:hAnsi="宋体" w:eastAsia="宋体" w:cs="Times New Roman"/>
          <w:b/>
          <w:kern w:val="10"/>
          <w:sz w:val="24"/>
          <w:lang w:val="en-US" w:eastAsia="zh-CN"/>
        </w:rPr>
      </w:pPr>
      <w:bookmarkStart w:id="19" w:name="_Toc717"/>
      <w:bookmarkStart w:id="20" w:name="_Toc17598"/>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.5 检验频次及取样方法</w:t>
      </w:r>
      <w:bookmarkEnd w:id="19"/>
      <w:bookmarkEnd w:id="20"/>
    </w:p>
    <w:p w14:paraId="488A46E6">
      <w:pPr>
        <w:spacing w:line="360" w:lineRule="auto"/>
        <w:rPr>
          <w:rFonts w:hint="eastAsia" w:ascii="宋体" w:hAnsi="宋体" w:eastAsia="宋体" w:cs="宋体"/>
          <w:sz w:val="24"/>
          <w:szCs w:val="24"/>
          <w:lang w:eastAsia="zh-CN"/>
        </w:rPr>
      </w:pPr>
      <w:r>
        <w:rPr>
          <w:rFonts w:hint="eastAsia" w:ascii="宋体" w:hAnsi="宋体" w:cs="宋体"/>
          <w:sz w:val="24"/>
          <w:lang w:val="en-US" w:eastAsia="zh-CN"/>
        </w:rPr>
        <w:t>2</w:t>
      </w:r>
      <w:r>
        <w:rPr>
          <w:rFonts w:hint="eastAsia" w:ascii="宋体" w:hAnsi="宋体" w:eastAsia="宋体" w:cs="宋体"/>
          <w:sz w:val="24"/>
          <w:lang w:val="en-US" w:eastAsia="zh-CN"/>
        </w:rPr>
        <w:t>.5</w:t>
      </w:r>
      <w:r>
        <w:rPr>
          <w:rFonts w:hint="eastAsia" w:ascii="宋体" w:hAnsi="宋体" w:eastAsia="宋体" w:cs="宋体"/>
          <w:sz w:val="24"/>
        </w:rPr>
        <w:t>.1</w:t>
      </w:r>
      <w:r>
        <w:rPr>
          <w:rFonts w:hint="eastAsia" w:ascii="宋体" w:hAnsi="宋体" w:eastAsia="宋体" w:cs="宋体"/>
          <w:sz w:val="24"/>
          <w:szCs w:val="24"/>
          <w:lang w:eastAsia="zh-CN"/>
        </w:rPr>
        <w:t>同一供方按每车次组批抽检一次。根据</w:t>
      </w:r>
      <w:r>
        <w:rPr>
          <w:rFonts w:hint="eastAsia" w:ascii="宋体" w:hAnsi="宋体" w:cs="宋体"/>
          <w:sz w:val="24"/>
          <w:szCs w:val="24"/>
          <w:lang w:val="en-US" w:eastAsia="zh-CN"/>
        </w:rPr>
        <w:t>来料及</w:t>
      </w:r>
      <w:r>
        <w:rPr>
          <w:rFonts w:hint="eastAsia" w:ascii="宋体" w:hAnsi="宋体" w:eastAsia="宋体" w:cs="宋体"/>
          <w:sz w:val="24"/>
          <w:szCs w:val="24"/>
          <w:lang w:eastAsia="zh-CN"/>
        </w:rPr>
        <w:t>包装情况随机抽取</w:t>
      </w:r>
      <w:r>
        <w:rPr>
          <w:rFonts w:hint="eastAsia" w:ascii="宋体" w:hAnsi="宋体" w:cs="宋体"/>
          <w:sz w:val="24"/>
          <w:szCs w:val="24"/>
          <w:lang w:val="en-US" w:eastAsia="zh-CN"/>
        </w:rPr>
        <w:t>2</w:t>
      </w:r>
      <w:r>
        <w:rPr>
          <w:rFonts w:hint="eastAsia" w:ascii="宋体" w:hAnsi="宋体" w:eastAsia="宋体" w:cs="宋体"/>
          <w:sz w:val="24"/>
          <w:szCs w:val="24"/>
          <w:lang w:eastAsia="zh-CN"/>
        </w:rPr>
        <w:t>块或</w:t>
      </w:r>
      <w:r>
        <w:rPr>
          <w:rFonts w:hint="eastAsia" w:ascii="宋体" w:hAnsi="宋体" w:cs="宋体"/>
          <w:sz w:val="24"/>
          <w:szCs w:val="24"/>
          <w:lang w:val="en-US" w:eastAsia="zh-CN"/>
        </w:rPr>
        <w:t>随机对</w:t>
      </w:r>
      <w:r>
        <w:rPr>
          <w:rFonts w:hint="eastAsia" w:ascii="宋体" w:hAnsi="宋体" w:eastAsia="宋体" w:cs="宋体"/>
          <w:sz w:val="24"/>
          <w:szCs w:val="24"/>
          <w:lang w:eastAsia="zh-CN"/>
        </w:rPr>
        <w:t>5袋进行取样，将取得的样品混合均匀、研磨，代表一份试样进行检测；采用光谱方法分析时，每批随机抽取2个样品，分别切割平分为2块试样，实行“一检一封”原则，最终结果取2个样品的平均值。外观质量同步进行。</w:t>
      </w:r>
    </w:p>
    <w:p w14:paraId="33AB6908">
      <w:pPr>
        <w:spacing w:line="360" w:lineRule="auto"/>
        <w:rPr>
          <w:rFonts w:hint="eastAsia" w:ascii="宋体" w:hAnsi="宋体" w:eastAsia="宋体" w:cs="宋体"/>
          <w:sz w:val="24"/>
        </w:rPr>
      </w:pPr>
      <w:r>
        <w:rPr>
          <w:rFonts w:hint="eastAsia" w:ascii="宋体" w:hAnsi="宋体" w:cs="宋体"/>
          <w:sz w:val="24"/>
          <w:szCs w:val="24"/>
          <w:lang w:val="en-US" w:eastAsia="zh-CN"/>
        </w:rPr>
        <w:t>2</w:t>
      </w:r>
      <w:r>
        <w:rPr>
          <w:rFonts w:hint="eastAsia" w:ascii="宋体" w:hAnsi="宋体" w:eastAsia="宋体" w:cs="宋体"/>
          <w:sz w:val="24"/>
          <w:szCs w:val="24"/>
          <w:lang w:eastAsia="zh-CN"/>
        </w:rPr>
        <w:t>.5.2 供需双方在验收过程中就质量问题发生争议时，</w:t>
      </w:r>
      <w:r>
        <w:rPr>
          <w:rFonts w:hint="eastAsia" w:ascii="宋体" w:hAnsi="宋体" w:cs="宋体"/>
          <w:sz w:val="24"/>
          <w:szCs w:val="24"/>
          <w:lang w:eastAsia="zh-CN"/>
        </w:rPr>
        <w:t>由</w:t>
      </w:r>
      <w:r>
        <w:rPr>
          <w:rFonts w:hint="eastAsia" w:ascii="宋体" w:hAnsi="宋体" w:eastAsia="宋体" w:cs="宋体"/>
          <w:sz w:val="24"/>
          <w:szCs w:val="24"/>
          <w:lang w:eastAsia="zh-CN"/>
        </w:rPr>
        <w:t>双方在场重新对原样进行取样、封样，并共同委托双方认可权威机构进行仲裁检验，以仲裁结果为最终结果进行结算，检验费用由责任方承担。</w:t>
      </w:r>
    </w:p>
    <w:p w14:paraId="1D5BBDB2">
      <w:pPr>
        <w:spacing w:before="156" w:beforeLines="50" w:after="156" w:afterLines="50" w:line="360" w:lineRule="auto"/>
        <w:outlineLvl w:val="1"/>
        <w:rPr>
          <w:rFonts w:hint="eastAsia" w:ascii="宋体" w:hAnsi="宋体" w:eastAsia="宋体" w:cs="Times New Roman"/>
          <w:b/>
          <w:kern w:val="10"/>
          <w:sz w:val="24"/>
          <w:lang w:val="en-US" w:eastAsia="zh-CN"/>
        </w:rPr>
      </w:pPr>
      <w:bookmarkStart w:id="21" w:name="_Toc24552"/>
      <w:bookmarkStart w:id="22" w:name="_Toc18539"/>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.6 质量细则</w:t>
      </w:r>
      <w:bookmarkEnd w:id="21"/>
      <w:bookmarkEnd w:id="22"/>
    </w:p>
    <w:tbl>
      <w:tblPr>
        <w:tblStyle w:val="3"/>
        <w:tblpPr w:leftFromText="180" w:rightFromText="180" w:vertAnchor="text" w:horzAnchor="page" w:tblpX="1275" w:tblpY="239"/>
        <w:tblOverlap w:val="never"/>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05"/>
        <w:gridCol w:w="1560"/>
        <w:gridCol w:w="765"/>
        <w:gridCol w:w="1410"/>
        <w:gridCol w:w="2589"/>
        <w:gridCol w:w="2265"/>
      </w:tblGrid>
      <w:tr w14:paraId="1ED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4" w:type="dxa"/>
            <w:gridSpan w:val="7"/>
            <w:vAlign w:val="center"/>
          </w:tcPr>
          <w:p w14:paraId="00DE1874">
            <w:pPr>
              <w:keepNext w:val="0"/>
              <w:keepLines w:val="0"/>
              <w:widowControl/>
              <w:suppressLineNumbers w:val="0"/>
              <w:shd w:val="clear" w:color="auto" w:fill="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阳极浇铸用锰铁质量细则</w:t>
            </w:r>
          </w:p>
        </w:tc>
      </w:tr>
      <w:tr w14:paraId="4CC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21CDD21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序号</w:t>
            </w:r>
          </w:p>
        </w:tc>
        <w:tc>
          <w:tcPr>
            <w:tcW w:w="705" w:type="dxa"/>
            <w:vAlign w:val="center"/>
          </w:tcPr>
          <w:p w14:paraId="3D519AB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子项</w:t>
            </w:r>
          </w:p>
        </w:tc>
        <w:tc>
          <w:tcPr>
            <w:tcW w:w="1560" w:type="dxa"/>
            <w:vAlign w:val="center"/>
          </w:tcPr>
          <w:p w14:paraId="6F3F5846">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指标要求</w:t>
            </w:r>
          </w:p>
        </w:tc>
        <w:tc>
          <w:tcPr>
            <w:tcW w:w="765" w:type="dxa"/>
            <w:vAlign w:val="center"/>
          </w:tcPr>
          <w:p w14:paraId="334E736A">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处理类别</w:t>
            </w:r>
          </w:p>
        </w:tc>
        <w:tc>
          <w:tcPr>
            <w:tcW w:w="3999" w:type="dxa"/>
            <w:gridSpan w:val="2"/>
            <w:vAlign w:val="center"/>
          </w:tcPr>
          <w:p w14:paraId="0C9668EE">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处理措施</w:t>
            </w:r>
            <w:r>
              <w:rPr>
                <w:rFonts w:hint="eastAsia" w:ascii="宋体" w:hAnsi="宋体" w:cs="宋体"/>
                <w:b w:val="0"/>
                <w:bCs w:val="0"/>
                <w:i w:val="0"/>
                <w:iCs w:val="0"/>
                <w:color w:val="auto"/>
                <w:kern w:val="0"/>
                <w:sz w:val="21"/>
                <w:szCs w:val="21"/>
                <w:u w:val="none"/>
                <w:shd w:val="clear" w:color="auto" w:fill="auto"/>
                <w:lang w:val="en-US" w:eastAsia="zh-CN" w:bidi="ar"/>
              </w:rPr>
              <w:t>（x为对应的控制子项）</w:t>
            </w:r>
          </w:p>
        </w:tc>
        <w:tc>
          <w:tcPr>
            <w:tcW w:w="2265" w:type="dxa"/>
            <w:vAlign w:val="center"/>
          </w:tcPr>
          <w:p w14:paraId="037E30AB">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14:paraId="3462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0" w:type="dxa"/>
            <w:vMerge w:val="restart"/>
            <w:vAlign w:val="center"/>
          </w:tcPr>
          <w:p w14:paraId="5823F531">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1</w:t>
            </w:r>
          </w:p>
        </w:tc>
        <w:tc>
          <w:tcPr>
            <w:tcW w:w="705" w:type="dxa"/>
            <w:vMerge w:val="restart"/>
            <w:vAlign w:val="center"/>
          </w:tcPr>
          <w:p w14:paraId="45EFBD0B">
            <w:pPr>
              <w:widowControl w:val="0"/>
              <w:autoSpaceDE w:val="0"/>
              <w:autoSpaceDN w:val="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10"/>
                <w:sz w:val="21"/>
                <w:szCs w:val="21"/>
              </w:rPr>
              <w:t>Mn</w:t>
            </w:r>
            <w:r>
              <w:rPr>
                <w:rFonts w:hint="eastAsia" w:ascii="宋体" w:hAnsi="宋体" w:eastAsia="宋体" w:cs="宋体"/>
                <w:b w:val="0"/>
                <w:bCs w:val="0"/>
                <w:color w:val="auto"/>
                <w:kern w:val="10"/>
                <w:sz w:val="21"/>
                <w:szCs w:val="21"/>
                <w:lang w:val="en-US" w:eastAsia="zh-CN"/>
              </w:rPr>
              <w:t>%</w:t>
            </w:r>
          </w:p>
        </w:tc>
        <w:tc>
          <w:tcPr>
            <w:tcW w:w="1560" w:type="dxa"/>
            <w:vMerge w:val="restart"/>
            <w:vAlign w:val="center"/>
          </w:tcPr>
          <w:p w14:paraId="2A516F65">
            <w:pPr>
              <w:keepNext w:val="0"/>
              <w:keepLines w:val="0"/>
              <w:widowControl/>
              <w:suppressLineNumbers w:val="0"/>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cs="宋体"/>
                <w:b w:val="0"/>
                <w:bCs w:val="0"/>
                <w:color w:val="auto"/>
                <w:kern w:val="10"/>
                <w:sz w:val="21"/>
                <w:szCs w:val="21"/>
                <w:lang w:val="en-US" w:eastAsia="zh-CN"/>
              </w:rPr>
              <w:t>≥</w:t>
            </w:r>
            <w:r>
              <w:rPr>
                <w:rFonts w:hint="eastAsia" w:ascii="宋体" w:hAnsi="宋体" w:eastAsia="宋体" w:cs="宋体"/>
                <w:b w:val="0"/>
                <w:bCs w:val="0"/>
                <w:color w:val="auto"/>
                <w:kern w:val="10"/>
                <w:sz w:val="21"/>
                <w:szCs w:val="21"/>
                <w:lang w:val="en-US" w:eastAsia="zh-CN"/>
              </w:rPr>
              <w:t>70</w:t>
            </w:r>
            <w:r>
              <w:rPr>
                <w:rFonts w:hint="eastAsia" w:ascii="宋体" w:hAnsi="宋体" w:cs="宋体"/>
                <w:b w:val="0"/>
                <w:bCs w:val="0"/>
                <w:color w:val="auto"/>
                <w:kern w:val="10"/>
                <w:sz w:val="21"/>
                <w:szCs w:val="21"/>
                <w:lang w:val="en-US" w:eastAsia="zh-CN"/>
              </w:rPr>
              <w:t>.0</w:t>
            </w:r>
          </w:p>
        </w:tc>
        <w:tc>
          <w:tcPr>
            <w:tcW w:w="765" w:type="dxa"/>
            <w:vAlign w:val="center"/>
          </w:tcPr>
          <w:p w14:paraId="04B94611">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补锰铁</w:t>
            </w:r>
          </w:p>
        </w:tc>
        <w:tc>
          <w:tcPr>
            <w:tcW w:w="1410" w:type="dxa"/>
            <w:vAlign w:val="center"/>
          </w:tcPr>
          <w:p w14:paraId="61E3B3E2">
            <w:pPr>
              <w:widowControl/>
              <w:jc w:val="both"/>
              <w:textAlignment w:val="center"/>
              <w:rPr>
                <w:rFonts w:hint="default"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65</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≤x＜70</w:t>
            </w:r>
            <w:r>
              <w:rPr>
                <w:rFonts w:hint="eastAsia" w:ascii="宋体" w:hAnsi="宋体" w:cs="宋体"/>
                <w:b w:val="0"/>
                <w:bCs w:val="0"/>
                <w:i w:val="0"/>
                <w:color w:val="auto"/>
                <w:kern w:val="10"/>
                <w:sz w:val="21"/>
                <w:szCs w:val="21"/>
                <w:highlight w:val="none"/>
                <w:u w:val="none"/>
                <w:lang w:val="en-US" w:eastAsia="zh-CN" w:bidi="ar"/>
              </w:rPr>
              <w:t>.0</w:t>
            </w:r>
          </w:p>
        </w:tc>
        <w:tc>
          <w:tcPr>
            <w:tcW w:w="2589" w:type="dxa"/>
            <w:vAlign w:val="center"/>
          </w:tcPr>
          <w:p w14:paraId="571A79D9">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由厂家补发一级锰铁调整，补发量：总重×（</w:t>
            </w:r>
            <w:r>
              <w:rPr>
                <w:rFonts w:hint="eastAsia" w:ascii="宋体" w:hAnsi="宋体" w:cs="宋体"/>
                <w:b w:val="0"/>
                <w:bCs w:val="0"/>
                <w:color w:val="auto"/>
                <w:kern w:val="10"/>
                <w:sz w:val="21"/>
                <w:szCs w:val="21"/>
                <w:highlight w:val="none"/>
                <w:vertAlign w:val="baseline"/>
                <w:lang w:val="en-US" w:eastAsia="zh-CN"/>
              </w:rPr>
              <w:t>70.0</w:t>
            </w:r>
            <w:r>
              <w:rPr>
                <w:rFonts w:hint="eastAsia" w:ascii="宋体" w:hAnsi="宋体" w:eastAsia="宋体" w:cs="宋体"/>
                <w:b w:val="0"/>
                <w:bCs w:val="0"/>
                <w:color w:val="auto"/>
                <w:kern w:val="10"/>
                <w:sz w:val="21"/>
                <w:szCs w:val="21"/>
                <w:highlight w:val="none"/>
                <w:vertAlign w:val="baseline"/>
                <w:lang w:val="en-US" w:eastAsia="zh-CN"/>
              </w:rPr>
              <w:t>-实测锰含量）/100/0.7/0.95。外加罚扣50元/吨。</w:t>
            </w:r>
          </w:p>
        </w:tc>
        <w:tc>
          <w:tcPr>
            <w:tcW w:w="2265" w:type="dxa"/>
            <w:vAlign w:val="center"/>
          </w:tcPr>
          <w:p w14:paraId="5D0B5EB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color w:val="auto"/>
                <w:kern w:val="10"/>
                <w:sz w:val="21"/>
                <w:szCs w:val="21"/>
                <w:highlight w:val="none"/>
                <w:vertAlign w:val="baseline"/>
                <w:lang w:val="en-US" w:eastAsia="zh-CN"/>
              </w:rPr>
              <w:t>70.0</w:t>
            </w:r>
            <w:r>
              <w:rPr>
                <w:rFonts w:hint="eastAsia" w:ascii="宋体" w:hAnsi="宋体" w:eastAsia="宋体" w:cs="宋体"/>
                <w:b w:val="0"/>
                <w:bCs w:val="0"/>
                <w:color w:val="auto"/>
                <w:kern w:val="10"/>
                <w:sz w:val="21"/>
                <w:szCs w:val="21"/>
                <w:highlight w:val="none"/>
                <w:vertAlign w:val="baseline"/>
                <w:lang w:val="en-US" w:eastAsia="zh-CN"/>
              </w:rPr>
              <w:t>为锰调整中心值,0.7为锰含量，0.95为吸收率。</w:t>
            </w:r>
          </w:p>
        </w:tc>
      </w:tr>
      <w:tr w14:paraId="5635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Merge w:val="continue"/>
            <w:vAlign w:val="center"/>
          </w:tcPr>
          <w:p w14:paraId="4FF71D99">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705" w:type="dxa"/>
            <w:vMerge w:val="continue"/>
            <w:vAlign w:val="center"/>
          </w:tcPr>
          <w:p w14:paraId="302DC1C2">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1560" w:type="dxa"/>
            <w:vMerge w:val="continue"/>
            <w:vAlign w:val="center"/>
          </w:tcPr>
          <w:p w14:paraId="317A1E3C">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65" w:type="dxa"/>
            <w:vAlign w:val="center"/>
          </w:tcPr>
          <w:p w14:paraId="18F74266">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10" w:type="dxa"/>
            <w:vAlign w:val="center"/>
          </w:tcPr>
          <w:p w14:paraId="399B9414">
            <w:pPr>
              <w:widowControl/>
              <w:jc w:val="center"/>
              <w:textAlignment w:val="center"/>
              <w:rPr>
                <w:rFonts w:hint="default"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＜65</w:t>
            </w:r>
            <w:r>
              <w:rPr>
                <w:rFonts w:hint="eastAsia" w:ascii="宋体" w:hAnsi="宋体" w:cs="宋体"/>
                <w:b w:val="0"/>
                <w:bCs w:val="0"/>
                <w:i w:val="0"/>
                <w:color w:val="auto"/>
                <w:kern w:val="10"/>
                <w:sz w:val="21"/>
                <w:szCs w:val="21"/>
                <w:highlight w:val="none"/>
                <w:u w:val="none"/>
                <w:lang w:val="en-US" w:eastAsia="zh-CN" w:bidi="ar"/>
              </w:rPr>
              <w:t>.0</w:t>
            </w:r>
          </w:p>
        </w:tc>
        <w:tc>
          <w:tcPr>
            <w:tcW w:w="2589" w:type="dxa"/>
            <w:vAlign w:val="center"/>
          </w:tcPr>
          <w:p w14:paraId="47D125F0">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265" w:type="dxa"/>
            <w:vAlign w:val="center"/>
          </w:tcPr>
          <w:p w14:paraId="106BA87D">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2240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Align w:val="center"/>
          </w:tcPr>
          <w:p w14:paraId="5570DA00">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2</w:t>
            </w:r>
          </w:p>
        </w:tc>
        <w:tc>
          <w:tcPr>
            <w:tcW w:w="705" w:type="dxa"/>
            <w:vAlign w:val="center"/>
          </w:tcPr>
          <w:p w14:paraId="192E311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外观质量</w:t>
            </w:r>
          </w:p>
        </w:tc>
        <w:tc>
          <w:tcPr>
            <w:tcW w:w="1560" w:type="dxa"/>
            <w:vAlign w:val="center"/>
          </w:tcPr>
          <w:p w14:paraId="59E72959">
            <w:pPr>
              <w:widowControl/>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不得有杂质、明显夹渣及大量氧化物。</w:t>
            </w:r>
          </w:p>
          <w:p w14:paraId="0D17DC18">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65" w:type="dxa"/>
            <w:vAlign w:val="center"/>
          </w:tcPr>
          <w:p w14:paraId="4EA510BE">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10" w:type="dxa"/>
            <w:vAlign w:val="center"/>
          </w:tcPr>
          <w:p w14:paraId="43BFC0C0">
            <w:pPr>
              <w:widowControl/>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含有杂质、明显夹渣、大量氧化物。</w:t>
            </w:r>
          </w:p>
          <w:p w14:paraId="497E2869">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589" w:type="dxa"/>
            <w:vAlign w:val="center"/>
          </w:tcPr>
          <w:p w14:paraId="4AE12E8B">
            <w:pPr>
              <w:widowControl/>
              <w:jc w:val="left"/>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2265" w:type="dxa"/>
            <w:vAlign w:val="center"/>
          </w:tcPr>
          <w:p w14:paraId="66CE4ACB">
            <w:pPr>
              <w:widowControl/>
              <w:jc w:val="left"/>
              <w:textAlignment w:val="center"/>
              <w:rPr>
                <w:rFonts w:hint="eastAsia" w:ascii="宋体" w:hAnsi="宋体" w:eastAsia="宋体" w:cs="宋体"/>
                <w:b w:val="0"/>
                <w:bCs w:val="0"/>
                <w:color w:val="auto"/>
                <w:kern w:val="10"/>
                <w:sz w:val="21"/>
                <w:szCs w:val="21"/>
                <w:highlight w:val="none"/>
                <w:vertAlign w:val="baseline"/>
                <w:lang w:val="en-US" w:eastAsia="zh-CN"/>
              </w:rPr>
            </w:pPr>
          </w:p>
        </w:tc>
      </w:tr>
    </w:tbl>
    <w:p w14:paraId="2D426DCF">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23" w:name="_Toc6168"/>
      <w:r>
        <w:rPr>
          <w:rFonts w:hint="eastAsia" w:ascii="宋体" w:hAnsi="宋体" w:cs="Times New Roman"/>
          <w:b/>
          <w:color w:val="auto"/>
          <w:kern w:val="10"/>
          <w:sz w:val="24"/>
          <w:highlight w:val="none"/>
          <w:lang w:val="en-US" w:eastAsia="zh-CN"/>
        </w:rPr>
        <w:t>2</w:t>
      </w:r>
      <w:r>
        <w:rPr>
          <w:rFonts w:hint="eastAsia" w:ascii="宋体" w:hAnsi="宋体" w:eastAsia="宋体" w:cs="Times New Roman"/>
          <w:b/>
          <w:color w:val="auto"/>
          <w:kern w:val="10"/>
          <w:sz w:val="24"/>
          <w:highlight w:val="none"/>
          <w:lang w:val="en-US" w:eastAsia="zh-CN"/>
        </w:rPr>
        <w:t>.</w:t>
      </w:r>
      <w:r>
        <w:rPr>
          <w:rFonts w:hint="eastAsia" w:ascii="宋体" w:hAnsi="宋体" w:cs="Times New Roman"/>
          <w:b/>
          <w:color w:val="auto"/>
          <w:kern w:val="10"/>
          <w:sz w:val="24"/>
          <w:highlight w:val="none"/>
          <w:lang w:val="en-US" w:eastAsia="zh-CN"/>
        </w:rPr>
        <w:t>7</w:t>
      </w:r>
      <w:r>
        <w:rPr>
          <w:rFonts w:hint="eastAsia" w:ascii="宋体" w:hAnsi="宋体" w:eastAsia="宋体" w:cs="Times New Roman"/>
          <w:b/>
          <w:color w:val="auto"/>
          <w:kern w:val="10"/>
          <w:sz w:val="24"/>
          <w:highlight w:val="none"/>
          <w:lang w:val="en-US" w:eastAsia="zh-CN"/>
        </w:rPr>
        <w:t xml:space="preserve"> 封存试样的保存期限</w:t>
      </w:r>
      <w:bookmarkEnd w:id="23"/>
    </w:p>
    <w:p w14:paraId="119524E4">
      <w:pPr>
        <w:spacing w:before="156" w:beforeLines="50" w:after="156" w:afterLines="50" w:line="360" w:lineRule="auto"/>
        <w:ind w:firstLine="480" w:firstLineChars="200"/>
        <w:jc w:val="both"/>
        <w:outlineLvl w:val="9"/>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阳极浇铸用锰铁封存试样保存期限为6个月。</w:t>
      </w:r>
    </w:p>
    <w:p w14:paraId="29AB5CA8"/>
    <w:p w14:paraId="2904386F"/>
    <w:p w14:paraId="4B3C7923"/>
    <w:p w14:paraId="630122E1"/>
    <w:p w14:paraId="20ED1280"/>
    <w:p w14:paraId="1318A23B"/>
    <w:p w14:paraId="20613AD4"/>
    <w:p w14:paraId="00554157"/>
    <w:p w14:paraId="27B450DE"/>
    <w:p w14:paraId="41753470">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bookmarkStart w:id="24" w:name="_Toc25669"/>
      <w:r>
        <w:rPr>
          <w:rFonts w:hint="eastAsia" w:ascii="宋体" w:hAnsi="宋体" w:cs="Times New Roman"/>
          <w:b/>
          <w:kern w:val="10"/>
          <w:sz w:val="32"/>
          <w:szCs w:val="32"/>
          <w:lang w:val="en-US" w:eastAsia="zh-CN"/>
        </w:rPr>
        <w:t>3</w:t>
      </w:r>
      <w:r>
        <w:rPr>
          <w:rFonts w:hint="eastAsia" w:ascii="宋体" w:hAnsi="宋体" w:eastAsia="宋体" w:cs="Times New Roman"/>
          <w:b/>
          <w:kern w:val="10"/>
          <w:sz w:val="32"/>
          <w:szCs w:val="32"/>
          <w:lang w:val="en-US" w:eastAsia="zh-CN"/>
        </w:rPr>
        <w:t xml:space="preserve"> 阳极浇铸用硅铁</w:t>
      </w:r>
      <w:bookmarkEnd w:id="24"/>
    </w:p>
    <w:p w14:paraId="20ECC4D6">
      <w:pPr>
        <w:spacing w:before="156" w:beforeLines="50" w:after="156" w:afterLines="50" w:line="360" w:lineRule="auto"/>
        <w:outlineLvl w:val="1"/>
        <w:rPr>
          <w:rFonts w:hint="eastAsia" w:ascii="宋体" w:hAnsi="宋体" w:eastAsia="宋体" w:cs="Times New Roman"/>
          <w:b/>
          <w:kern w:val="10"/>
          <w:sz w:val="24"/>
          <w:lang w:val="en-US" w:eastAsia="zh-CN"/>
        </w:rPr>
      </w:pPr>
      <w:bookmarkStart w:id="25" w:name="_Toc20264"/>
      <w:bookmarkStart w:id="26" w:name="_Toc15501"/>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.1 范围</w:t>
      </w:r>
      <w:bookmarkEnd w:id="25"/>
      <w:bookmarkEnd w:id="26"/>
    </w:p>
    <w:p w14:paraId="4293A61E">
      <w:pPr>
        <w:spacing w:line="360" w:lineRule="auto"/>
        <w:ind w:firstLine="480" w:firstLineChars="200"/>
        <w:rPr>
          <w:rFonts w:hint="eastAsia" w:ascii="宋体" w:hAnsi="宋体" w:eastAsia="宋体" w:cs="Times New Roman"/>
        </w:rPr>
      </w:pPr>
      <w:r>
        <w:rPr>
          <w:rFonts w:hint="eastAsia" w:ascii="宋体" w:hAnsi="宋体" w:eastAsia="宋体" w:cs="Times New Roman"/>
          <w:kern w:val="10"/>
          <w:sz w:val="24"/>
          <w:lang w:val="en-US" w:eastAsia="zh-CN"/>
        </w:rPr>
        <w:t>本细则根据企业标准及依据GB/T</w:t>
      </w:r>
      <w:r>
        <w:rPr>
          <w:rFonts w:hint="eastAsia" w:ascii="宋体" w:hAnsi="宋体" w:cs="Times New Roman"/>
          <w:kern w:val="10"/>
          <w:sz w:val="24"/>
          <w:lang w:val="en-US" w:eastAsia="zh-CN"/>
        </w:rPr>
        <w:t xml:space="preserve"> </w:t>
      </w:r>
      <w:r>
        <w:rPr>
          <w:rFonts w:hint="eastAsia" w:ascii="宋体" w:hAnsi="宋体" w:eastAsia="宋体" w:cs="Times New Roman"/>
          <w:kern w:val="10"/>
          <w:sz w:val="24"/>
          <w:lang w:val="en-US" w:eastAsia="zh-CN"/>
        </w:rPr>
        <w:t>2272—</w:t>
      </w:r>
      <w:r>
        <w:rPr>
          <w:rFonts w:hint="eastAsia" w:ascii="宋体" w:hAnsi="宋体" w:cs="Times New Roman"/>
          <w:kern w:val="10"/>
          <w:sz w:val="24"/>
          <w:lang w:val="en-US" w:eastAsia="zh-CN"/>
        </w:rPr>
        <w:t>2020</w:t>
      </w:r>
      <w:r>
        <w:rPr>
          <w:rFonts w:hint="eastAsia" w:ascii="宋体" w:hAnsi="宋体" w:eastAsia="宋体" w:cs="Times New Roman"/>
          <w:kern w:val="10"/>
          <w:sz w:val="24"/>
          <w:lang w:val="en-US" w:eastAsia="zh-CN"/>
        </w:rPr>
        <w:t>《硅铁》标准，结合电解铝业务部实际生产运行情况编制，规定了阳极浇铸用硅铁的外观质量，化学成分、物理状态、检验频次及取样方法、质量细则等要求。适用于电解铝业务部下属各铝厂采购阳极浇铸用硅铁的质量检验及质量验证。</w:t>
      </w:r>
    </w:p>
    <w:p w14:paraId="0E290F85">
      <w:pPr>
        <w:spacing w:before="156" w:beforeLines="50" w:after="156" w:afterLines="50" w:line="360" w:lineRule="auto"/>
        <w:outlineLvl w:val="1"/>
        <w:rPr>
          <w:rFonts w:hint="eastAsia" w:ascii="宋体" w:hAnsi="宋体" w:eastAsia="宋体" w:cs="Times New Roman"/>
          <w:b/>
          <w:kern w:val="10"/>
          <w:sz w:val="24"/>
          <w:lang w:val="en-US" w:eastAsia="zh-CN"/>
        </w:rPr>
      </w:pPr>
      <w:bookmarkStart w:id="27" w:name="_Toc8967"/>
      <w:bookmarkStart w:id="28" w:name="_Toc10775"/>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lang w:val="en-US" w:eastAsia="zh-CN"/>
        </w:rPr>
        <w:t>外观质量</w:t>
      </w:r>
      <w:bookmarkEnd w:id="27"/>
      <w:bookmarkEnd w:id="28"/>
    </w:p>
    <w:p w14:paraId="46AAE334">
      <w:pPr>
        <w:spacing w:line="360" w:lineRule="auto"/>
        <w:ind w:firstLine="480" w:firstLineChars="200"/>
        <w:rPr>
          <w:rFonts w:hint="eastAsia"/>
          <w:kern w:val="10"/>
          <w:sz w:val="24"/>
        </w:rPr>
      </w:pPr>
      <w:r>
        <w:rPr>
          <w:rFonts w:hint="eastAsia"/>
          <w:kern w:val="10"/>
          <w:sz w:val="24"/>
        </w:rPr>
        <w:t>硅铁从外观看，其断面颜色亮，材质分布均匀，不应有其他杂质。用锤敲应有一定的强度。</w:t>
      </w:r>
    </w:p>
    <w:p w14:paraId="170C7C09">
      <w:pPr>
        <w:spacing w:before="156" w:beforeLines="50" w:after="156" w:afterLines="50" w:line="360" w:lineRule="auto"/>
        <w:outlineLvl w:val="1"/>
        <w:rPr>
          <w:rFonts w:hint="eastAsia" w:ascii="宋体" w:hAnsi="宋体" w:eastAsia="宋体" w:cs="Times New Roman"/>
          <w:b/>
          <w:kern w:val="10"/>
          <w:sz w:val="24"/>
          <w:lang w:val="en-US" w:eastAsia="zh-CN"/>
        </w:rPr>
      </w:pPr>
      <w:bookmarkStart w:id="29" w:name="_Toc13639"/>
      <w:bookmarkStart w:id="30" w:name="_Toc2358"/>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.3 化学成分</w:t>
      </w:r>
      <w:bookmarkEnd w:id="29"/>
      <w:bookmarkEnd w:id="30"/>
    </w:p>
    <w:p w14:paraId="14531004">
      <w:pPr>
        <w:spacing w:line="360" w:lineRule="auto"/>
        <w:ind w:firstLine="480" w:firstLineChars="200"/>
        <w:rPr>
          <w:rFonts w:hint="eastAsia"/>
          <w:kern w:val="10"/>
          <w:sz w:val="24"/>
        </w:rPr>
      </w:pPr>
      <w:r>
        <w:rPr>
          <w:rFonts w:hint="eastAsia"/>
          <w:kern w:val="10"/>
          <w:sz w:val="24"/>
        </w:rPr>
        <w:t>硅铁的化学成分应符合下表规定。</w:t>
      </w:r>
    </w:p>
    <w:tbl>
      <w:tblPr>
        <w:tblStyle w:val="3"/>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5172"/>
      </w:tblGrid>
      <w:tr w14:paraId="3FC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960" w:type="dxa"/>
            <w:gridSpan w:val="2"/>
            <w:vAlign w:val="center"/>
          </w:tcPr>
          <w:p w14:paraId="359F24B0">
            <w:pPr>
              <w:spacing w:line="360" w:lineRule="auto"/>
              <w:jc w:val="center"/>
              <w:rPr>
                <w:rFonts w:hint="eastAsia" w:ascii="宋体" w:hAnsi="宋体" w:eastAsia="宋体" w:cs="宋体"/>
                <w:color w:val="auto"/>
                <w:kern w:val="10"/>
                <w:sz w:val="24"/>
              </w:rPr>
            </w:pPr>
            <w:r>
              <w:rPr>
                <w:rFonts w:hint="eastAsia" w:ascii="宋体" w:hAnsi="宋体" w:eastAsia="宋体" w:cs="宋体"/>
                <w:b/>
                <w:bCs/>
                <w:color w:val="auto"/>
                <w:kern w:val="10"/>
                <w:sz w:val="24"/>
              </w:rPr>
              <w:t>化学成分，%</w:t>
            </w:r>
          </w:p>
        </w:tc>
      </w:tr>
      <w:tr w14:paraId="3EBA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88" w:type="dxa"/>
            <w:vAlign w:val="top"/>
          </w:tcPr>
          <w:p w14:paraId="72952A68">
            <w:pPr>
              <w:spacing w:line="360" w:lineRule="auto"/>
              <w:jc w:val="center"/>
              <w:rPr>
                <w:rFonts w:hint="eastAsia" w:ascii="宋体" w:hAnsi="宋体" w:eastAsia="宋体" w:cs="宋体"/>
                <w:color w:val="auto"/>
                <w:kern w:val="10"/>
                <w:sz w:val="24"/>
                <w:lang w:val="en-US" w:eastAsia="zh-CN"/>
              </w:rPr>
            </w:pPr>
            <w:r>
              <w:rPr>
                <w:rFonts w:hint="eastAsia" w:ascii="宋体" w:hAnsi="宋体" w:eastAsia="宋体" w:cs="宋体"/>
                <w:color w:val="auto"/>
                <w:kern w:val="10"/>
                <w:sz w:val="24"/>
              </w:rPr>
              <w:t>Si</w:t>
            </w:r>
          </w:p>
        </w:tc>
        <w:tc>
          <w:tcPr>
            <w:tcW w:w="5172" w:type="dxa"/>
            <w:vAlign w:val="top"/>
          </w:tcPr>
          <w:p w14:paraId="671E7CC3">
            <w:pPr>
              <w:spacing w:line="360" w:lineRule="auto"/>
              <w:jc w:val="center"/>
              <w:rPr>
                <w:rFonts w:hint="default" w:ascii="宋体" w:hAnsi="宋体" w:eastAsia="宋体" w:cs="宋体"/>
                <w:color w:val="auto"/>
                <w:kern w:val="10"/>
                <w:sz w:val="24"/>
                <w:lang w:val="en-US" w:eastAsia="zh-CN"/>
              </w:rPr>
            </w:pPr>
            <w:r>
              <w:rPr>
                <w:rFonts w:hint="eastAsia" w:ascii="宋体" w:hAnsi="宋体" w:cs="宋体"/>
                <w:color w:val="auto"/>
                <w:kern w:val="10"/>
                <w:sz w:val="24"/>
                <w:lang w:val="en-US" w:eastAsia="zh-CN"/>
              </w:rPr>
              <w:t>≥</w:t>
            </w:r>
            <w:r>
              <w:rPr>
                <w:rFonts w:hint="eastAsia" w:ascii="宋体" w:hAnsi="宋体" w:eastAsia="宋体" w:cs="宋体"/>
                <w:color w:val="auto"/>
                <w:kern w:val="10"/>
                <w:sz w:val="24"/>
                <w:lang w:val="en-US" w:eastAsia="zh-CN"/>
              </w:rPr>
              <w:t>75.0</w:t>
            </w:r>
          </w:p>
        </w:tc>
      </w:tr>
      <w:tr w14:paraId="6A2B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0" w:type="dxa"/>
            <w:gridSpan w:val="2"/>
            <w:vAlign w:val="top"/>
          </w:tcPr>
          <w:p w14:paraId="219B4EC7">
            <w:pPr>
              <w:rPr>
                <w:rFonts w:hint="eastAsia" w:ascii="宋体" w:hAnsi="宋体" w:eastAsia="宋体" w:cs="宋体"/>
                <w:color w:val="auto"/>
                <w:kern w:val="10"/>
                <w:szCs w:val="18"/>
              </w:rPr>
            </w:pPr>
            <w:r>
              <w:rPr>
                <w:rFonts w:hint="eastAsia" w:ascii="宋体" w:hAnsi="宋体" w:eastAsia="宋体" w:cs="宋体"/>
                <w:color w:val="auto"/>
                <w:kern w:val="10"/>
                <w:szCs w:val="18"/>
              </w:rPr>
              <w:t>备注：1、对表中硅元素含量的规定：依据GB/2272-</w:t>
            </w:r>
            <w:r>
              <w:rPr>
                <w:rFonts w:hint="eastAsia" w:ascii="宋体" w:hAnsi="宋体" w:cs="宋体"/>
                <w:color w:val="auto"/>
                <w:kern w:val="10"/>
                <w:szCs w:val="18"/>
                <w:lang w:val="en-US" w:eastAsia="zh-CN"/>
              </w:rPr>
              <w:t>2020</w:t>
            </w:r>
            <w:r>
              <w:rPr>
                <w:rFonts w:hint="eastAsia" w:ascii="宋体" w:hAnsi="宋体" w:eastAsia="宋体" w:cs="宋体"/>
                <w:color w:val="auto"/>
                <w:kern w:val="10"/>
                <w:szCs w:val="18"/>
              </w:rPr>
              <w:t>中内容并结合生产需求规定此标准。</w:t>
            </w:r>
          </w:p>
          <w:p w14:paraId="6A9E3320">
            <w:pPr>
              <w:ind w:firstLine="630" w:firstLineChars="300"/>
              <w:rPr>
                <w:rFonts w:hint="eastAsia" w:ascii="宋体" w:hAnsi="宋体" w:eastAsia="宋体" w:cs="宋体"/>
                <w:color w:val="auto"/>
                <w:kern w:val="10"/>
                <w:szCs w:val="18"/>
              </w:rPr>
            </w:pPr>
            <w:r>
              <w:rPr>
                <w:rFonts w:hint="eastAsia" w:ascii="宋体" w:hAnsi="宋体" w:eastAsia="宋体" w:cs="宋体"/>
                <w:color w:val="auto"/>
                <w:kern w:val="10"/>
                <w:szCs w:val="18"/>
              </w:rPr>
              <w:t>2、对GB/2272-2009化学成分表中规定的其他元素，如果需方有要求，供方应提供检测数据。</w:t>
            </w:r>
          </w:p>
          <w:p w14:paraId="1FE5094C">
            <w:pPr>
              <w:ind w:firstLine="630" w:firstLineChars="300"/>
              <w:rPr>
                <w:rFonts w:hint="eastAsia" w:ascii="宋体" w:hAnsi="宋体" w:eastAsia="宋体" w:cs="宋体"/>
                <w:color w:val="auto"/>
                <w:kern w:val="10"/>
                <w:szCs w:val="18"/>
              </w:rPr>
            </w:pPr>
            <w:r>
              <w:rPr>
                <w:rFonts w:hint="eastAsia" w:ascii="宋体" w:hAnsi="宋体" w:eastAsia="宋体" w:cs="宋体"/>
                <w:color w:val="auto"/>
                <w:kern w:val="10"/>
                <w:szCs w:val="18"/>
              </w:rPr>
              <w:t>3、数值修约比较按GB/T</w:t>
            </w:r>
            <w:r>
              <w:rPr>
                <w:rFonts w:hint="eastAsia" w:ascii="宋体" w:hAnsi="宋体" w:eastAsia="宋体" w:cs="宋体"/>
                <w:color w:val="auto"/>
                <w:kern w:val="10"/>
                <w:szCs w:val="18"/>
                <w:lang w:val="en-US" w:eastAsia="zh-CN"/>
              </w:rPr>
              <w:t xml:space="preserve"> 8170有关</w:t>
            </w:r>
            <w:r>
              <w:rPr>
                <w:rFonts w:hint="eastAsia" w:ascii="宋体" w:hAnsi="宋体" w:eastAsia="宋体" w:cs="宋体"/>
                <w:color w:val="auto"/>
                <w:kern w:val="10"/>
                <w:szCs w:val="18"/>
              </w:rPr>
              <w:t>规定进行，修约数位与表中所列极限数位一致。</w:t>
            </w:r>
          </w:p>
        </w:tc>
      </w:tr>
    </w:tbl>
    <w:p w14:paraId="1A9E06AE">
      <w:pPr>
        <w:spacing w:before="156" w:beforeLines="50" w:after="156" w:afterLines="50" w:line="360" w:lineRule="auto"/>
        <w:outlineLvl w:val="1"/>
        <w:rPr>
          <w:rFonts w:hint="eastAsia" w:ascii="宋体" w:hAnsi="宋体" w:eastAsia="宋体" w:cs="Times New Roman"/>
          <w:b/>
          <w:color w:val="000000" w:themeColor="text1"/>
          <w:kern w:val="10"/>
          <w:sz w:val="24"/>
          <w:lang w:val="en-US" w:eastAsia="zh-CN"/>
          <w14:textFill>
            <w14:solidFill>
              <w14:schemeClr w14:val="tx1"/>
            </w14:solidFill>
          </w14:textFill>
        </w:rPr>
      </w:pPr>
      <w:bookmarkStart w:id="31" w:name="_Toc2165"/>
      <w:bookmarkStart w:id="32" w:name="_Toc13183"/>
      <w:r>
        <w:rPr>
          <w:rFonts w:hint="eastAsia" w:ascii="宋体" w:hAnsi="宋体" w:cs="Times New Roman"/>
          <w:b/>
          <w:color w:val="000000" w:themeColor="text1"/>
          <w:kern w:val="10"/>
          <w:sz w:val="24"/>
          <w:lang w:val="en-US" w:eastAsia="zh-CN"/>
          <w14:textFill>
            <w14:solidFill>
              <w14:schemeClr w14:val="tx1"/>
            </w14:solidFill>
          </w14:textFill>
        </w:rPr>
        <w:t>3</w:t>
      </w:r>
      <w:r>
        <w:rPr>
          <w:rFonts w:hint="eastAsia" w:ascii="宋体" w:hAnsi="宋体" w:eastAsia="宋体" w:cs="Times New Roman"/>
          <w:b/>
          <w:color w:val="000000" w:themeColor="text1"/>
          <w:kern w:val="10"/>
          <w:sz w:val="24"/>
          <w:lang w:val="en-US" w:eastAsia="zh-CN"/>
          <w14:textFill>
            <w14:solidFill>
              <w14:schemeClr w14:val="tx1"/>
            </w14:solidFill>
          </w14:textFill>
        </w:rPr>
        <w:t>.4 物理状态</w:t>
      </w:r>
      <w:bookmarkEnd w:id="31"/>
      <w:bookmarkEnd w:id="32"/>
    </w:p>
    <w:p w14:paraId="3C336E15">
      <w:pPr>
        <w:spacing w:line="360" w:lineRule="auto"/>
        <w:ind w:firstLine="480" w:firstLineChars="200"/>
        <w:rPr>
          <w:rFonts w:hint="eastAsia"/>
          <w:kern w:val="10"/>
          <w:sz w:val="24"/>
        </w:rPr>
      </w:pPr>
      <w:r>
        <w:rPr>
          <w:rFonts w:hint="eastAsia"/>
          <w:sz w:val="24"/>
        </w:rPr>
        <w:t>硅铁以块状或粒状供货，硅铁供货粒度应符合下表规定。</w:t>
      </w:r>
    </w:p>
    <w:tbl>
      <w:tblPr>
        <w:tblStyle w:val="3"/>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060"/>
        <w:gridCol w:w="5310"/>
      </w:tblGrid>
      <w:tr w14:paraId="7AB3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88" w:type="dxa"/>
            <w:vAlign w:val="top"/>
          </w:tcPr>
          <w:p w14:paraId="5D61A48D">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级别</w:t>
            </w:r>
          </w:p>
        </w:tc>
        <w:tc>
          <w:tcPr>
            <w:tcW w:w="3060" w:type="dxa"/>
            <w:vAlign w:val="top"/>
          </w:tcPr>
          <w:p w14:paraId="6500B31F">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规格/mm</w:t>
            </w:r>
          </w:p>
        </w:tc>
        <w:tc>
          <w:tcPr>
            <w:tcW w:w="5310" w:type="dxa"/>
            <w:vAlign w:val="top"/>
          </w:tcPr>
          <w:p w14:paraId="72C0BC0B">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筛上物和筛下物之和（质量分数）/%</w:t>
            </w:r>
          </w:p>
        </w:tc>
      </w:tr>
      <w:tr w14:paraId="11A1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Align w:val="top"/>
          </w:tcPr>
          <w:p w14:paraId="0E5203F6">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自然块状</w:t>
            </w:r>
          </w:p>
        </w:tc>
        <w:tc>
          <w:tcPr>
            <w:tcW w:w="3060" w:type="dxa"/>
            <w:vAlign w:val="top"/>
          </w:tcPr>
          <w:p w14:paraId="7E109C07">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未经人工破碎</w:t>
            </w:r>
          </w:p>
        </w:tc>
        <w:tc>
          <w:tcPr>
            <w:tcW w:w="5310" w:type="dxa"/>
            <w:vAlign w:val="top"/>
          </w:tcPr>
          <w:p w14:paraId="78FC3A14">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小于20mm×20mm的重量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8</w:t>
            </w:r>
          </w:p>
        </w:tc>
      </w:tr>
      <w:tr w14:paraId="6AB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088" w:type="dxa"/>
            <w:vAlign w:val="top"/>
          </w:tcPr>
          <w:p w14:paraId="6A5198D0">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大粒度</w:t>
            </w:r>
          </w:p>
        </w:tc>
        <w:tc>
          <w:tcPr>
            <w:tcW w:w="3060" w:type="dxa"/>
            <w:vAlign w:val="top"/>
          </w:tcPr>
          <w:p w14:paraId="31FAD400">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50～350</w:t>
            </w:r>
          </w:p>
        </w:tc>
        <w:tc>
          <w:tcPr>
            <w:tcW w:w="5310" w:type="dxa"/>
            <w:vAlign w:val="top"/>
          </w:tcPr>
          <w:p w14:paraId="6E3760A3">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p>
        </w:tc>
      </w:tr>
      <w:tr w14:paraId="0520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88" w:type="dxa"/>
            <w:vAlign w:val="top"/>
          </w:tcPr>
          <w:p w14:paraId="0A20B431">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中粒度</w:t>
            </w:r>
          </w:p>
        </w:tc>
        <w:tc>
          <w:tcPr>
            <w:tcW w:w="3060" w:type="dxa"/>
            <w:vAlign w:val="top"/>
          </w:tcPr>
          <w:p w14:paraId="2C232C09">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20～200</w:t>
            </w:r>
          </w:p>
        </w:tc>
        <w:tc>
          <w:tcPr>
            <w:tcW w:w="5310" w:type="dxa"/>
            <w:vAlign w:val="top"/>
          </w:tcPr>
          <w:p w14:paraId="4B986376">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p>
        </w:tc>
      </w:tr>
      <w:tr w14:paraId="0564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88" w:type="dxa"/>
            <w:vAlign w:val="top"/>
          </w:tcPr>
          <w:p w14:paraId="4BB9FF0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小粒度</w:t>
            </w:r>
          </w:p>
        </w:tc>
        <w:tc>
          <w:tcPr>
            <w:tcW w:w="3060" w:type="dxa"/>
            <w:vAlign w:val="top"/>
          </w:tcPr>
          <w:p w14:paraId="3EBF472D">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10～100</w:t>
            </w:r>
          </w:p>
        </w:tc>
        <w:tc>
          <w:tcPr>
            <w:tcW w:w="5310" w:type="dxa"/>
            <w:vAlign w:val="top"/>
          </w:tcPr>
          <w:p w14:paraId="47904069">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p>
        </w:tc>
      </w:tr>
      <w:tr w14:paraId="5658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88" w:type="dxa"/>
            <w:vAlign w:val="top"/>
          </w:tcPr>
          <w:p w14:paraId="4F9B049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最小粒度</w:t>
            </w:r>
          </w:p>
        </w:tc>
        <w:tc>
          <w:tcPr>
            <w:tcW w:w="3060" w:type="dxa"/>
            <w:vAlign w:val="top"/>
          </w:tcPr>
          <w:p w14:paraId="5E9C0B95">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5～50</w:t>
            </w:r>
          </w:p>
        </w:tc>
        <w:tc>
          <w:tcPr>
            <w:tcW w:w="5310" w:type="dxa"/>
            <w:vAlign w:val="top"/>
          </w:tcPr>
          <w:p w14:paraId="11233829">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p>
        </w:tc>
      </w:tr>
      <w:tr w14:paraId="02D4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458" w:type="dxa"/>
            <w:gridSpan w:val="3"/>
            <w:vAlign w:val="top"/>
          </w:tcPr>
          <w:p w14:paraId="4939C899">
            <w:pPr>
              <w:rPr>
                <w:rFonts w:hint="eastAsia" w:ascii="宋体" w:hAnsi="宋体" w:eastAsia="宋体" w:cs="宋体"/>
                <w:b w:val="0"/>
                <w:bCs w:val="0"/>
                <w:sz w:val="24"/>
                <w:szCs w:val="24"/>
              </w:rPr>
            </w:pPr>
            <w:r>
              <w:rPr>
                <w:rFonts w:hint="eastAsia" w:ascii="宋体" w:hAnsi="宋体" w:eastAsia="宋体" w:cs="宋体"/>
                <w:b w:val="0"/>
                <w:bCs w:val="0"/>
                <w:sz w:val="24"/>
                <w:szCs w:val="24"/>
              </w:rPr>
              <w:t>备注：1、需方对粒度有特殊需要，可由供需双方另行商定，并在合同中注明。</w:t>
            </w:r>
          </w:p>
          <w:p w14:paraId="7709065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2、物理状态</w:t>
            </w:r>
            <w:r>
              <w:rPr>
                <w:rFonts w:hint="eastAsia" w:ascii="宋体" w:hAnsi="宋体" w:cs="宋体"/>
                <w:b w:val="0"/>
                <w:bCs w:val="0"/>
                <w:sz w:val="24"/>
                <w:szCs w:val="24"/>
                <w:lang w:val="en-US" w:eastAsia="zh-CN"/>
              </w:rPr>
              <w:t>因我</w:t>
            </w:r>
            <w:r>
              <w:rPr>
                <w:rFonts w:hint="eastAsia" w:ascii="宋体" w:hAnsi="宋体" w:eastAsia="宋体" w:cs="宋体"/>
                <w:b w:val="0"/>
                <w:bCs w:val="0"/>
                <w:sz w:val="24"/>
                <w:szCs w:val="24"/>
                <w:lang w:eastAsia="zh-CN"/>
              </w:rPr>
              <w:t>公司暂未配备检测设备</w:t>
            </w:r>
            <w:r>
              <w:rPr>
                <w:rFonts w:hint="eastAsia" w:ascii="宋体" w:hAnsi="宋体" w:eastAsia="宋体" w:cs="宋体"/>
                <w:b w:val="0"/>
                <w:bCs w:val="0"/>
                <w:sz w:val="24"/>
                <w:szCs w:val="24"/>
                <w:lang w:val="en-US" w:eastAsia="zh-CN"/>
              </w:rPr>
              <w:t>不作常规检测，</w:t>
            </w:r>
            <w:r>
              <w:rPr>
                <w:rFonts w:hint="eastAsia" w:ascii="宋体" w:hAnsi="宋体" w:eastAsia="宋体" w:cs="宋体"/>
                <w:b w:val="0"/>
                <w:bCs w:val="0"/>
                <w:sz w:val="24"/>
                <w:szCs w:val="24"/>
                <w:lang w:eastAsia="zh-CN"/>
              </w:rPr>
              <w:t>根据生产运行情况，不定时抽样外检，具体抽样时间以具体通知为准。</w:t>
            </w:r>
          </w:p>
        </w:tc>
      </w:tr>
    </w:tbl>
    <w:p w14:paraId="479FA82D">
      <w:pPr>
        <w:spacing w:before="156" w:beforeLines="50" w:after="156" w:afterLines="50" w:line="360" w:lineRule="auto"/>
        <w:outlineLvl w:val="1"/>
        <w:rPr>
          <w:rFonts w:hint="eastAsia" w:ascii="宋体" w:hAnsi="宋体" w:eastAsia="宋体" w:cs="Times New Roman"/>
          <w:b/>
          <w:kern w:val="10"/>
          <w:sz w:val="24"/>
          <w:lang w:val="en-US" w:eastAsia="zh-CN"/>
        </w:rPr>
      </w:pPr>
      <w:bookmarkStart w:id="33" w:name="_Toc18412"/>
      <w:bookmarkStart w:id="34" w:name="_Toc12228"/>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.5</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lang w:val="en-US" w:eastAsia="zh-CN"/>
        </w:rPr>
        <w:t>检验频次及取样方法</w:t>
      </w:r>
      <w:bookmarkEnd w:id="33"/>
      <w:bookmarkEnd w:id="34"/>
    </w:p>
    <w:p w14:paraId="44D64B63">
      <w:pPr>
        <w:spacing w:line="360" w:lineRule="auto"/>
        <w:rPr>
          <w:rFonts w:hint="eastAsia"/>
          <w:sz w:val="24"/>
          <w:lang w:eastAsia="zh-CN"/>
        </w:rPr>
      </w:pPr>
      <w:r>
        <w:rPr>
          <w:rFonts w:hint="eastAsia" w:ascii="宋体" w:hAnsi="宋体" w:cs="Times New Roman"/>
          <w:b w:val="0"/>
          <w:bCs/>
          <w:kern w:val="10"/>
          <w:sz w:val="24"/>
          <w:lang w:val="en-US" w:eastAsia="zh-CN"/>
        </w:rPr>
        <w:t>3</w:t>
      </w:r>
      <w:r>
        <w:rPr>
          <w:rFonts w:hint="eastAsia" w:ascii="宋体" w:hAnsi="宋体" w:eastAsia="宋体" w:cs="Times New Roman"/>
          <w:b w:val="0"/>
          <w:bCs/>
          <w:kern w:val="10"/>
          <w:sz w:val="24"/>
          <w:lang w:val="en-US" w:eastAsia="zh-CN"/>
        </w:rPr>
        <w:t>.5.1</w:t>
      </w:r>
      <w:r>
        <w:rPr>
          <w:rFonts w:hint="eastAsia"/>
          <w:sz w:val="24"/>
        </w:rPr>
        <w:t>同一供方按每车次组批抽检一次。根据</w:t>
      </w:r>
      <w:r>
        <w:rPr>
          <w:rFonts w:hint="eastAsia"/>
          <w:sz w:val="24"/>
          <w:lang w:val="en-US" w:eastAsia="zh-CN"/>
        </w:rPr>
        <w:t>来料及</w:t>
      </w:r>
      <w:r>
        <w:rPr>
          <w:rFonts w:hint="eastAsia"/>
          <w:sz w:val="24"/>
        </w:rPr>
        <w:t>包装情况随机抽取</w:t>
      </w:r>
      <w:r>
        <w:rPr>
          <w:rFonts w:hint="eastAsia"/>
          <w:sz w:val="24"/>
          <w:lang w:val="en-US" w:eastAsia="zh-CN"/>
        </w:rPr>
        <w:t>2</w:t>
      </w:r>
      <w:r>
        <w:rPr>
          <w:rFonts w:hint="eastAsia"/>
          <w:sz w:val="24"/>
        </w:rPr>
        <w:t>块或</w:t>
      </w:r>
      <w:r>
        <w:rPr>
          <w:rFonts w:hint="eastAsia"/>
          <w:sz w:val="24"/>
          <w:lang w:val="en-US" w:eastAsia="zh-CN"/>
        </w:rPr>
        <w:t>随机对</w:t>
      </w:r>
      <w:r>
        <w:rPr>
          <w:rFonts w:hint="eastAsia"/>
          <w:sz w:val="24"/>
        </w:rPr>
        <w:t>5袋进行取样，将取得的样品混合均匀、研磨，代表一份试样进行检测</w:t>
      </w:r>
      <w:r>
        <w:rPr>
          <w:rFonts w:hint="eastAsia"/>
          <w:sz w:val="24"/>
          <w:lang w:eastAsia="zh-CN"/>
        </w:rPr>
        <w:t>，采用光谱方法分析时，每批随机抽取2个样品，分别切割平分为2块试样，实行“一检一封”原则，最终结果取2个样品的平均值。外观质量同步进行。</w:t>
      </w:r>
    </w:p>
    <w:p w14:paraId="701C847E">
      <w:pPr>
        <w:spacing w:line="360" w:lineRule="auto"/>
        <w:rPr>
          <w:rFonts w:hint="eastAsia"/>
          <w:sz w:val="24"/>
        </w:rPr>
      </w:pPr>
      <w:r>
        <w:rPr>
          <w:rFonts w:hint="eastAsia" w:ascii="宋体" w:hAnsi="宋体" w:cs="Times New Roman"/>
          <w:b w:val="0"/>
          <w:bCs/>
          <w:kern w:val="10"/>
          <w:sz w:val="24"/>
          <w:lang w:val="en-US" w:eastAsia="zh-CN"/>
        </w:rPr>
        <w:t>3</w:t>
      </w:r>
      <w:r>
        <w:rPr>
          <w:rFonts w:hint="eastAsia" w:ascii="宋体" w:hAnsi="宋体" w:eastAsia="宋体" w:cs="Times New Roman"/>
          <w:b w:val="0"/>
          <w:bCs/>
          <w:kern w:val="10"/>
          <w:sz w:val="24"/>
          <w:lang w:val="en-US" w:eastAsia="zh-CN"/>
        </w:rPr>
        <w:t>.5.2</w:t>
      </w:r>
      <w:r>
        <w:rPr>
          <w:rFonts w:hint="eastAsia"/>
          <w:kern w:val="10"/>
          <w:sz w:val="24"/>
          <w:lang w:val="en-US" w:eastAsia="zh-CN"/>
        </w:rPr>
        <w:t xml:space="preserve"> </w:t>
      </w:r>
      <w:r>
        <w:rPr>
          <w:rFonts w:hint="eastAsia"/>
          <w:sz w:val="24"/>
        </w:rPr>
        <w:t>供需双方在验收过程中就质量问题发生争议时，由双方在场重新对原样进行取样、封样，并共同委托双方认可权威机构进行仲裁检验，以仲裁结果为最终结果进行结算，检验费用由责任方承担。</w:t>
      </w:r>
    </w:p>
    <w:p w14:paraId="74F8DD50">
      <w:pPr>
        <w:spacing w:before="156" w:beforeLines="50" w:after="156" w:afterLines="50" w:line="360" w:lineRule="auto"/>
        <w:outlineLvl w:val="1"/>
        <w:rPr>
          <w:rFonts w:hint="eastAsia" w:ascii="宋体" w:hAnsi="宋体" w:eastAsia="宋体" w:cs="Times New Roman"/>
          <w:color w:val="000000"/>
          <w:sz w:val="24"/>
          <w:szCs w:val="22"/>
          <w:lang w:val="en-US" w:eastAsia="zh-CN" w:bidi="ar-SA"/>
        </w:rPr>
      </w:pPr>
      <w:bookmarkStart w:id="35" w:name="_Toc21012"/>
      <w:bookmarkStart w:id="36" w:name="_Toc23394"/>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.6 质量细则</w:t>
      </w:r>
      <w:bookmarkEnd w:id="35"/>
      <w:bookmarkEnd w:id="36"/>
    </w:p>
    <w:tbl>
      <w:tblPr>
        <w:tblStyle w:val="3"/>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89"/>
        <w:gridCol w:w="1255"/>
        <w:gridCol w:w="1228"/>
        <w:gridCol w:w="1597"/>
        <w:gridCol w:w="2695"/>
        <w:gridCol w:w="1886"/>
      </w:tblGrid>
      <w:tr w14:paraId="0FFC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296" w:type="dxa"/>
            <w:gridSpan w:val="7"/>
            <w:vAlign w:val="center"/>
          </w:tcPr>
          <w:p w14:paraId="072A6802">
            <w:pPr>
              <w:keepNext w:val="0"/>
              <w:keepLines w:val="0"/>
              <w:widowControl/>
              <w:suppressLineNumbers w:val="0"/>
              <w:shd w:val="clear" w:color="auto" w:fill="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阳极浇铸用硅铁质量细则</w:t>
            </w:r>
          </w:p>
        </w:tc>
      </w:tr>
      <w:tr w14:paraId="7CE2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61F4772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序号</w:t>
            </w:r>
          </w:p>
        </w:tc>
        <w:tc>
          <w:tcPr>
            <w:tcW w:w="1089" w:type="dxa"/>
            <w:vAlign w:val="center"/>
          </w:tcPr>
          <w:p w14:paraId="3D5D265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子项</w:t>
            </w:r>
          </w:p>
        </w:tc>
        <w:tc>
          <w:tcPr>
            <w:tcW w:w="1255" w:type="dxa"/>
            <w:vAlign w:val="center"/>
          </w:tcPr>
          <w:p w14:paraId="23F8349F">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指标要求</w:t>
            </w:r>
          </w:p>
        </w:tc>
        <w:tc>
          <w:tcPr>
            <w:tcW w:w="1228" w:type="dxa"/>
            <w:vAlign w:val="center"/>
          </w:tcPr>
          <w:p w14:paraId="40B572D2">
            <w:pPr>
              <w:keepNext w:val="0"/>
              <w:keepLines w:val="0"/>
              <w:widowControl/>
              <w:suppressLineNumbers w:val="0"/>
              <w:jc w:val="center"/>
              <w:textAlignment w:val="center"/>
              <w:rPr>
                <w:rFonts w:hint="eastAsia" w:ascii="宋体" w:hAnsi="宋体" w:eastAsia="宋体" w:cs="宋体"/>
                <w:b w:val="0"/>
                <w:bCs w:val="0"/>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处理类别</w:t>
            </w:r>
          </w:p>
        </w:tc>
        <w:tc>
          <w:tcPr>
            <w:tcW w:w="4292" w:type="dxa"/>
            <w:gridSpan w:val="2"/>
            <w:vAlign w:val="center"/>
          </w:tcPr>
          <w:p w14:paraId="0E962A08">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处理措施</w:t>
            </w:r>
            <w:r>
              <w:rPr>
                <w:rFonts w:hint="eastAsia" w:ascii="宋体" w:hAnsi="宋体" w:cs="宋体"/>
                <w:b w:val="0"/>
                <w:bCs w:val="0"/>
                <w:i w:val="0"/>
                <w:iCs w:val="0"/>
                <w:color w:val="auto"/>
                <w:kern w:val="0"/>
                <w:sz w:val="21"/>
                <w:szCs w:val="21"/>
                <w:u w:val="none"/>
                <w:shd w:val="clear" w:color="auto" w:fill="auto"/>
                <w:lang w:val="en-US" w:eastAsia="zh-CN" w:bidi="ar"/>
              </w:rPr>
              <w:t>（x为对应的控制子项）</w:t>
            </w:r>
          </w:p>
        </w:tc>
        <w:tc>
          <w:tcPr>
            <w:tcW w:w="1886" w:type="dxa"/>
            <w:vAlign w:val="center"/>
          </w:tcPr>
          <w:p w14:paraId="32E01DA1">
            <w:pPr>
              <w:keepNext w:val="0"/>
              <w:keepLines w:val="0"/>
              <w:widowControl/>
              <w:suppressLineNumbers w:val="0"/>
              <w:ind w:firstLine="0" w:firstLineChars="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eastAsia="宋体" w:cs="宋体"/>
                <w:b w:val="0"/>
                <w:bCs w:val="0"/>
                <w:i w:val="0"/>
                <w:iCs w:val="0"/>
                <w:color w:val="auto"/>
                <w:kern w:val="0"/>
                <w:sz w:val="21"/>
                <w:szCs w:val="21"/>
                <w:u w:val="none"/>
                <w:lang w:val="en-US" w:eastAsia="zh-CN" w:bidi="ar"/>
              </w:rPr>
              <w:t>备注</w:t>
            </w:r>
          </w:p>
        </w:tc>
      </w:tr>
      <w:tr w14:paraId="071D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6" w:type="dxa"/>
            <w:vMerge w:val="restart"/>
            <w:vAlign w:val="center"/>
          </w:tcPr>
          <w:p w14:paraId="37026CE9">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1</w:t>
            </w:r>
          </w:p>
        </w:tc>
        <w:tc>
          <w:tcPr>
            <w:tcW w:w="1089" w:type="dxa"/>
            <w:vMerge w:val="restart"/>
            <w:vAlign w:val="center"/>
          </w:tcPr>
          <w:p w14:paraId="3B907063">
            <w:pPr>
              <w:widowControl w:val="0"/>
              <w:autoSpaceDE w:val="0"/>
              <w:autoSpaceDN w:val="0"/>
              <w:jc w:val="center"/>
              <w:rPr>
                <w:rFonts w:hint="eastAsia" w:ascii="宋体" w:hAnsi="宋体" w:eastAsia="宋体" w:cs="宋体"/>
                <w:b w:val="0"/>
                <w:bCs w:val="0"/>
                <w:color w:val="auto"/>
                <w:kern w:val="10"/>
                <w:sz w:val="21"/>
                <w:szCs w:val="21"/>
              </w:rPr>
            </w:pPr>
            <w:r>
              <w:rPr>
                <w:rFonts w:hint="eastAsia" w:ascii="宋体" w:hAnsi="宋体" w:eastAsia="宋体" w:cs="宋体"/>
                <w:b w:val="0"/>
                <w:bCs w:val="0"/>
                <w:color w:val="auto"/>
                <w:kern w:val="10"/>
                <w:sz w:val="21"/>
                <w:szCs w:val="21"/>
              </w:rPr>
              <w:t>Si</w:t>
            </w:r>
            <w:r>
              <w:rPr>
                <w:rFonts w:hint="eastAsia" w:ascii="宋体" w:hAnsi="宋体" w:eastAsia="宋体" w:cs="宋体"/>
                <w:b w:val="0"/>
                <w:bCs w:val="0"/>
                <w:color w:val="auto"/>
                <w:kern w:val="10"/>
                <w:sz w:val="21"/>
                <w:szCs w:val="21"/>
                <w:lang w:val="en-US" w:eastAsia="zh-CN"/>
              </w:rPr>
              <w:t>%</w:t>
            </w:r>
          </w:p>
        </w:tc>
        <w:tc>
          <w:tcPr>
            <w:tcW w:w="1255" w:type="dxa"/>
            <w:vMerge w:val="restart"/>
            <w:vAlign w:val="center"/>
          </w:tcPr>
          <w:p w14:paraId="2689F3C4">
            <w:pPr>
              <w:keepNext w:val="0"/>
              <w:keepLines w:val="0"/>
              <w:widowControl/>
              <w:suppressLineNumbers w:val="0"/>
              <w:jc w:val="center"/>
              <w:textAlignment w:val="center"/>
              <w:rPr>
                <w:rFonts w:hint="default" w:ascii="宋体" w:hAnsi="宋体" w:eastAsia="宋体" w:cs="宋体"/>
                <w:b w:val="0"/>
                <w:bCs w:val="0"/>
                <w:color w:val="auto"/>
                <w:kern w:val="10"/>
                <w:sz w:val="21"/>
                <w:szCs w:val="21"/>
                <w:lang w:val="en-US" w:eastAsia="zh-CN"/>
              </w:rPr>
            </w:pPr>
            <w:r>
              <w:rPr>
                <w:rFonts w:hint="eastAsia" w:ascii="宋体" w:hAnsi="宋体" w:cs="宋体"/>
                <w:b w:val="0"/>
                <w:bCs w:val="0"/>
                <w:color w:val="auto"/>
                <w:kern w:val="10"/>
                <w:sz w:val="21"/>
                <w:szCs w:val="21"/>
                <w:lang w:val="en-US" w:eastAsia="zh-CN"/>
              </w:rPr>
              <w:t>≥</w:t>
            </w:r>
            <w:r>
              <w:rPr>
                <w:rFonts w:hint="eastAsia" w:ascii="宋体" w:hAnsi="宋体" w:eastAsia="宋体" w:cs="宋体"/>
                <w:b w:val="0"/>
                <w:bCs w:val="0"/>
                <w:color w:val="auto"/>
                <w:kern w:val="10"/>
                <w:sz w:val="21"/>
                <w:szCs w:val="21"/>
                <w:lang w:val="en-US" w:eastAsia="zh-CN"/>
              </w:rPr>
              <w:t>75</w:t>
            </w:r>
            <w:r>
              <w:rPr>
                <w:rFonts w:hint="eastAsia" w:ascii="宋体" w:hAnsi="宋体" w:cs="宋体"/>
                <w:b w:val="0"/>
                <w:bCs w:val="0"/>
                <w:color w:val="auto"/>
                <w:kern w:val="10"/>
                <w:sz w:val="21"/>
                <w:szCs w:val="21"/>
                <w:lang w:val="en-US" w:eastAsia="zh-CN"/>
              </w:rPr>
              <w:t>.0</w:t>
            </w:r>
          </w:p>
        </w:tc>
        <w:tc>
          <w:tcPr>
            <w:tcW w:w="1228" w:type="dxa"/>
            <w:vAlign w:val="center"/>
          </w:tcPr>
          <w:p w14:paraId="3F382022">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补硅铁</w:t>
            </w:r>
          </w:p>
        </w:tc>
        <w:tc>
          <w:tcPr>
            <w:tcW w:w="1597" w:type="dxa"/>
            <w:vAlign w:val="center"/>
          </w:tcPr>
          <w:p w14:paraId="78ACBB4E">
            <w:pPr>
              <w:widowControl/>
              <w:jc w:val="left"/>
              <w:textAlignment w:val="center"/>
              <w:rPr>
                <w:rFonts w:hint="default" w:ascii="宋体" w:hAnsi="宋体" w:eastAsia="宋体" w:cs="宋体"/>
                <w:b w:val="0"/>
                <w:bCs w:val="0"/>
                <w:color w:val="auto"/>
                <w:kern w:val="10"/>
                <w:sz w:val="21"/>
                <w:szCs w:val="21"/>
                <w:highlight w:val="none"/>
                <w:vertAlign w:val="baseli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cs="宋体"/>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75</w:t>
            </w:r>
            <w:r>
              <w:rPr>
                <w:rFonts w:hint="eastAsia" w:ascii="宋体" w:hAnsi="宋体" w:cs="宋体"/>
                <w:b w:val="0"/>
                <w:bCs w:val="0"/>
                <w:i w:val="0"/>
                <w:color w:val="auto"/>
                <w:kern w:val="10"/>
                <w:sz w:val="21"/>
                <w:szCs w:val="21"/>
                <w:highlight w:val="none"/>
                <w:u w:val="none"/>
                <w:lang w:val="en-US" w:eastAsia="zh-CN" w:bidi="ar"/>
              </w:rPr>
              <w:t>.0</w:t>
            </w:r>
          </w:p>
        </w:tc>
        <w:tc>
          <w:tcPr>
            <w:tcW w:w="2695" w:type="dxa"/>
            <w:vAlign w:val="center"/>
          </w:tcPr>
          <w:p w14:paraId="0F399512">
            <w:pPr>
              <w:widowControl/>
              <w:jc w:val="left"/>
              <w:textAlignment w:val="center"/>
              <w:rPr>
                <w:rFonts w:hint="eastAsia" w:ascii="宋体" w:hAnsi="宋体" w:eastAsia="宋体" w:cs="宋体"/>
                <w:b w:val="0"/>
                <w:bCs w:val="0"/>
                <w:color w:val="auto"/>
                <w:kern w:val="10"/>
                <w:sz w:val="21"/>
                <w:szCs w:val="21"/>
                <w:highlight w:val="none"/>
                <w:vertAlign w:val="baseline"/>
                <w:lang w:val="en-US" w:eastAsia="zh-CN" w:bidi="ar-SA"/>
              </w:rPr>
            </w:pPr>
            <w:r>
              <w:rPr>
                <w:rFonts w:hint="eastAsia" w:ascii="宋体" w:hAnsi="宋体" w:eastAsia="宋体" w:cs="宋体"/>
                <w:b w:val="0"/>
                <w:bCs w:val="0"/>
                <w:color w:val="auto"/>
                <w:kern w:val="10"/>
                <w:sz w:val="21"/>
                <w:szCs w:val="21"/>
                <w:highlight w:val="none"/>
                <w:vertAlign w:val="baseline"/>
                <w:lang w:val="en-US" w:eastAsia="zh-CN"/>
              </w:rPr>
              <w:t>由厂家补发一级硅铁调整，补发量：总重×（</w:t>
            </w:r>
            <w:r>
              <w:rPr>
                <w:rFonts w:hint="eastAsia" w:ascii="宋体" w:hAnsi="宋体" w:cs="宋体"/>
                <w:b w:val="0"/>
                <w:bCs w:val="0"/>
                <w:color w:val="auto"/>
                <w:kern w:val="10"/>
                <w:sz w:val="21"/>
                <w:szCs w:val="21"/>
                <w:highlight w:val="none"/>
                <w:vertAlign w:val="baseline"/>
                <w:lang w:val="en-US" w:eastAsia="zh-CN"/>
              </w:rPr>
              <w:t>75.0</w:t>
            </w:r>
            <w:r>
              <w:rPr>
                <w:rFonts w:hint="eastAsia" w:ascii="宋体" w:hAnsi="宋体" w:eastAsia="宋体" w:cs="宋体"/>
                <w:b w:val="0"/>
                <w:bCs w:val="0"/>
                <w:color w:val="auto"/>
                <w:kern w:val="10"/>
                <w:sz w:val="21"/>
                <w:szCs w:val="21"/>
                <w:highlight w:val="none"/>
                <w:vertAlign w:val="baseline"/>
                <w:lang w:val="en-US" w:eastAsia="zh-CN"/>
              </w:rPr>
              <w:t>-实测硅含量/100/0.75/0.80。外加罚扣50元/吨。</w:t>
            </w:r>
          </w:p>
        </w:tc>
        <w:tc>
          <w:tcPr>
            <w:tcW w:w="1886" w:type="dxa"/>
            <w:vAlign w:val="center"/>
          </w:tcPr>
          <w:p w14:paraId="69382164">
            <w:pPr>
              <w:widowControl/>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cs="宋体"/>
                <w:b w:val="0"/>
                <w:bCs w:val="0"/>
                <w:color w:val="auto"/>
                <w:kern w:val="10"/>
                <w:sz w:val="21"/>
                <w:szCs w:val="21"/>
                <w:highlight w:val="none"/>
                <w:vertAlign w:val="baseline"/>
                <w:lang w:val="en-US" w:eastAsia="zh-CN"/>
              </w:rPr>
              <w:t>75.0</w:t>
            </w:r>
            <w:r>
              <w:rPr>
                <w:rFonts w:hint="eastAsia" w:ascii="宋体" w:hAnsi="宋体" w:eastAsia="宋体" w:cs="宋体"/>
                <w:b w:val="0"/>
                <w:bCs w:val="0"/>
                <w:color w:val="auto"/>
                <w:kern w:val="10"/>
                <w:sz w:val="21"/>
                <w:szCs w:val="21"/>
                <w:highlight w:val="none"/>
                <w:vertAlign w:val="baseline"/>
                <w:lang w:val="en-US" w:eastAsia="zh-CN"/>
              </w:rPr>
              <w:t>为硅调整中心值,0.75为硅含量，0.80为吸收率。</w:t>
            </w:r>
          </w:p>
        </w:tc>
      </w:tr>
      <w:tr w14:paraId="3038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Merge w:val="continue"/>
            <w:vAlign w:val="center"/>
          </w:tcPr>
          <w:p w14:paraId="3FF7BC84">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1089" w:type="dxa"/>
            <w:vMerge w:val="continue"/>
            <w:vAlign w:val="center"/>
          </w:tcPr>
          <w:p w14:paraId="42D7550B">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p>
        </w:tc>
        <w:tc>
          <w:tcPr>
            <w:tcW w:w="1255" w:type="dxa"/>
            <w:vMerge w:val="continue"/>
            <w:vAlign w:val="center"/>
          </w:tcPr>
          <w:p w14:paraId="25B0BDD8">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228" w:type="dxa"/>
            <w:vAlign w:val="center"/>
          </w:tcPr>
          <w:p w14:paraId="5CAF3E9F">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597" w:type="dxa"/>
            <w:vAlign w:val="center"/>
          </w:tcPr>
          <w:p w14:paraId="120DEE3C">
            <w:pPr>
              <w:widowControl/>
              <w:jc w:val="center"/>
              <w:textAlignment w:val="center"/>
              <w:rPr>
                <w:rFonts w:hint="default"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p>
        </w:tc>
        <w:tc>
          <w:tcPr>
            <w:tcW w:w="2695" w:type="dxa"/>
            <w:vAlign w:val="center"/>
          </w:tcPr>
          <w:p w14:paraId="68E9B3B4">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1886" w:type="dxa"/>
            <w:vAlign w:val="center"/>
          </w:tcPr>
          <w:p w14:paraId="08319DAF">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p>
        </w:tc>
      </w:tr>
      <w:tr w14:paraId="2C05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Align w:val="center"/>
          </w:tcPr>
          <w:p w14:paraId="7D975A25">
            <w:pPr>
              <w:widowControl w:val="0"/>
              <w:autoSpaceDE w:val="0"/>
              <w:autoSpaceDN w:val="0"/>
              <w:ind w:firstLine="210" w:firstLineChars="100"/>
              <w:jc w:val="center"/>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2</w:t>
            </w:r>
          </w:p>
        </w:tc>
        <w:tc>
          <w:tcPr>
            <w:tcW w:w="1089" w:type="dxa"/>
            <w:vAlign w:val="center"/>
          </w:tcPr>
          <w:p w14:paraId="13239A92">
            <w:pPr>
              <w:widowControl w:val="0"/>
              <w:autoSpaceDE w:val="0"/>
              <w:autoSpaceDN w:val="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bidi="ar-SA"/>
              </w:rPr>
              <w:t>外观质量</w:t>
            </w:r>
          </w:p>
        </w:tc>
        <w:tc>
          <w:tcPr>
            <w:tcW w:w="1255" w:type="dxa"/>
            <w:vAlign w:val="center"/>
          </w:tcPr>
          <w:p w14:paraId="4FF66F52">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不得有杂质</w:t>
            </w:r>
          </w:p>
        </w:tc>
        <w:tc>
          <w:tcPr>
            <w:tcW w:w="1228" w:type="dxa"/>
            <w:vAlign w:val="center"/>
          </w:tcPr>
          <w:p w14:paraId="19F08371">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597" w:type="dxa"/>
            <w:vAlign w:val="center"/>
          </w:tcPr>
          <w:p w14:paraId="1B47B0E3">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含有杂质</w:t>
            </w:r>
          </w:p>
        </w:tc>
        <w:tc>
          <w:tcPr>
            <w:tcW w:w="2695" w:type="dxa"/>
            <w:vAlign w:val="center"/>
          </w:tcPr>
          <w:p w14:paraId="0B9E88A1">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color w:val="auto"/>
                <w:kern w:val="10"/>
                <w:sz w:val="21"/>
                <w:szCs w:val="21"/>
                <w:highlight w:val="none"/>
                <w:vertAlign w:val="baseline"/>
                <w:lang w:val="en-US" w:eastAsia="zh-CN"/>
              </w:rPr>
              <w:t>退货处理，七日内不及时运走的，将由我公司自行处理。</w:t>
            </w:r>
          </w:p>
        </w:tc>
        <w:tc>
          <w:tcPr>
            <w:tcW w:w="1886" w:type="dxa"/>
            <w:vAlign w:val="center"/>
          </w:tcPr>
          <w:p w14:paraId="62DECF16">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10"/>
                <w:sz w:val="21"/>
                <w:szCs w:val="21"/>
                <w:highlight w:val="none"/>
                <w:vertAlign w:val="baseline"/>
                <w:lang w:val="en-US" w:eastAsia="zh-CN"/>
              </w:rPr>
            </w:pPr>
          </w:p>
        </w:tc>
      </w:tr>
    </w:tbl>
    <w:p w14:paraId="7BBB9EFA">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37" w:name="_Toc16189"/>
      <w:r>
        <w:rPr>
          <w:rFonts w:hint="eastAsia" w:ascii="宋体" w:hAnsi="宋体" w:cs="Times New Roman"/>
          <w:b/>
          <w:color w:val="auto"/>
          <w:kern w:val="10"/>
          <w:sz w:val="24"/>
          <w:highlight w:val="none"/>
          <w:lang w:val="en-US" w:eastAsia="zh-CN"/>
        </w:rPr>
        <w:t>3</w:t>
      </w:r>
      <w:r>
        <w:rPr>
          <w:rFonts w:hint="eastAsia" w:ascii="宋体" w:hAnsi="宋体" w:eastAsia="宋体" w:cs="Times New Roman"/>
          <w:b/>
          <w:color w:val="auto"/>
          <w:kern w:val="10"/>
          <w:sz w:val="24"/>
          <w:highlight w:val="none"/>
          <w:lang w:val="en-US" w:eastAsia="zh-CN"/>
        </w:rPr>
        <w:t>.</w:t>
      </w:r>
      <w:r>
        <w:rPr>
          <w:rFonts w:hint="eastAsia" w:ascii="宋体" w:hAnsi="宋体" w:cs="Times New Roman"/>
          <w:b/>
          <w:color w:val="auto"/>
          <w:kern w:val="10"/>
          <w:sz w:val="24"/>
          <w:highlight w:val="none"/>
          <w:lang w:val="en-US" w:eastAsia="zh-CN"/>
        </w:rPr>
        <w:t>7</w:t>
      </w:r>
      <w:r>
        <w:rPr>
          <w:rFonts w:hint="eastAsia" w:ascii="宋体" w:hAnsi="宋体" w:eastAsia="宋体" w:cs="Times New Roman"/>
          <w:b/>
          <w:color w:val="auto"/>
          <w:kern w:val="10"/>
          <w:sz w:val="24"/>
          <w:highlight w:val="none"/>
          <w:lang w:val="en-US" w:eastAsia="zh-CN"/>
        </w:rPr>
        <w:t xml:space="preserve"> 封存试样的保存期限</w:t>
      </w:r>
      <w:bookmarkEnd w:id="37"/>
    </w:p>
    <w:p w14:paraId="0F307D03">
      <w:pPr>
        <w:spacing w:before="156" w:beforeLines="50" w:after="156" w:afterLines="50" w:line="360" w:lineRule="auto"/>
        <w:ind w:firstLine="480" w:firstLineChars="200"/>
        <w:jc w:val="both"/>
        <w:outlineLvl w:val="9"/>
        <w:rPr>
          <w:rFonts w:hint="eastAsia" w:ascii="宋体" w:hAnsi="宋体" w:eastAsia="宋体" w:cs="Times New Roman"/>
          <w:b/>
          <w:kern w:val="10"/>
          <w:sz w:val="32"/>
          <w:szCs w:val="32"/>
          <w:lang w:val="en-US" w:eastAsia="zh-CN"/>
        </w:rPr>
      </w:pPr>
      <w:r>
        <w:rPr>
          <w:rFonts w:hint="eastAsia"/>
          <w:b w:val="0"/>
          <w:bCs/>
          <w:color w:val="auto"/>
          <w:kern w:val="10"/>
          <w:sz w:val="24"/>
          <w:highlight w:val="none"/>
          <w:lang w:val="en-US" w:eastAsia="zh-CN"/>
        </w:rPr>
        <w:t>阳极浇铸用硅铁封存试样保存期限为6个月。</w:t>
      </w:r>
    </w:p>
    <w:p w14:paraId="6BC3F4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E224B"/>
    <w:multiLevelType w:val="singleLevel"/>
    <w:tmpl w:val="A4BE224B"/>
    <w:lvl w:ilvl="0" w:tentative="0">
      <w:start w:val="2"/>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007E6"/>
    <w:rsid w:val="63EA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basedOn w:val="6"/>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6">
    <w:name w:val="纯文本1"/>
    <w:basedOn w:val="1"/>
    <w:autoRedefine/>
    <w:qFormat/>
    <w:uiPriority w:val="0"/>
    <w:pPr>
      <w:suppressAutoHyphens/>
    </w:pPr>
    <w:rPr>
      <w:rFonts w:ascii="宋体" w:hAnsi="宋体" w:eastAsia="宋体" w:cs="Courier New"/>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3247</Words>
  <Characters>3819</Characters>
  <Lines>0</Lines>
  <Paragraphs>0</Paragraphs>
  <TotalTime>0</TotalTime>
  <ScaleCrop>false</ScaleCrop>
  <LinksUpToDate>false</LinksUpToDate>
  <CharactersWithSpaces>3864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2025-06-18T08:31:00Z</dcterms:created>
  <dc:creator>Administrator</dc:creator>
  <cp:lastModifiedBy>Lan</cp:lastModifiedBy>
  <dcterms:modified xsi:type="dcterms:W3CDTF">2025-06-19T01:43:16Z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eyJoZGlkIjoiZTNhYTIxNDFiMzFjM2ZhMDg5NTk0NmEzYjUyYmMyOGMiLCJ1c2VySWQiOiIxMDE0MjMzODg0In0=</vt:lpwstr>
  </property>
  <property fmtid="{D5CDD505-2E9C-101B-9397-08002B2CF9AE}" pid="4" name="ICV">
    <vt:lpwstr>981E8EF1D72C41B6BDA8CB63E2A8B737_12</vt:lpwstr>
  </property>
</Properties>
</file>