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83" w:leftChars="0" w:hanging="883" w:hangingChars="200"/>
        <w:jc w:val="center"/>
        <w:rPr>
          <w:rFonts w:hint="eastAsia" w:ascii="宋体" w:hAnsi="宋体" w:eastAsia="宋体" w:cs="宋体"/>
          <w:b/>
          <w:bCs/>
          <w:sz w:val="44"/>
          <w:szCs w:val="44"/>
        </w:rPr>
      </w:pPr>
      <w:r>
        <w:rPr>
          <w:rFonts w:hint="eastAsia" w:ascii="宋体" w:hAnsi="宋体" w:eastAsia="宋体" w:cs="宋体"/>
          <w:b/>
          <w:bCs/>
          <w:sz w:val="44"/>
          <w:szCs w:val="44"/>
        </w:rPr>
        <w:t>田林百矿田田碳素有限</w:t>
      </w:r>
      <w:r>
        <w:rPr>
          <w:rFonts w:hint="eastAsia" w:ascii="宋体" w:hAnsi="宋体" w:eastAsia="宋体" w:cs="宋体"/>
          <w:b/>
          <w:bCs/>
          <w:sz w:val="44"/>
          <w:szCs w:val="44"/>
          <w:lang w:eastAsia="zh-CN"/>
        </w:rPr>
        <w:t>公</w:t>
      </w:r>
      <w:r>
        <w:rPr>
          <w:rFonts w:hint="eastAsia" w:ascii="宋体" w:hAnsi="宋体" w:eastAsia="宋体" w:cs="宋体"/>
          <w:b/>
          <w:bCs/>
          <w:sz w:val="44"/>
          <w:szCs w:val="44"/>
        </w:rPr>
        <w:t>司</w:t>
      </w:r>
    </w:p>
    <w:p>
      <w:pPr>
        <w:ind w:left="883" w:leftChars="0" w:hanging="883" w:hangingChars="20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石油焦</w:t>
      </w:r>
      <w:r>
        <w:rPr>
          <w:rFonts w:hint="eastAsia" w:ascii="宋体" w:hAnsi="宋体" w:eastAsia="宋体" w:cs="宋体"/>
          <w:b/>
          <w:bCs/>
          <w:sz w:val="44"/>
          <w:szCs w:val="44"/>
          <w:lang w:eastAsia="zh-CN"/>
        </w:rPr>
        <w:t>采购项目</w:t>
      </w:r>
    </w:p>
    <w:p>
      <w:pPr>
        <w:ind w:left="880" w:leftChars="419" w:firstLine="2209" w:firstLineChars="500"/>
        <w:jc w:val="center"/>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ascii="宋体" w:hAnsi="宋体" w:eastAsia="宋体" w:cs="宋体"/>
        </w:rPr>
      </w:pPr>
      <w:r>
        <w:rPr>
          <w:rFonts w:hint="eastAsia" w:ascii="宋体" w:hAnsi="宋体" w:eastAsia="宋体" w:cs="宋体"/>
          <w:b/>
          <w:bCs/>
          <w:sz w:val="44"/>
          <w:szCs w:val="44"/>
          <w:lang w:eastAsia="zh-CN"/>
        </w:rPr>
        <w:t>技术</w:t>
      </w:r>
      <w:r>
        <w:rPr>
          <w:rFonts w:hint="eastAsia" w:ascii="宋体" w:hAnsi="宋体" w:eastAsia="宋体" w:cs="宋体"/>
          <w:b/>
          <w:bCs/>
          <w:sz w:val="44"/>
          <w:szCs w:val="44"/>
        </w:rPr>
        <w:t>任务书</w:t>
      </w:r>
    </w:p>
    <w:p>
      <w:pPr>
        <w:ind w:firstLine="562" w:firstLineChars="200"/>
        <w:jc w:val="left"/>
        <w:rPr>
          <w:rFonts w:hint="eastAsia" w:ascii="宋体" w:hAnsi="宋体" w:eastAsia="宋体" w:cs="宋体"/>
          <w:b/>
          <w:bCs/>
          <w:sz w:val="28"/>
          <w:szCs w:val="28"/>
        </w:rPr>
      </w:pPr>
    </w:p>
    <w:p>
      <w:pPr>
        <w:pStyle w:val="2"/>
        <w:rPr>
          <w:rFonts w:hint="eastAsia"/>
          <w:b/>
          <w:bCs/>
          <w:sz w:val="28"/>
          <w:szCs w:val="28"/>
        </w:rPr>
      </w:pPr>
    </w:p>
    <w:p>
      <w:pPr>
        <w:pStyle w:val="2"/>
        <w:rPr>
          <w:rFonts w:hint="eastAsia"/>
          <w:b/>
          <w:bCs/>
          <w:sz w:val="28"/>
          <w:szCs w:val="28"/>
        </w:rPr>
      </w:pPr>
    </w:p>
    <w:p>
      <w:pPr>
        <w:pStyle w:val="2"/>
        <w:rPr>
          <w:rFonts w:hint="eastAsia"/>
          <w:b/>
          <w:bCs/>
          <w:sz w:val="28"/>
          <w:szCs w:val="28"/>
        </w:rPr>
      </w:pPr>
    </w:p>
    <w:p>
      <w:pPr>
        <w:pStyle w:val="2"/>
        <w:rPr>
          <w:rFonts w:hint="eastAsia"/>
          <w:b/>
          <w:bCs/>
          <w:sz w:val="28"/>
          <w:szCs w:val="28"/>
        </w:rPr>
      </w:pPr>
    </w:p>
    <w:p>
      <w:pPr>
        <w:ind w:firstLine="562" w:firstLineChars="200"/>
        <w:rPr>
          <w:rFonts w:hint="eastAsia"/>
          <w:b/>
          <w:bCs/>
          <w:sz w:val="28"/>
          <w:szCs w:val="28"/>
        </w:rPr>
      </w:pPr>
    </w:p>
    <w:p>
      <w:pPr>
        <w:ind w:firstLine="562" w:firstLineChars="200"/>
        <w:rPr>
          <w:rFonts w:hint="eastAsia"/>
          <w:b/>
          <w:bCs/>
          <w:sz w:val="28"/>
          <w:szCs w:val="28"/>
        </w:rPr>
      </w:pPr>
    </w:p>
    <w:p>
      <w:pPr>
        <w:pStyle w:val="2"/>
        <w:rPr>
          <w:rFonts w:hint="eastAsia"/>
        </w:rPr>
      </w:pP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eastAsia="zh-CN"/>
        </w:rPr>
        <w:t>编</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制：</w:t>
      </w:r>
      <w:r>
        <w:rPr>
          <w:rFonts w:hint="eastAsia" w:ascii="宋体" w:hAnsi="宋体" w:eastAsia="宋体" w:cs="宋体"/>
          <w:b/>
          <w:bCs/>
          <w:sz w:val="30"/>
          <w:szCs w:val="30"/>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审</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核：</w:t>
      </w:r>
      <w:r>
        <w:rPr>
          <w:rFonts w:hint="eastAsia" w:ascii="宋体" w:hAnsi="宋体" w:eastAsia="宋体" w:cs="宋体"/>
          <w:b/>
          <w:bCs/>
          <w:sz w:val="30"/>
          <w:szCs w:val="30"/>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批</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准：</w:t>
      </w:r>
      <w:r>
        <w:rPr>
          <w:rFonts w:hint="eastAsia" w:ascii="宋体" w:hAnsi="宋体" w:eastAsia="宋体" w:cs="宋体"/>
          <w:b/>
          <w:bCs/>
          <w:sz w:val="30"/>
          <w:szCs w:val="30"/>
          <w:u w:val="single"/>
          <w:lang w:val="en-US" w:eastAsia="zh-CN"/>
        </w:rPr>
        <w:t xml:space="preserve">                 </w:t>
      </w:r>
    </w:p>
    <w:p>
      <w:pPr>
        <w:ind w:firstLine="562" w:firstLineChars="200"/>
        <w:rPr>
          <w:rFonts w:hint="eastAsia" w:ascii="宋体" w:hAnsi="宋体" w:eastAsia="宋体" w:cs="宋体"/>
          <w:b/>
          <w:bCs/>
          <w:sz w:val="28"/>
          <w:szCs w:val="28"/>
        </w:rPr>
      </w:pPr>
    </w:p>
    <w:p>
      <w:pPr>
        <w:rPr>
          <w:rFonts w:hint="eastAsia"/>
          <w:b/>
          <w:bCs/>
          <w:sz w:val="28"/>
          <w:szCs w:val="28"/>
        </w:rPr>
      </w:pPr>
    </w:p>
    <w:p>
      <w:pPr>
        <w:pStyle w:val="2"/>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田林百矿田田碳素有限公司</w:t>
      </w:r>
    </w:p>
    <w:p>
      <w:pPr>
        <w:widowControl/>
        <w:autoSpaceDE/>
        <w:autoSpaceDN/>
        <w:snapToGrid/>
        <w:spacing w:before="0" w:after="0" w:line="240" w:lineRule="auto"/>
        <w:ind w:left="0" w:leftChars="0" w:firstLine="0" w:firstLineChars="0"/>
        <w:jc w:val="center"/>
        <w:rPr>
          <w:rFonts w:hint="eastAsia" w:ascii="宋体" w:hAnsi="宋体" w:eastAsia="宋体" w:cs="宋体"/>
          <w:b/>
          <w:bCs/>
          <w:sz w:val="28"/>
          <w:szCs w:val="28"/>
          <w:u w:val="single"/>
          <w:lang w:val="en-US" w:eastAsia="zh-CN"/>
        </w:rPr>
      </w:pPr>
      <w:r>
        <w:rPr>
          <w:rFonts w:hint="eastAsia" w:ascii="宋体" w:hAnsi="宋体" w:eastAsia="宋体" w:cs="宋体"/>
          <w:b/>
          <w:bCs/>
          <w:sz w:val="30"/>
          <w:szCs w:val="30"/>
          <w:lang w:val="en-US" w:eastAsia="zh-CN"/>
        </w:rPr>
        <w:t>202</w:t>
      </w:r>
      <w:r>
        <w:rPr>
          <w:rFonts w:hint="eastAsia" w:ascii="宋体" w:hAnsi="宋体" w:cs="宋体"/>
          <w:b/>
          <w:bCs/>
          <w:sz w:val="30"/>
          <w:szCs w:val="30"/>
          <w:lang w:val="en-US" w:eastAsia="zh-CN"/>
        </w:rPr>
        <w:t>3</w:t>
      </w:r>
      <w:r>
        <w:rPr>
          <w:rFonts w:hint="eastAsia" w:ascii="宋体" w:hAnsi="宋体" w:eastAsia="宋体" w:cs="宋体"/>
          <w:b/>
          <w:bCs/>
          <w:sz w:val="30"/>
          <w:szCs w:val="30"/>
          <w:lang w:val="en-US" w:eastAsia="zh-CN"/>
        </w:rPr>
        <w:t>年</w:t>
      </w:r>
      <w:r>
        <w:rPr>
          <w:rFonts w:hint="eastAsia" w:ascii="宋体" w:hAnsi="宋体" w:cs="宋体"/>
          <w:b/>
          <w:bCs/>
          <w:sz w:val="30"/>
          <w:szCs w:val="30"/>
          <w:lang w:val="en-US" w:eastAsia="zh-CN"/>
        </w:rPr>
        <w:t>10</w:t>
      </w:r>
      <w:r>
        <w:rPr>
          <w:rFonts w:hint="eastAsia" w:ascii="宋体" w:hAnsi="宋体" w:eastAsia="宋体" w:cs="宋体"/>
          <w:b/>
          <w:bCs/>
          <w:sz w:val="30"/>
          <w:szCs w:val="30"/>
          <w:lang w:val="en-US" w:eastAsia="zh-CN"/>
        </w:rPr>
        <w:t>月</w:t>
      </w:r>
    </w:p>
    <w:p>
      <w:pPr>
        <w:pStyle w:val="8"/>
        <w:tabs>
          <w:tab w:val="right" w:leader="dot" w:pos="9740"/>
        </w:tabs>
      </w:pPr>
      <w:r>
        <w:rPr>
          <w:rFonts w:hint="eastAsia" w:ascii="宋体" w:hAnsi="宋体" w:eastAsia="宋体" w:cs="宋体"/>
          <w:b/>
          <w:bCs/>
          <w:sz w:val="28"/>
          <w:szCs w:val="28"/>
          <w:lang w:val="en-US" w:eastAsia="zh-CN"/>
        </w:rPr>
        <w:fldChar w:fldCharType="begin"/>
      </w:r>
      <w:r>
        <w:rPr>
          <w:rFonts w:hint="eastAsia" w:ascii="宋体" w:hAnsi="宋体" w:eastAsia="宋体" w:cs="宋体"/>
          <w:b/>
          <w:bCs/>
          <w:sz w:val="28"/>
          <w:szCs w:val="28"/>
          <w:lang w:val="en-US" w:eastAsia="zh-CN"/>
        </w:rPr>
        <w:instrText xml:space="preserve">TOC \o "1-1" \h \u </w:instrText>
      </w:r>
      <w:r>
        <w:rPr>
          <w:rFonts w:hint="eastAsia" w:ascii="宋体" w:hAnsi="宋体" w:eastAsia="宋体" w:cs="宋体"/>
          <w:b/>
          <w:bCs/>
          <w:sz w:val="28"/>
          <w:szCs w:val="28"/>
          <w:lang w:val="en-US" w:eastAsia="zh-CN"/>
        </w:rPr>
        <w:fldChar w:fldCharType="separate"/>
      </w:r>
    </w:p>
    <w:p>
      <w:pPr>
        <w:pageBreakBefore w:val="0"/>
        <w:kinsoku/>
        <w:wordWrap/>
        <w:overflowPunct/>
        <w:topLinePunct w:val="0"/>
        <w:bidi w:val="0"/>
        <w:spacing w:line="460" w:lineRule="exact"/>
        <w:ind w:firstLine="562" w:firstLineChars="200"/>
        <w:jc w:val="left"/>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28"/>
          <w:szCs w:val="28"/>
          <w:lang w:val="en-US" w:eastAsia="zh-CN"/>
        </w:rPr>
        <w:fldChar w:fldCharType="end"/>
      </w:r>
    </w:p>
    <w:p>
      <w:pPr>
        <w:pageBreakBefore w:val="0"/>
        <w:kinsoku/>
        <w:wordWrap/>
        <w:overflowPunct/>
        <w:topLinePunct w:val="0"/>
        <w:bidi w:val="0"/>
        <w:spacing w:line="460" w:lineRule="exact"/>
        <w:ind w:firstLine="562" w:firstLineChars="200"/>
        <w:jc w:val="left"/>
        <w:rPr>
          <w:rFonts w:hint="eastAsia" w:ascii="宋体" w:hAnsi="宋体" w:eastAsia="宋体" w:cs="宋体"/>
          <w:sz w:val="28"/>
          <w:szCs w:val="28"/>
        </w:rPr>
      </w:pPr>
      <w:r>
        <w:rPr>
          <w:rFonts w:hint="eastAsia"/>
          <w:b/>
          <w:bCs/>
          <w:sz w:val="28"/>
          <w:szCs w:val="28"/>
          <w:lang w:val="en-US" w:eastAsia="zh-CN"/>
        </w:rPr>
        <w:t>一、总则</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rPr>
        <w:t>1.1本</w:t>
      </w:r>
      <w:r>
        <w:rPr>
          <w:rFonts w:hint="eastAsia" w:ascii="宋体" w:hAnsi="宋体" w:eastAsia="宋体" w:cs="宋体"/>
          <w:sz w:val="28"/>
          <w:szCs w:val="28"/>
          <w:lang w:eastAsia="zh-CN"/>
        </w:rPr>
        <w:t>技术任务书</w:t>
      </w:r>
      <w:r>
        <w:rPr>
          <w:rFonts w:hint="eastAsia" w:ascii="宋体" w:hAnsi="宋体" w:eastAsia="宋体" w:cs="宋体"/>
          <w:sz w:val="28"/>
          <w:szCs w:val="28"/>
        </w:rPr>
        <w:t>适用于田林百矿田田碳素有限公司</w:t>
      </w:r>
      <w:r>
        <w:rPr>
          <w:rFonts w:hint="eastAsia" w:ascii="宋体" w:hAnsi="宋体" w:cs="宋体"/>
          <w:sz w:val="28"/>
          <w:szCs w:val="28"/>
          <w:lang w:val="en-US" w:eastAsia="zh-CN"/>
        </w:rPr>
        <w:t>石油焦</w:t>
      </w:r>
      <w:r>
        <w:rPr>
          <w:rFonts w:hint="eastAsia" w:ascii="宋体" w:hAnsi="宋体" w:eastAsia="宋体" w:cs="宋体"/>
          <w:color w:val="000000"/>
          <w:sz w:val="28"/>
          <w:szCs w:val="28"/>
        </w:rPr>
        <w:t>的采购</w:t>
      </w:r>
      <w:r>
        <w:rPr>
          <w:rFonts w:hint="eastAsia" w:ascii="宋体" w:hAnsi="宋体" w:eastAsia="宋体" w:cs="宋体"/>
          <w:sz w:val="28"/>
          <w:szCs w:val="28"/>
        </w:rPr>
        <w:t>，它包括了</w:t>
      </w:r>
      <w:r>
        <w:rPr>
          <w:rFonts w:hint="eastAsia" w:ascii="宋体" w:hAnsi="宋体" w:cs="宋体"/>
          <w:sz w:val="28"/>
          <w:szCs w:val="28"/>
          <w:lang w:val="en-US" w:eastAsia="zh-CN"/>
        </w:rPr>
        <w:t>石油焦</w:t>
      </w:r>
      <w:r>
        <w:rPr>
          <w:rFonts w:hint="eastAsia" w:ascii="宋体" w:hAnsi="宋体" w:eastAsia="宋体" w:cs="宋体"/>
          <w:sz w:val="28"/>
          <w:szCs w:val="28"/>
        </w:rPr>
        <w:t>的性能</w:t>
      </w:r>
      <w:r>
        <w:rPr>
          <w:rFonts w:hint="eastAsia" w:ascii="宋体" w:hAnsi="宋体" w:cs="宋体"/>
          <w:sz w:val="28"/>
          <w:szCs w:val="28"/>
          <w:lang w:eastAsia="zh-CN"/>
        </w:rPr>
        <w:t>、</w:t>
      </w:r>
      <w:r>
        <w:rPr>
          <w:rFonts w:hint="eastAsia" w:ascii="宋体" w:hAnsi="宋体" w:cs="宋体"/>
          <w:sz w:val="28"/>
          <w:szCs w:val="28"/>
          <w:lang w:val="en-US" w:eastAsia="zh-CN"/>
        </w:rPr>
        <w:t>生产</w:t>
      </w:r>
      <w:r>
        <w:rPr>
          <w:rFonts w:hint="eastAsia" w:ascii="宋体" w:hAnsi="宋体" w:eastAsia="宋体" w:cs="宋体"/>
          <w:sz w:val="28"/>
          <w:szCs w:val="28"/>
        </w:rPr>
        <w:t>、检验、运输、验收直至最终交付使用等方面服务的技术条件。</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1.2本</w:t>
      </w:r>
      <w:r>
        <w:rPr>
          <w:rFonts w:hint="eastAsia" w:ascii="宋体" w:hAnsi="宋体" w:eastAsia="宋体" w:cs="宋体"/>
          <w:sz w:val="28"/>
          <w:szCs w:val="28"/>
          <w:lang w:eastAsia="zh-CN"/>
        </w:rPr>
        <w:t>技术任务书</w:t>
      </w:r>
      <w:r>
        <w:rPr>
          <w:rFonts w:hint="eastAsia" w:ascii="宋体" w:hAnsi="宋体" w:eastAsia="宋体" w:cs="宋体"/>
          <w:sz w:val="28"/>
          <w:szCs w:val="28"/>
        </w:rPr>
        <w:t>提出的是最低限度的技术要求，并未对一切技术细节做出规定，也未充分引述有关标准、规程和规范的条文，</w:t>
      </w:r>
      <w:r>
        <w:rPr>
          <w:rFonts w:hint="eastAsia" w:ascii="宋体" w:hAnsi="宋体" w:eastAsia="宋体" w:cs="宋体"/>
          <w:sz w:val="28"/>
          <w:szCs w:val="28"/>
          <w:lang w:val="en-US" w:eastAsia="zh-CN"/>
        </w:rPr>
        <w:t>供货方</w:t>
      </w:r>
      <w:r>
        <w:rPr>
          <w:rFonts w:hint="eastAsia" w:ascii="宋体" w:hAnsi="宋体" w:eastAsia="宋体" w:cs="宋体"/>
          <w:sz w:val="28"/>
          <w:szCs w:val="28"/>
        </w:rPr>
        <w:t>保证提供符合本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和有关中国国家现行最新标准</w:t>
      </w:r>
      <w:r>
        <w:rPr>
          <w:rFonts w:hint="eastAsia" w:ascii="宋体" w:hAnsi="宋体" w:cs="宋体"/>
          <w:sz w:val="28"/>
          <w:szCs w:val="28"/>
          <w:lang w:val="en-US" w:eastAsia="zh-CN"/>
        </w:rPr>
        <w:t>或</w:t>
      </w:r>
      <w:r>
        <w:rPr>
          <w:rFonts w:hint="eastAsia" w:ascii="宋体" w:hAnsi="宋体" w:eastAsia="宋体" w:cs="宋体"/>
          <w:sz w:val="28"/>
          <w:szCs w:val="28"/>
        </w:rPr>
        <w:t>有关行业最新标准要求的优质产品；同时满足中国国家有关安全、环保等强制性法规、标准的要求。</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投标方</w:t>
      </w:r>
      <w:r>
        <w:rPr>
          <w:rFonts w:hint="eastAsia" w:ascii="宋体" w:hAnsi="宋体" w:eastAsia="宋体" w:cs="宋体"/>
          <w:sz w:val="28"/>
          <w:szCs w:val="28"/>
        </w:rPr>
        <w:t>须详细列出包括</w:t>
      </w:r>
      <w:r>
        <w:rPr>
          <w:rFonts w:hint="eastAsia" w:ascii="宋体" w:hAnsi="宋体" w:cs="宋体"/>
          <w:sz w:val="28"/>
          <w:szCs w:val="28"/>
          <w:lang w:val="en-US" w:eastAsia="zh-CN"/>
        </w:rPr>
        <w:t>生产</w:t>
      </w:r>
      <w:r>
        <w:rPr>
          <w:rFonts w:hint="eastAsia" w:ascii="宋体" w:hAnsi="宋体" w:eastAsia="宋体" w:cs="宋体"/>
          <w:sz w:val="28"/>
          <w:szCs w:val="28"/>
        </w:rPr>
        <w:t>、检验、供货、验收等所采用的标准、规程和规范名称</w:t>
      </w:r>
      <w:r>
        <w:rPr>
          <w:rFonts w:hint="eastAsia" w:ascii="宋体" w:hAnsi="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审查确认。</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1.4本</w:t>
      </w:r>
      <w:r>
        <w:rPr>
          <w:rFonts w:hint="eastAsia" w:ascii="宋体" w:hAnsi="宋体" w:eastAsia="宋体" w:cs="宋体"/>
          <w:sz w:val="28"/>
          <w:szCs w:val="28"/>
          <w:lang w:eastAsia="zh-CN"/>
        </w:rPr>
        <w:t>技术任务书</w:t>
      </w:r>
      <w:r>
        <w:rPr>
          <w:rFonts w:hint="eastAsia" w:ascii="宋体" w:hAnsi="宋体" w:eastAsia="宋体" w:cs="宋体"/>
          <w:sz w:val="28"/>
          <w:szCs w:val="28"/>
        </w:rPr>
        <w:t>所使用的标准如与</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所执行的标准水平不一致时，按较高标准执行。如果本</w:t>
      </w:r>
      <w:r>
        <w:rPr>
          <w:rFonts w:hint="eastAsia" w:ascii="宋体" w:hAnsi="宋体" w:eastAsia="宋体" w:cs="宋体"/>
          <w:sz w:val="28"/>
          <w:szCs w:val="28"/>
          <w:lang w:eastAsia="zh-CN"/>
        </w:rPr>
        <w:t>技术任务书</w:t>
      </w:r>
      <w:r>
        <w:rPr>
          <w:rFonts w:hint="eastAsia" w:ascii="宋体" w:hAnsi="宋体" w:eastAsia="宋体" w:cs="宋体"/>
          <w:sz w:val="28"/>
          <w:szCs w:val="28"/>
        </w:rPr>
        <w:t>与现行使用的有关国家标准以及有关行业最新标准有明显抵触的条文，</w:t>
      </w:r>
      <w:r>
        <w:rPr>
          <w:rFonts w:hint="eastAsia" w:ascii="宋体" w:hAnsi="宋体" w:eastAsia="宋体" w:cs="宋体"/>
          <w:sz w:val="28"/>
          <w:szCs w:val="28"/>
          <w:lang w:eastAsia="zh-CN"/>
        </w:rPr>
        <w:t>投标方</w:t>
      </w:r>
      <w:r>
        <w:rPr>
          <w:rFonts w:hint="eastAsia" w:ascii="宋体" w:hAnsi="宋体" w:eastAsia="宋体" w:cs="宋体"/>
          <w:sz w:val="28"/>
          <w:szCs w:val="28"/>
        </w:rPr>
        <w:t>应及时书面通知</w:t>
      </w:r>
      <w:r>
        <w:rPr>
          <w:rFonts w:hint="eastAsia" w:ascii="宋体" w:hAnsi="宋体" w:eastAsia="宋体" w:cs="宋体"/>
          <w:sz w:val="28"/>
          <w:szCs w:val="28"/>
          <w:lang w:eastAsia="zh-CN"/>
        </w:rPr>
        <w:t>招标方</w:t>
      </w:r>
      <w:r>
        <w:rPr>
          <w:rFonts w:hint="eastAsia" w:ascii="宋体" w:hAnsi="宋体" w:eastAsia="宋体" w:cs="宋体"/>
          <w:sz w:val="28"/>
          <w:szCs w:val="28"/>
        </w:rPr>
        <w:t>进行解决。</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1.5如果</w:t>
      </w:r>
      <w:r>
        <w:rPr>
          <w:rFonts w:hint="eastAsia" w:ascii="宋体" w:hAnsi="宋体" w:eastAsia="宋体" w:cs="宋体"/>
          <w:sz w:val="28"/>
          <w:szCs w:val="28"/>
          <w:lang w:eastAsia="zh-CN"/>
        </w:rPr>
        <w:t>投标方</w:t>
      </w:r>
      <w:r>
        <w:rPr>
          <w:rFonts w:hint="eastAsia" w:ascii="宋体" w:hAnsi="宋体" w:eastAsia="宋体" w:cs="宋体"/>
          <w:sz w:val="28"/>
          <w:szCs w:val="28"/>
        </w:rPr>
        <w:t>没有以书面方式对本</w:t>
      </w:r>
      <w:r>
        <w:rPr>
          <w:rFonts w:hint="eastAsia" w:ascii="宋体" w:hAnsi="宋体" w:eastAsia="宋体" w:cs="宋体"/>
          <w:sz w:val="28"/>
          <w:szCs w:val="28"/>
          <w:lang w:eastAsia="zh-CN"/>
        </w:rPr>
        <w:t>技术任务书</w:t>
      </w:r>
      <w:r>
        <w:rPr>
          <w:rFonts w:hint="eastAsia" w:ascii="宋体" w:hAnsi="宋体" w:eastAsia="宋体" w:cs="宋体"/>
          <w:sz w:val="28"/>
          <w:szCs w:val="28"/>
        </w:rPr>
        <w:t>的条文提出异议，</w:t>
      </w:r>
      <w:r>
        <w:rPr>
          <w:rFonts w:hint="eastAsia" w:ascii="宋体" w:hAnsi="宋体" w:eastAsia="宋体" w:cs="宋体"/>
          <w:sz w:val="28"/>
          <w:szCs w:val="28"/>
          <w:lang w:val="en-US" w:eastAsia="zh-CN"/>
        </w:rPr>
        <w:t>招标方</w:t>
      </w:r>
      <w:r>
        <w:rPr>
          <w:rFonts w:hint="eastAsia" w:ascii="宋体" w:hAnsi="宋体" w:eastAsia="宋体" w:cs="宋体"/>
          <w:sz w:val="28"/>
          <w:szCs w:val="28"/>
        </w:rPr>
        <w:t>将认为</w:t>
      </w:r>
      <w:r>
        <w:rPr>
          <w:rFonts w:hint="eastAsia" w:ascii="宋体" w:hAnsi="宋体" w:eastAsia="宋体" w:cs="宋体"/>
          <w:sz w:val="28"/>
          <w:szCs w:val="28"/>
          <w:lang w:eastAsia="zh-CN"/>
        </w:rPr>
        <w:t>投标方</w:t>
      </w:r>
      <w:r>
        <w:rPr>
          <w:rFonts w:hint="eastAsia" w:ascii="宋体" w:hAnsi="宋体" w:eastAsia="宋体" w:cs="宋体"/>
          <w:sz w:val="28"/>
          <w:szCs w:val="28"/>
        </w:rPr>
        <w:t>提供的产品完全符合本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的要求。如有异议，不管是多么微小，都应在以“对</w:t>
      </w:r>
      <w:r>
        <w:rPr>
          <w:rFonts w:hint="eastAsia" w:ascii="宋体" w:hAnsi="宋体" w:eastAsia="宋体" w:cs="宋体"/>
          <w:sz w:val="28"/>
          <w:szCs w:val="28"/>
          <w:lang w:eastAsia="zh-CN"/>
        </w:rPr>
        <w:t>技术任务书</w:t>
      </w:r>
      <w:r>
        <w:rPr>
          <w:rFonts w:hint="eastAsia" w:ascii="宋体" w:hAnsi="宋体" w:eastAsia="宋体" w:cs="宋体"/>
          <w:sz w:val="28"/>
          <w:szCs w:val="28"/>
        </w:rPr>
        <w:t>的意见和同</w:t>
      </w:r>
      <w:r>
        <w:rPr>
          <w:rFonts w:hint="eastAsia" w:ascii="宋体" w:hAnsi="宋体" w:eastAsia="宋体" w:cs="宋体"/>
          <w:sz w:val="28"/>
          <w:szCs w:val="28"/>
          <w:lang w:eastAsia="zh-CN"/>
        </w:rPr>
        <w:t>技术任务书</w:t>
      </w:r>
      <w:r>
        <w:rPr>
          <w:rFonts w:hint="eastAsia" w:ascii="宋体" w:hAnsi="宋体" w:eastAsia="宋体" w:cs="宋体"/>
          <w:sz w:val="28"/>
          <w:szCs w:val="28"/>
        </w:rPr>
        <w:t>的差异”为标题的专门章节中加以详细描述</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cs="宋体"/>
          <w:sz w:val="28"/>
          <w:szCs w:val="28"/>
          <w:lang w:val="en-US" w:eastAsia="zh-CN"/>
        </w:rPr>
        <w:t>石油焦</w:t>
      </w:r>
      <w:r>
        <w:rPr>
          <w:rFonts w:hint="eastAsia" w:ascii="宋体" w:hAnsi="宋体" w:eastAsia="宋体" w:cs="宋体"/>
          <w:sz w:val="28"/>
          <w:szCs w:val="28"/>
        </w:rPr>
        <w:t>涉及到的专利费用均被认为已包含在</w:t>
      </w:r>
      <w:r>
        <w:rPr>
          <w:rFonts w:hint="eastAsia" w:ascii="宋体" w:hAnsi="宋体" w:cs="宋体"/>
          <w:sz w:val="28"/>
          <w:szCs w:val="28"/>
          <w:u w:val="none"/>
          <w:lang w:val="en-US" w:eastAsia="zh-CN"/>
        </w:rPr>
        <w:t>石油焦的</w:t>
      </w:r>
      <w:r>
        <w:rPr>
          <w:rFonts w:hint="eastAsia" w:ascii="宋体" w:hAnsi="宋体" w:eastAsia="宋体" w:cs="宋体"/>
          <w:sz w:val="28"/>
          <w:szCs w:val="28"/>
          <w:lang w:eastAsia="zh-CN"/>
        </w:rPr>
        <w:t>总</w:t>
      </w:r>
      <w:r>
        <w:rPr>
          <w:rFonts w:hint="eastAsia" w:ascii="宋体" w:hAnsi="宋体" w:eastAsia="宋体" w:cs="宋体"/>
          <w:sz w:val="28"/>
          <w:szCs w:val="28"/>
        </w:rPr>
        <w:t>价中，</w:t>
      </w:r>
      <w:r>
        <w:rPr>
          <w:rFonts w:hint="eastAsia" w:ascii="宋体" w:hAnsi="宋体" w:eastAsia="宋体" w:cs="宋体"/>
          <w:sz w:val="28"/>
          <w:szCs w:val="28"/>
          <w:lang w:eastAsia="zh-CN"/>
        </w:rPr>
        <w:t>投标方</w:t>
      </w:r>
      <w:r>
        <w:rPr>
          <w:rFonts w:hint="eastAsia" w:ascii="宋体" w:hAnsi="宋体" w:eastAsia="宋体" w:cs="宋体"/>
          <w:sz w:val="28"/>
          <w:szCs w:val="28"/>
        </w:rPr>
        <w:t>应保证</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不承担有关</w:t>
      </w:r>
      <w:r>
        <w:rPr>
          <w:rFonts w:hint="eastAsia" w:ascii="宋体" w:hAnsi="宋体" w:cs="宋体"/>
          <w:sz w:val="28"/>
          <w:szCs w:val="28"/>
          <w:u w:val="none"/>
          <w:lang w:val="en-US" w:eastAsia="zh-CN"/>
        </w:rPr>
        <w:t>石油焦</w:t>
      </w:r>
      <w:r>
        <w:rPr>
          <w:rFonts w:hint="eastAsia" w:ascii="宋体" w:hAnsi="宋体" w:eastAsia="宋体" w:cs="宋体"/>
          <w:sz w:val="28"/>
          <w:szCs w:val="28"/>
        </w:rPr>
        <w:t>专利的一切责任。</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lang w:eastAsia="zh-CN"/>
        </w:rPr>
        <w:t>投标方</w:t>
      </w:r>
      <w:r>
        <w:rPr>
          <w:rFonts w:hint="eastAsia" w:ascii="宋体" w:hAnsi="宋体" w:eastAsia="宋体" w:cs="宋体"/>
          <w:sz w:val="28"/>
          <w:szCs w:val="28"/>
        </w:rPr>
        <w:t>提供的</w:t>
      </w:r>
      <w:r>
        <w:rPr>
          <w:rFonts w:hint="eastAsia" w:ascii="宋体" w:hAnsi="宋体" w:cs="宋体"/>
          <w:sz w:val="28"/>
          <w:szCs w:val="28"/>
          <w:u w:val="none"/>
          <w:lang w:val="en-US" w:eastAsia="zh-CN"/>
        </w:rPr>
        <w:t>石油焦</w:t>
      </w:r>
      <w:r>
        <w:rPr>
          <w:rFonts w:hint="eastAsia" w:ascii="宋体" w:hAnsi="宋体" w:eastAsia="宋体" w:cs="宋体"/>
          <w:sz w:val="28"/>
          <w:szCs w:val="28"/>
        </w:rPr>
        <w:t>必须是完全符合本</w:t>
      </w:r>
      <w:r>
        <w:rPr>
          <w:rFonts w:hint="eastAsia" w:ascii="宋体" w:hAnsi="宋体" w:eastAsia="宋体" w:cs="宋体"/>
          <w:sz w:val="28"/>
          <w:szCs w:val="28"/>
          <w:lang w:eastAsia="zh-CN"/>
        </w:rPr>
        <w:t>技术任务书要求</w:t>
      </w:r>
      <w:r>
        <w:rPr>
          <w:rFonts w:hint="eastAsia" w:ascii="宋体" w:hAnsi="宋体" w:eastAsia="宋体" w:cs="宋体"/>
          <w:sz w:val="28"/>
          <w:szCs w:val="28"/>
        </w:rPr>
        <w:t>的、</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需对所提供产品的质量完全负责。</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cs="宋体"/>
          <w:sz w:val="28"/>
          <w:szCs w:val="28"/>
          <w:lang w:val="en-US" w:eastAsia="zh-CN"/>
        </w:rPr>
        <w:t>8</w:t>
      </w:r>
      <w:r>
        <w:rPr>
          <w:rFonts w:hint="eastAsia" w:ascii="宋体" w:hAnsi="宋体" w:eastAsia="宋体" w:cs="宋体"/>
          <w:sz w:val="28"/>
          <w:szCs w:val="28"/>
          <w:lang w:eastAsia="zh-CN"/>
        </w:rPr>
        <w:t xml:space="preserve"> 今后发生的一切书面协议,若与本技术条件有冲突,以时间最新并具有合同效力的为准。</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1.</w:t>
      </w:r>
      <w:r>
        <w:rPr>
          <w:rFonts w:hint="eastAsia" w:ascii="宋体" w:hAnsi="宋体" w:cs="宋体"/>
          <w:sz w:val="28"/>
          <w:szCs w:val="28"/>
          <w:lang w:val="en-US" w:eastAsia="zh-CN"/>
        </w:rPr>
        <w:t>9</w:t>
      </w:r>
      <w:r>
        <w:rPr>
          <w:rFonts w:hint="eastAsia" w:ascii="宋体" w:hAnsi="宋体" w:eastAsia="宋体" w:cs="宋体"/>
          <w:sz w:val="28"/>
          <w:szCs w:val="28"/>
          <w:lang w:eastAsia="zh-CN"/>
        </w:rPr>
        <w:t xml:space="preserve"> 本技术任务书要求由投标方负责</w:t>
      </w:r>
      <w:r>
        <w:rPr>
          <w:rFonts w:hint="eastAsia" w:ascii="宋体" w:hAnsi="宋体" w:cs="宋体"/>
          <w:sz w:val="28"/>
          <w:szCs w:val="28"/>
          <w:lang w:val="en-US" w:eastAsia="zh-CN"/>
        </w:rPr>
        <w:t>生产</w:t>
      </w:r>
      <w:r>
        <w:rPr>
          <w:rFonts w:hint="eastAsia" w:ascii="宋体" w:hAnsi="宋体" w:eastAsia="宋体" w:cs="宋体"/>
          <w:sz w:val="28"/>
          <w:szCs w:val="28"/>
          <w:lang w:eastAsia="zh-CN"/>
        </w:rPr>
        <w:t>、运输、验收直至最终交付</w:t>
      </w:r>
      <w:r>
        <w:rPr>
          <w:rFonts w:hint="eastAsia" w:ascii="宋体" w:hAnsi="宋体" w:cs="宋体"/>
          <w:sz w:val="28"/>
          <w:szCs w:val="28"/>
          <w:lang w:val="en-US" w:eastAsia="zh-CN"/>
        </w:rPr>
        <w:t>招标方</w:t>
      </w:r>
      <w:r>
        <w:rPr>
          <w:rFonts w:hint="eastAsia" w:ascii="宋体" w:hAnsi="宋体" w:eastAsia="宋体" w:cs="宋体"/>
          <w:sz w:val="28"/>
          <w:szCs w:val="28"/>
          <w:lang w:eastAsia="zh-CN"/>
        </w:rPr>
        <w:t>使用。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本细则规定</w:t>
      </w:r>
      <w:r>
        <w:rPr>
          <w:rFonts w:hint="eastAsia" w:ascii="宋体" w:hAnsi="宋体" w:cs="宋体"/>
          <w:sz w:val="28"/>
          <w:szCs w:val="28"/>
          <w:u w:val="none"/>
          <w:lang w:val="en-US" w:eastAsia="zh-CN"/>
        </w:rPr>
        <w:t>石油焦</w:t>
      </w:r>
      <w:r>
        <w:rPr>
          <w:rFonts w:hint="eastAsia" w:ascii="宋体" w:hAnsi="宋体" w:eastAsia="宋体" w:cs="宋体"/>
          <w:sz w:val="28"/>
          <w:szCs w:val="28"/>
        </w:rPr>
        <w:t>的</w:t>
      </w:r>
      <w:r>
        <w:rPr>
          <w:rFonts w:hint="eastAsia" w:ascii="宋体" w:hAnsi="宋体" w:cs="宋体"/>
          <w:sz w:val="28"/>
          <w:szCs w:val="28"/>
          <w:lang w:val="en-US" w:eastAsia="zh-CN"/>
        </w:rPr>
        <w:t>技术指标</w:t>
      </w:r>
      <w:r>
        <w:rPr>
          <w:rFonts w:hint="eastAsia" w:ascii="宋体" w:hAnsi="宋体" w:eastAsia="宋体" w:cs="宋体"/>
          <w:sz w:val="28"/>
          <w:szCs w:val="28"/>
        </w:rPr>
        <w:t>、理化性能、检验方法等要求。适用于田林百矿田田碳素有限公司采购</w:t>
      </w:r>
      <w:r>
        <w:rPr>
          <w:rFonts w:hint="eastAsia" w:ascii="宋体" w:hAnsi="宋体" w:cs="宋体"/>
          <w:sz w:val="28"/>
          <w:szCs w:val="28"/>
          <w:u w:val="none"/>
          <w:lang w:val="en-US" w:eastAsia="zh-CN"/>
        </w:rPr>
        <w:t>石油焦</w:t>
      </w:r>
      <w:r>
        <w:rPr>
          <w:rFonts w:hint="eastAsia" w:ascii="宋体" w:hAnsi="宋体" w:eastAsia="宋体" w:cs="宋体"/>
          <w:sz w:val="28"/>
          <w:szCs w:val="28"/>
        </w:rPr>
        <w:t>的质量检验及质量验证。</w:t>
      </w:r>
    </w:p>
    <w:p>
      <w:pPr>
        <w:ind w:firstLine="562" w:firstLineChars="200"/>
        <w:rPr>
          <w:rFonts w:hint="eastAsia" w:ascii="宋体" w:hAnsi="宋体" w:cs="宋体"/>
          <w:b/>
          <w:bCs/>
          <w:sz w:val="28"/>
          <w:szCs w:val="28"/>
          <w:lang w:val="en-US" w:eastAsia="zh-CN"/>
        </w:rPr>
      </w:pPr>
    </w:p>
    <w:p>
      <w:pPr>
        <w:ind w:firstLine="562" w:firstLineChars="200"/>
        <w:rPr>
          <w:rFonts w:hint="eastAsia" w:ascii="宋体" w:hAnsi="宋体" w:eastAsia="宋体" w:cs="宋体"/>
          <w:b/>
          <w:bCs/>
          <w:color w:val="auto"/>
          <w:sz w:val="28"/>
          <w:szCs w:val="28"/>
        </w:rPr>
      </w:pPr>
      <w:r>
        <w:rPr>
          <w:rFonts w:hint="eastAsia" w:ascii="宋体" w:hAnsi="宋体" w:cs="宋体"/>
          <w:b/>
          <w:bCs/>
          <w:sz w:val="28"/>
          <w:szCs w:val="28"/>
          <w:lang w:val="en-US" w:eastAsia="zh-CN"/>
        </w:rPr>
        <w:t>二</w:t>
      </w:r>
      <w:r>
        <w:rPr>
          <w:rFonts w:hint="eastAsia" w:ascii="宋体" w:hAnsi="宋体" w:eastAsia="宋体" w:cs="宋体"/>
          <w:b/>
          <w:bCs/>
          <w:sz w:val="28"/>
          <w:szCs w:val="28"/>
        </w:rPr>
        <w:t>、</w:t>
      </w:r>
      <w:r>
        <w:rPr>
          <w:rFonts w:hint="eastAsia" w:ascii="宋体" w:hAnsi="宋体" w:cs="宋体"/>
          <w:b/>
          <w:bCs/>
          <w:sz w:val="28"/>
          <w:szCs w:val="28"/>
          <w:lang w:val="en-US" w:eastAsia="zh-CN"/>
        </w:rPr>
        <w:t>石油焦</w:t>
      </w:r>
      <w:r>
        <w:rPr>
          <w:rFonts w:hint="eastAsia" w:ascii="宋体" w:hAnsi="宋体" w:cs="宋体"/>
          <w:b/>
          <w:bCs/>
          <w:color w:val="auto"/>
          <w:sz w:val="28"/>
          <w:szCs w:val="28"/>
          <w:lang w:val="en-US" w:eastAsia="zh-CN"/>
        </w:rPr>
        <w:t>采购</w:t>
      </w:r>
      <w:r>
        <w:rPr>
          <w:rFonts w:hint="eastAsia"/>
          <w:b/>
          <w:bCs/>
          <w:sz w:val="28"/>
          <w:szCs w:val="28"/>
          <w:lang w:val="en-US" w:eastAsia="zh-CN"/>
        </w:rPr>
        <w:t>技术指标</w:t>
      </w:r>
      <w:r>
        <w:rPr>
          <w:rFonts w:hint="eastAsia"/>
          <w:b/>
          <w:bCs/>
          <w:strike w:val="0"/>
          <w:dstrike w:val="0"/>
          <w:color w:val="auto"/>
          <w:sz w:val="28"/>
          <w:szCs w:val="28"/>
          <w:highlight w:val="none"/>
          <w:lang w:val="en-US" w:eastAsia="zh-CN"/>
        </w:rPr>
        <w:t>（</w:t>
      </w:r>
      <w:r>
        <w:rPr>
          <w:rFonts w:hint="eastAsia" w:ascii="宋体" w:hAnsi="宋体" w:eastAsia="宋体" w:cs="宋体"/>
          <w:strike w:val="0"/>
          <w:dstrike w:val="0"/>
          <w:color w:val="auto"/>
          <w:sz w:val="28"/>
          <w:szCs w:val="28"/>
          <w:highlight w:val="none"/>
        </w:rPr>
        <w:t>NB-SH-T 0527-2019</w:t>
      </w:r>
      <w:r>
        <w:rPr>
          <w:rFonts w:hint="eastAsia"/>
          <w:b/>
          <w:bCs/>
          <w:strike w:val="0"/>
          <w:dstrike w:val="0"/>
          <w:color w:val="auto"/>
          <w:sz w:val="28"/>
          <w:szCs w:val="28"/>
          <w:highlight w:val="none"/>
          <w:lang w:val="en-US" w:eastAsia="zh-CN"/>
        </w:rPr>
        <w:t>）</w:t>
      </w:r>
    </w:p>
    <w:p>
      <w:pPr>
        <w:pStyle w:val="5"/>
        <w:keepNext w:val="0"/>
        <w:keepLines w:val="0"/>
        <w:pageBreakBefore w:val="0"/>
        <w:widowControl w:val="0"/>
        <w:tabs>
          <w:tab w:val="left" w:pos="3330"/>
        </w:tabs>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10"/>
          <w:sz w:val="24"/>
          <w:szCs w:val="22"/>
          <w:lang w:val="en-US" w:eastAsia="zh-CN" w:bidi="ar-SA"/>
        </w:rPr>
      </w:pPr>
      <w:r>
        <w:rPr>
          <w:rFonts w:hint="eastAsia" w:ascii="宋体" w:hAnsi="宋体" w:eastAsia="宋体" w:cs="宋体"/>
          <w:b w:val="0"/>
          <w:bCs w:val="0"/>
          <w:color w:val="auto"/>
          <w:kern w:val="10"/>
          <w:sz w:val="24"/>
          <w:szCs w:val="22"/>
          <w:lang w:val="en-US" w:eastAsia="zh-CN" w:bidi="ar-SA"/>
        </w:rPr>
        <w:t>石油焦（生焦）技术要求和试验方法</w:t>
      </w:r>
    </w:p>
    <w:tbl>
      <w:tblPr>
        <w:tblStyle w:val="9"/>
        <w:tblW w:w="935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31"/>
        <w:gridCol w:w="1305"/>
        <w:gridCol w:w="1605"/>
        <w:gridCol w:w="1412"/>
        <w:gridCol w:w="27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blHeader/>
          <w:jc w:val="center"/>
        </w:trPr>
        <w:tc>
          <w:tcPr>
            <w:tcW w:w="2331" w:type="dxa"/>
            <w:vMerge w:val="restart"/>
            <w:tcBorders>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color w:val="auto"/>
                <w:kern w:val="10"/>
                <w:sz w:val="21"/>
                <w:szCs w:val="21"/>
                <w:lang w:val="en-US" w:eastAsia="zh-CN"/>
              </w:rPr>
            </w:pPr>
          </w:p>
          <w:p>
            <w:pPr>
              <w:ind w:firstLine="211" w:firstLineChars="100"/>
              <w:jc w:val="center"/>
              <w:rPr>
                <w:rFonts w:hint="eastAsia" w:ascii="宋体" w:hAnsi="宋体" w:eastAsia="宋体" w:cs="宋体"/>
                <w:b/>
                <w:bCs/>
                <w:color w:val="auto"/>
                <w:kern w:val="10"/>
                <w:sz w:val="21"/>
                <w:szCs w:val="21"/>
                <w:lang w:val="en-US" w:eastAsia="zh-CN"/>
              </w:rPr>
            </w:pPr>
            <w:r>
              <w:rPr>
                <w:rFonts w:hint="eastAsia" w:ascii="宋体" w:hAnsi="宋体" w:eastAsia="宋体" w:cs="宋体"/>
                <w:b/>
                <w:bCs/>
                <w:color w:val="auto"/>
                <w:kern w:val="10"/>
                <w:sz w:val="21"/>
                <w:szCs w:val="21"/>
                <w:lang w:val="en-US" w:eastAsia="zh-CN"/>
              </w:rPr>
              <w:t>项</w:t>
            </w:r>
            <w:r>
              <w:rPr>
                <w:rFonts w:hint="eastAsia" w:ascii="宋体" w:hAnsi="宋体" w:eastAsia="宋体" w:cs="宋体"/>
                <w:b/>
                <w:bCs/>
                <w:color w:val="auto"/>
                <w:kern w:val="10"/>
                <w:sz w:val="21"/>
                <w:szCs w:val="21"/>
                <w:lang w:val="en-US" w:eastAsia="zh-CN"/>
              </w:rPr>
              <w:tab/>
            </w:r>
            <w:r>
              <w:rPr>
                <w:rFonts w:hint="eastAsia" w:ascii="宋体" w:hAnsi="宋体" w:eastAsia="宋体" w:cs="宋体"/>
                <w:b/>
                <w:bCs/>
                <w:color w:val="auto"/>
                <w:kern w:val="10"/>
                <w:sz w:val="21"/>
                <w:szCs w:val="21"/>
                <w:lang w:val="en-US" w:eastAsia="zh-CN"/>
              </w:rPr>
              <w:t>目</w:t>
            </w:r>
          </w:p>
        </w:tc>
        <w:tc>
          <w:tcPr>
            <w:tcW w:w="4322" w:type="dxa"/>
            <w:gridSpan w:val="3"/>
            <w:tcBorders>
              <w:left w:val="single" w:color="000000"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10"/>
                <w:sz w:val="21"/>
                <w:szCs w:val="21"/>
                <w:lang w:val="en-US" w:eastAsia="zh-CN"/>
              </w:rPr>
            </w:pPr>
            <w:r>
              <w:rPr>
                <w:rFonts w:hint="eastAsia" w:ascii="宋体" w:hAnsi="宋体" w:eastAsia="宋体" w:cs="宋体"/>
                <w:b/>
                <w:bCs/>
                <w:color w:val="auto"/>
                <w:kern w:val="10"/>
                <w:sz w:val="21"/>
                <w:szCs w:val="21"/>
                <w:lang w:val="en-US" w:eastAsia="zh-CN"/>
              </w:rPr>
              <w:t>质量指标</w:t>
            </w:r>
          </w:p>
        </w:tc>
        <w:tc>
          <w:tcPr>
            <w:tcW w:w="2700" w:type="dxa"/>
            <w:vMerge w:val="restart"/>
            <w:tcBorders>
              <w:left w:val="single" w:color="000000" w:sz="4" w:space="0"/>
            </w:tcBorders>
            <w:vAlign w:val="top"/>
          </w:tcPr>
          <w:p>
            <w:pPr>
              <w:ind w:firstLine="210" w:firstLineChars="100"/>
              <w:jc w:val="center"/>
              <w:rPr>
                <w:rFonts w:hint="eastAsia" w:ascii="宋体" w:hAnsi="宋体" w:eastAsia="宋体" w:cs="宋体"/>
                <w:b w:val="0"/>
                <w:bCs w:val="0"/>
                <w:color w:val="auto"/>
                <w:kern w:val="10"/>
                <w:sz w:val="21"/>
                <w:szCs w:val="21"/>
                <w:lang w:val="en-US" w:eastAsia="zh-CN"/>
              </w:rPr>
            </w:pPr>
          </w:p>
          <w:p>
            <w:pPr>
              <w:ind w:firstLine="211" w:firstLineChars="100"/>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bCs/>
                <w:color w:val="auto"/>
                <w:kern w:val="10"/>
                <w:sz w:val="21"/>
                <w:szCs w:val="21"/>
                <w:lang w:val="en-US" w:eastAsia="zh-CN"/>
              </w:rPr>
              <w:t>试验方法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blHeader/>
          <w:jc w:val="center"/>
        </w:trPr>
        <w:tc>
          <w:tcPr>
            <w:tcW w:w="2331" w:type="dxa"/>
            <w:vMerge w:val="continue"/>
            <w:tcBorders>
              <w:right w:val="single" w:color="000000" w:sz="4" w:space="0"/>
            </w:tcBorders>
          </w:tcPr>
          <w:p>
            <w:pPr>
              <w:ind w:firstLine="211" w:firstLineChars="100"/>
              <w:jc w:val="center"/>
              <w:rPr>
                <w:rFonts w:hint="eastAsia" w:ascii="宋体" w:hAnsi="宋体" w:eastAsia="宋体" w:cs="宋体"/>
                <w:b/>
                <w:bCs/>
                <w:color w:val="auto"/>
                <w:kern w:val="10"/>
                <w:sz w:val="21"/>
                <w:szCs w:val="21"/>
                <w:lang w:val="en-US" w:eastAsia="zh-CN"/>
              </w:rPr>
            </w:pPr>
          </w:p>
        </w:tc>
        <w:tc>
          <w:tcPr>
            <w:tcW w:w="1305"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b/>
                <w:bCs/>
                <w:color w:val="auto"/>
                <w:kern w:val="10"/>
                <w:sz w:val="21"/>
                <w:szCs w:val="21"/>
                <w:lang w:val="en-US" w:eastAsia="zh-CN"/>
              </w:rPr>
            </w:pPr>
            <w:r>
              <w:rPr>
                <w:rFonts w:hint="eastAsia" w:ascii="宋体" w:hAnsi="宋体" w:eastAsia="宋体" w:cs="宋体"/>
                <w:b/>
                <w:bCs/>
                <w:color w:val="auto"/>
                <w:kern w:val="10"/>
                <w:sz w:val="21"/>
                <w:szCs w:val="21"/>
                <w:lang w:val="en-US" w:eastAsia="zh-CN"/>
              </w:rPr>
              <w:t>低硫石油焦</w:t>
            </w:r>
          </w:p>
        </w:tc>
        <w:tc>
          <w:tcPr>
            <w:tcW w:w="1605"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b/>
                <w:bCs/>
                <w:color w:val="auto"/>
                <w:kern w:val="10"/>
                <w:sz w:val="21"/>
                <w:szCs w:val="21"/>
                <w:lang w:val="en-US" w:eastAsia="zh-CN"/>
              </w:rPr>
            </w:pPr>
            <w:r>
              <w:rPr>
                <w:rFonts w:hint="eastAsia" w:ascii="宋体" w:hAnsi="宋体" w:eastAsia="宋体" w:cs="宋体"/>
                <w:b/>
                <w:bCs/>
                <w:color w:val="auto"/>
                <w:kern w:val="10"/>
                <w:sz w:val="21"/>
                <w:szCs w:val="21"/>
                <w:lang w:val="en-US" w:eastAsia="zh-CN"/>
              </w:rPr>
              <w:t>中硫石油焦</w:t>
            </w:r>
          </w:p>
        </w:tc>
        <w:tc>
          <w:tcPr>
            <w:tcW w:w="1412" w:type="dxa"/>
            <w:tcBorders>
              <w:top w:val="single" w:color="000000" w:sz="4" w:space="0"/>
              <w:left w:val="single" w:color="000000" w:sz="4" w:space="0"/>
              <w:right w:val="single" w:color="auto" w:sz="4" w:space="0"/>
            </w:tcBorders>
            <w:vAlign w:val="center"/>
          </w:tcPr>
          <w:p>
            <w:pPr>
              <w:jc w:val="center"/>
              <w:rPr>
                <w:rFonts w:hint="eastAsia" w:ascii="宋体" w:hAnsi="宋体" w:eastAsia="宋体" w:cs="宋体"/>
                <w:b/>
                <w:bCs/>
                <w:color w:val="auto"/>
                <w:kern w:val="10"/>
                <w:sz w:val="21"/>
                <w:szCs w:val="21"/>
                <w:lang w:val="en-US" w:eastAsia="zh-CN"/>
              </w:rPr>
            </w:pPr>
            <w:r>
              <w:rPr>
                <w:rFonts w:hint="eastAsia" w:ascii="宋体" w:hAnsi="宋体" w:eastAsia="宋体" w:cs="宋体"/>
                <w:b/>
                <w:bCs/>
                <w:color w:val="auto"/>
                <w:kern w:val="10"/>
                <w:sz w:val="21"/>
                <w:szCs w:val="21"/>
                <w:lang w:val="en-US" w:eastAsia="zh-CN"/>
              </w:rPr>
              <w:t>高硫石油焦</w:t>
            </w:r>
          </w:p>
        </w:tc>
        <w:tc>
          <w:tcPr>
            <w:tcW w:w="2700" w:type="dxa"/>
            <w:vMerge w:val="continue"/>
            <w:tcBorders>
              <w:left w:val="single" w:color="000000" w:sz="4" w:space="0"/>
            </w:tcBorders>
          </w:tcPr>
          <w:p>
            <w:pPr>
              <w:ind w:firstLine="210" w:firstLineChars="100"/>
              <w:jc w:val="center"/>
              <w:rPr>
                <w:rFonts w:hint="eastAsia" w:ascii="宋体" w:hAnsi="宋体" w:eastAsia="宋体" w:cs="宋体"/>
                <w:b w:val="0"/>
                <w:bCs w:val="0"/>
                <w:color w:val="auto"/>
                <w:kern w:val="10"/>
                <w:sz w:val="21"/>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trPr>
        <w:tc>
          <w:tcPr>
            <w:tcW w:w="2331"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硫含量(质量分数）%</w:t>
            </w:r>
          </w:p>
        </w:tc>
        <w:tc>
          <w:tcPr>
            <w:tcW w:w="1305" w:type="dxa"/>
            <w:tcBorders>
              <w:left w:val="single" w:color="000000" w:sz="4" w:space="0"/>
              <w:bottom w:val="single" w:color="000000" w:sz="4" w:space="0"/>
              <w:right w:val="single" w:color="auto" w:sz="4" w:space="0"/>
            </w:tcBorders>
            <w:vAlign w:val="center"/>
          </w:tcPr>
          <w:p>
            <w:pPr>
              <w:jc w:val="center"/>
              <w:rPr>
                <w:rFonts w:hint="default"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t>≤1.0</w:t>
            </w:r>
          </w:p>
        </w:tc>
        <w:tc>
          <w:tcPr>
            <w:tcW w:w="1605" w:type="dxa"/>
            <w:tcBorders>
              <w:left w:val="single" w:color="auto" w:sz="4" w:space="0"/>
              <w:bottom w:val="single" w:color="000000" w:sz="4" w:space="0"/>
              <w:right w:val="single" w:color="auto" w:sz="4" w:space="0"/>
            </w:tcBorders>
            <w:vAlign w:val="center"/>
          </w:tcPr>
          <w:p>
            <w:pPr>
              <w:jc w:val="center"/>
              <w:rPr>
                <w:rFonts w:hint="default"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t>1＜X≤4</w:t>
            </w:r>
          </w:p>
        </w:tc>
        <w:tc>
          <w:tcPr>
            <w:tcW w:w="1412" w:type="dxa"/>
            <w:tcBorders>
              <w:left w:val="single" w:color="auto" w:sz="4" w:space="0"/>
              <w:bottom w:val="single" w:color="000000" w:sz="4" w:space="0"/>
              <w:right w:val="single" w:color="000000" w:sz="4" w:space="0"/>
            </w:tcBorders>
            <w:vAlign w:val="center"/>
          </w:tcPr>
          <w:p>
            <w:pPr>
              <w:jc w:val="center"/>
              <w:rPr>
                <w:rFonts w:hint="default"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t>4＜x≤6</w:t>
            </w:r>
          </w:p>
        </w:tc>
        <w:tc>
          <w:tcPr>
            <w:tcW w:w="2700" w:type="dxa"/>
            <w:tcBorders>
              <w:left w:val="single" w:color="000000" w:sz="4" w:space="0"/>
              <w:bottom w:val="single" w:color="000000" w:sz="4" w:space="0"/>
            </w:tcBorders>
            <w:vAlign w:val="center"/>
          </w:tcPr>
          <w:p>
            <w:pPr>
              <w:ind w:firstLine="210" w:firstLineChars="100"/>
              <w:jc w:val="both"/>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GB/T214-2007中第4章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jc w:val="center"/>
        </w:trPr>
        <w:tc>
          <w:tcPr>
            <w:tcW w:w="2331" w:type="dxa"/>
            <w:tcBorders>
              <w:top w:val="single" w:color="000000" w:sz="4" w:space="0"/>
              <w:bottom w:val="single" w:color="000000" w:sz="4" w:space="0"/>
              <w:right w:val="single" w:color="000000" w:sz="4" w:space="0"/>
            </w:tcBorders>
            <w:vAlign w:val="center"/>
          </w:tcPr>
          <w:p>
            <w:pPr>
              <w:jc w:val="center"/>
              <w:rPr>
                <w:rFonts w:hint="default"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挥发分（质量分数）%</w:t>
            </w:r>
          </w:p>
        </w:tc>
        <w:tc>
          <w:tcPr>
            <w:tcW w:w="1305" w:type="dxa"/>
            <w:tcBorders>
              <w:top w:val="single" w:color="000000" w:sz="4" w:space="0"/>
              <w:left w:val="single" w:color="000000" w:sz="4" w:space="0"/>
              <w:bottom w:val="single" w:color="000000" w:sz="4" w:space="0"/>
              <w:right w:val="single" w:color="auto" w:sz="4" w:space="0"/>
            </w:tcBorders>
            <w:vAlign w:val="top"/>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t>≤10</w:t>
            </w:r>
          </w:p>
        </w:tc>
        <w:tc>
          <w:tcPr>
            <w:tcW w:w="1605" w:type="dxa"/>
            <w:tcBorders>
              <w:top w:val="single" w:color="000000" w:sz="4" w:space="0"/>
              <w:left w:val="single" w:color="auto" w:sz="4" w:space="0"/>
              <w:bottom w:val="single" w:color="000000" w:sz="4" w:space="0"/>
              <w:right w:val="single" w:color="auto" w:sz="4" w:space="0"/>
            </w:tcBorders>
            <w:vAlign w:val="top"/>
          </w:tcPr>
          <w:p>
            <w:pPr>
              <w:tabs>
                <w:tab w:val="left" w:pos="495"/>
              </w:tabs>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≤10</w:t>
            </w:r>
          </w:p>
        </w:tc>
        <w:tc>
          <w:tcPr>
            <w:tcW w:w="1412" w:type="dxa"/>
            <w:tcBorders>
              <w:top w:val="single" w:color="000000" w:sz="4" w:space="0"/>
              <w:left w:val="single" w:color="auto" w:sz="4" w:space="0"/>
              <w:bottom w:val="single" w:color="000000" w:sz="4" w:space="0"/>
              <w:right w:val="single" w:color="000000" w:sz="4" w:space="0"/>
            </w:tcBorders>
            <w:vAlign w:val="top"/>
          </w:tcPr>
          <w:p>
            <w:pPr>
              <w:tabs>
                <w:tab w:val="left" w:pos="495"/>
              </w:tabs>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≤10</w:t>
            </w:r>
          </w:p>
        </w:tc>
        <w:tc>
          <w:tcPr>
            <w:tcW w:w="2700" w:type="dxa"/>
            <w:tcBorders>
              <w:top w:val="single" w:color="000000" w:sz="4" w:space="0"/>
              <w:left w:val="single" w:color="000000" w:sz="4" w:space="0"/>
              <w:bottom w:val="single" w:color="000000" w:sz="4" w:space="0"/>
            </w:tcBorders>
          </w:tcPr>
          <w:p>
            <w:pPr>
              <w:pStyle w:val="5"/>
              <w:keepNext w:val="0"/>
              <w:keepLines w:val="0"/>
              <w:pageBreakBefore w:val="0"/>
              <w:widowControl w:val="0"/>
              <w:tabs>
                <w:tab w:val="left" w:pos="3330"/>
              </w:tabs>
              <w:kinsoku/>
              <w:wordWrap/>
              <w:overflowPunct/>
              <w:topLinePunct w:val="0"/>
              <w:bidi w:val="0"/>
              <w:snapToGrid/>
              <w:spacing w:line="240" w:lineRule="auto"/>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SH/T 0026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2331" w:type="dxa"/>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灰分（质量分数）%</w:t>
            </w:r>
          </w:p>
        </w:tc>
        <w:tc>
          <w:tcPr>
            <w:tcW w:w="1305"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≤0.5</w:t>
            </w:r>
          </w:p>
        </w:tc>
        <w:tc>
          <w:tcPr>
            <w:tcW w:w="1605"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≤0.5</w:t>
            </w:r>
          </w:p>
        </w:tc>
        <w:tc>
          <w:tcPr>
            <w:tcW w:w="1412"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≤0.5</w:t>
            </w:r>
          </w:p>
        </w:tc>
        <w:tc>
          <w:tcPr>
            <w:tcW w:w="2700" w:type="dxa"/>
            <w:tcBorders>
              <w:top w:val="single" w:color="000000" w:sz="4" w:space="0"/>
              <w:left w:val="single" w:color="000000" w:sz="4" w:space="0"/>
              <w:bottom w:val="single" w:color="000000" w:sz="4" w:space="0"/>
            </w:tcBorders>
            <w:vAlign w:val="center"/>
          </w:tcPr>
          <w:p>
            <w:pPr>
              <w:pStyle w:val="5"/>
              <w:keepNext w:val="0"/>
              <w:keepLines w:val="0"/>
              <w:pageBreakBefore w:val="0"/>
              <w:widowControl w:val="0"/>
              <w:tabs>
                <w:tab w:val="left" w:pos="3330"/>
              </w:tabs>
              <w:kinsoku/>
              <w:wordWrap/>
              <w:overflowPunct/>
              <w:topLinePunct w:val="0"/>
              <w:bidi w:val="0"/>
              <w:snapToGrid/>
              <w:spacing w:line="240" w:lineRule="auto"/>
              <w:ind w:firstLine="210" w:firstLineChars="100"/>
              <w:jc w:val="both"/>
              <w:textAlignment w:val="auto"/>
              <w:rPr>
                <w:rFonts w:hint="default"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SH/T 0029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2331" w:type="dxa"/>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总水分（质量分数）%</w:t>
            </w:r>
          </w:p>
        </w:tc>
        <w:tc>
          <w:tcPr>
            <w:tcW w:w="1305"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≤8.0</w:t>
            </w:r>
          </w:p>
        </w:tc>
        <w:tc>
          <w:tcPr>
            <w:tcW w:w="1605"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≤8.0</w:t>
            </w:r>
          </w:p>
        </w:tc>
        <w:tc>
          <w:tcPr>
            <w:tcW w:w="1412"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≤8.0</w:t>
            </w:r>
          </w:p>
        </w:tc>
        <w:tc>
          <w:tcPr>
            <w:tcW w:w="2700" w:type="dxa"/>
            <w:tcBorders>
              <w:top w:val="single" w:color="000000" w:sz="4" w:space="0"/>
              <w:left w:val="single" w:color="000000" w:sz="4" w:space="0"/>
              <w:bottom w:val="single" w:color="000000" w:sz="4" w:space="0"/>
            </w:tcBorders>
            <w:vAlign w:val="center"/>
          </w:tcPr>
          <w:p>
            <w:pPr>
              <w:pStyle w:val="5"/>
              <w:keepNext w:val="0"/>
              <w:keepLines w:val="0"/>
              <w:pageBreakBefore w:val="0"/>
              <w:widowControl w:val="0"/>
              <w:tabs>
                <w:tab w:val="left" w:pos="3330"/>
              </w:tabs>
              <w:kinsoku/>
              <w:wordWrap/>
              <w:overflowPunct/>
              <w:topLinePunct w:val="0"/>
              <w:bidi w:val="0"/>
              <w:snapToGrid/>
              <w:spacing w:line="240" w:lineRule="auto"/>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SH/T 0032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jc w:val="center"/>
        </w:trPr>
        <w:tc>
          <w:tcPr>
            <w:tcW w:w="2331" w:type="dxa"/>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粉焦量（</w:t>
            </w:r>
            <w:r>
              <w:rPr>
                <w:rFonts w:hint="default" w:ascii="Times New Roman" w:hAnsi="Times New Roman" w:eastAsia="宋体" w:cs="Times New Roman"/>
                <w:b w:val="0"/>
                <w:bCs w:val="0"/>
                <w:color w:val="auto"/>
                <w:kern w:val="10"/>
                <w:sz w:val="21"/>
                <w:szCs w:val="21"/>
                <w:lang w:val="en-US" w:eastAsia="zh-CN"/>
              </w:rPr>
              <w:t>&lt;</w:t>
            </w:r>
            <w:r>
              <w:rPr>
                <w:rFonts w:hint="eastAsia" w:ascii="宋体" w:hAnsi="宋体" w:eastAsia="宋体" w:cs="宋体"/>
                <w:b w:val="0"/>
                <w:bCs w:val="0"/>
                <w:color w:val="auto"/>
                <w:kern w:val="10"/>
                <w:sz w:val="21"/>
                <w:szCs w:val="21"/>
                <w:lang w:val="en-US" w:eastAsia="zh-CN"/>
              </w:rPr>
              <w:t>8mm）%</w:t>
            </w:r>
          </w:p>
        </w:tc>
        <w:tc>
          <w:tcPr>
            <w:tcW w:w="1305"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≤55</w:t>
            </w:r>
          </w:p>
        </w:tc>
        <w:tc>
          <w:tcPr>
            <w:tcW w:w="1605"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≤55</w:t>
            </w:r>
          </w:p>
        </w:tc>
        <w:tc>
          <w:tcPr>
            <w:tcW w:w="1412"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≤55</w:t>
            </w:r>
          </w:p>
        </w:tc>
        <w:tc>
          <w:tcPr>
            <w:tcW w:w="2700" w:type="dxa"/>
            <w:tcBorders>
              <w:top w:val="single" w:color="000000" w:sz="4" w:space="0"/>
              <w:left w:val="single" w:color="000000" w:sz="4" w:space="0"/>
              <w:bottom w:val="single" w:color="000000" w:sz="4" w:space="0"/>
            </w:tcBorders>
            <w:vAlign w:val="center"/>
          </w:tcPr>
          <w:p>
            <w:pPr>
              <w:ind w:firstLine="210" w:firstLineChars="100"/>
              <w:jc w:val="both"/>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NB/SH/T 0527-2019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331" w:type="dxa"/>
            <w:tcBorders>
              <w:top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kern w:val="10"/>
                <w:sz w:val="21"/>
                <w:szCs w:val="21"/>
                <w:highlight w:val="yellow"/>
                <w:lang w:val="en-US" w:eastAsia="zh-CN"/>
              </w:rPr>
            </w:pPr>
            <w:r>
              <w:rPr>
                <w:rFonts w:hint="eastAsia" w:ascii="宋体" w:hAnsi="宋体" w:eastAsia="宋体" w:cs="宋体"/>
                <w:b w:val="0"/>
                <w:bCs w:val="0"/>
                <w:color w:val="auto"/>
                <w:kern w:val="10"/>
                <w:sz w:val="21"/>
                <w:szCs w:val="21"/>
                <w:highlight w:val="none"/>
                <w:lang w:val="en-US" w:eastAsia="zh-CN"/>
              </w:rPr>
              <w:t>钒含量ppm</w:t>
            </w:r>
          </w:p>
        </w:tc>
        <w:tc>
          <w:tcPr>
            <w:tcW w:w="1305" w:type="dxa"/>
            <w:tcBorders>
              <w:top w:val="single" w:color="000000" w:sz="4" w:space="0"/>
              <w:left w:val="single" w:color="000000"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≤100</w:t>
            </w:r>
          </w:p>
        </w:tc>
        <w:tc>
          <w:tcPr>
            <w:tcW w:w="1605" w:type="dxa"/>
            <w:tcBorders>
              <w:top w:val="single" w:color="000000"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≤550</w:t>
            </w:r>
          </w:p>
        </w:tc>
        <w:tc>
          <w:tcPr>
            <w:tcW w:w="1412" w:type="dxa"/>
            <w:tcBorders>
              <w:top w:val="single" w:color="000000" w:sz="4" w:space="0"/>
              <w:left w:val="single" w:color="auto"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≤600</w:t>
            </w:r>
          </w:p>
        </w:tc>
        <w:tc>
          <w:tcPr>
            <w:tcW w:w="2700" w:type="dxa"/>
            <w:tcBorders>
              <w:top w:val="single" w:color="000000" w:sz="4" w:space="0"/>
              <w:left w:val="single" w:color="000000" w:sz="4" w:space="0"/>
              <w:bottom w:val="single" w:color="auto" w:sz="4" w:space="0"/>
            </w:tcBorders>
          </w:tcPr>
          <w:p>
            <w:pPr>
              <w:pStyle w:val="5"/>
              <w:keepNext w:val="0"/>
              <w:keepLines w:val="0"/>
              <w:pageBreakBefore w:val="0"/>
              <w:widowControl w:val="0"/>
              <w:tabs>
                <w:tab w:val="left" w:pos="3330"/>
              </w:tabs>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YS/T 63.16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jc w:val="center"/>
        </w:trPr>
        <w:tc>
          <w:tcPr>
            <w:tcW w:w="2331" w:type="dxa"/>
            <w:tcBorders>
              <w:top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auto"/>
                <w:kern w:val="10"/>
                <w:sz w:val="21"/>
                <w:szCs w:val="21"/>
                <w:highlight w:val="yellow"/>
                <w:lang w:val="en-US" w:eastAsia="zh-CN"/>
              </w:rPr>
            </w:pPr>
            <w:r>
              <w:rPr>
                <w:rFonts w:hint="eastAsia" w:ascii="宋体" w:hAnsi="宋体" w:eastAsia="宋体" w:cs="宋体"/>
                <w:b w:val="0"/>
                <w:bCs w:val="0"/>
                <w:color w:val="auto"/>
                <w:kern w:val="10"/>
                <w:sz w:val="21"/>
                <w:szCs w:val="21"/>
                <w:highlight w:val="none"/>
                <w:lang w:val="en-US" w:eastAsia="zh-CN"/>
              </w:rPr>
              <w:t>铁含量ppm</w:t>
            </w:r>
          </w:p>
        </w:tc>
        <w:tc>
          <w:tcPr>
            <w:tcW w:w="4322" w:type="dxa"/>
            <w:gridSpan w:val="3"/>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auto"/>
                <w:kern w:val="10"/>
                <w:sz w:val="21"/>
                <w:szCs w:val="21"/>
                <w:highlight w:val="none"/>
                <w:lang w:val="en-US" w:eastAsia="zh-CN"/>
              </w:rPr>
              <w:t>≤400</w:t>
            </w:r>
          </w:p>
        </w:tc>
        <w:tc>
          <w:tcPr>
            <w:tcW w:w="2700" w:type="dxa"/>
            <w:tcBorders>
              <w:top w:val="single" w:color="000000" w:sz="4" w:space="0"/>
              <w:left w:val="single" w:color="000000" w:sz="4" w:space="0"/>
              <w:bottom w:val="single" w:color="auto" w:sz="4" w:space="0"/>
            </w:tcBorders>
          </w:tcPr>
          <w:p>
            <w:pPr>
              <w:pStyle w:val="5"/>
              <w:keepNext w:val="0"/>
              <w:keepLines w:val="0"/>
              <w:pageBreakBefore w:val="0"/>
              <w:widowControl w:val="0"/>
              <w:tabs>
                <w:tab w:val="left" w:pos="3330"/>
              </w:tabs>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YS/T 63.16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auto"/>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硅含量ppm</w:t>
            </w:r>
          </w:p>
        </w:tc>
        <w:tc>
          <w:tcPr>
            <w:tcW w:w="4322" w:type="dxa"/>
            <w:gridSpan w:val="3"/>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FF0000"/>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≤300</w:t>
            </w:r>
          </w:p>
        </w:tc>
        <w:tc>
          <w:tcPr>
            <w:tcW w:w="2700" w:type="dxa"/>
            <w:tcBorders>
              <w:top w:val="single" w:color="000000" w:sz="4" w:space="0"/>
              <w:left w:val="single" w:color="000000"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YS/T 63.16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auto"/>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钠含量ppm</w:t>
            </w:r>
          </w:p>
        </w:tc>
        <w:tc>
          <w:tcPr>
            <w:tcW w:w="4322" w:type="dxa"/>
            <w:gridSpan w:val="3"/>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FF0000"/>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≤300</w:t>
            </w:r>
          </w:p>
        </w:tc>
        <w:tc>
          <w:tcPr>
            <w:tcW w:w="2700" w:type="dxa"/>
            <w:tcBorders>
              <w:top w:val="single" w:color="000000" w:sz="4" w:space="0"/>
              <w:left w:val="single" w:color="000000"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YS/T 63.16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jc w:val="center"/>
        </w:trPr>
        <w:tc>
          <w:tcPr>
            <w:tcW w:w="2331" w:type="dxa"/>
            <w:tcBorders>
              <w:top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微量元素含量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(钙、镍等)</w:t>
            </w:r>
          </w:p>
        </w:tc>
        <w:tc>
          <w:tcPr>
            <w:tcW w:w="4322" w:type="dxa"/>
            <w:gridSpan w:val="3"/>
            <w:tcBorders>
              <w:top w:val="single" w:color="auto"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当生产过程中需要控制时，由生产技术部门下发指标要求，并在采购合同中注明。</w:t>
            </w:r>
          </w:p>
        </w:tc>
        <w:tc>
          <w:tcPr>
            <w:tcW w:w="2700" w:type="dxa"/>
            <w:tcBorders>
              <w:top w:val="single" w:color="auto" w:sz="4" w:space="0"/>
              <w:left w:val="single" w:color="000000" w:sz="4" w:space="0"/>
              <w:bottom w:val="single" w:color="000000" w:sz="4" w:space="0"/>
            </w:tcBorders>
            <w:vAlign w:val="center"/>
          </w:tcPr>
          <w:p>
            <w:pPr>
              <w:pStyle w:val="5"/>
              <w:keepNext w:val="0"/>
              <w:keepLines w:val="0"/>
              <w:pageBreakBefore w:val="0"/>
              <w:widowControl w:val="0"/>
              <w:tabs>
                <w:tab w:val="left" w:pos="3330"/>
              </w:tabs>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YS/T 63.16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jc w:val="center"/>
        </w:trPr>
        <w:tc>
          <w:tcPr>
            <w:tcW w:w="9353" w:type="dxa"/>
            <w:gridSpan w:val="5"/>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630" w:hanging="630" w:hangingChars="300"/>
              <w:jc w:val="left"/>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备注：以上质量指标要求主要适用于地方炼油厂及国外进口的石油焦，国内“三桶油”（即：中石油、中石化、中海油）生产的石油焦，需公司先对其进行取样检测，分析数据符合公司使用的石油焦指标要求后，再决定是否进行采购使用，技术指标及试验方法以实际取样检测化验为准。</w:t>
            </w:r>
          </w:p>
        </w:tc>
      </w:tr>
    </w:tbl>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rPr>
        <w:t>、</w:t>
      </w:r>
      <w:r>
        <w:rPr>
          <w:rFonts w:hint="eastAsia" w:ascii="宋体" w:hAnsi="宋体" w:cs="宋体"/>
          <w:b/>
          <w:bCs/>
          <w:sz w:val="28"/>
          <w:szCs w:val="28"/>
          <w:lang w:val="en-US" w:eastAsia="zh-CN"/>
        </w:rPr>
        <w:t>石油焦</w:t>
      </w:r>
      <w:r>
        <w:rPr>
          <w:rFonts w:hint="eastAsia" w:ascii="宋体" w:hAnsi="宋体" w:eastAsia="宋体" w:cs="宋体"/>
          <w:b/>
          <w:bCs/>
          <w:sz w:val="28"/>
          <w:szCs w:val="28"/>
          <w:lang w:eastAsia="zh-CN"/>
        </w:rPr>
        <w:t>采购量</w:t>
      </w:r>
      <w:r>
        <w:rPr>
          <w:rFonts w:hint="eastAsia" w:ascii="宋体" w:hAnsi="宋体" w:eastAsia="宋体" w:cs="宋体"/>
          <w:b/>
          <w:bCs/>
          <w:sz w:val="28"/>
          <w:szCs w:val="28"/>
        </w:rPr>
        <w:t>及理化性能质量细则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rPr>
        <w:t xml:space="preserve">.1 </w:t>
      </w:r>
      <w:r>
        <w:rPr>
          <w:rFonts w:hint="eastAsia" w:ascii="宋体" w:hAnsi="宋体" w:cs="宋体"/>
          <w:sz w:val="28"/>
          <w:szCs w:val="28"/>
          <w:lang w:val="en-US" w:eastAsia="zh-CN"/>
        </w:rPr>
        <w:t>石油焦</w:t>
      </w:r>
      <w:r>
        <w:rPr>
          <w:rFonts w:hint="eastAsia" w:ascii="宋体" w:hAnsi="宋体" w:eastAsia="宋体" w:cs="宋体"/>
          <w:sz w:val="28"/>
          <w:szCs w:val="28"/>
          <w:lang w:eastAsia="zh-CN"/>
        </w:rPr>
        <w:t>采购</w:t>
      </w:r>
      <w:r>
        <w:rPr>
          <w:rFonts w:hint="eastAsia" w:ascii="宋体" w:hAnsi="宋体" w:eastAsia="宋体" w:cs="宋体"/>
          <w:sz w:val="28"/>
          <w:szCs w:val="28"/>
        </w:rPr>
        <w:t>量</w:t>
      </w:r>
      <w:r>
        <w:rPr>
          <w:rFonts w:hint="eastAsia" w:ascii="宋体" w:hAnsi="宋体" w:eastAsia="宋体" w:cs="宋体"/>
          <w:sz w:val="28"/>
          <w:szCs w:val="28"/>
          <w:lang w:eastAsia="zh-CN"/>
        </w:rPr>
        <w:t>：</w:t>
      </w:r>
      <w:r>
        <w:rPr>
          <w:rFonts w:hint="eastAsia" w:ascii="宋体" w:hAnsi="宋体" w:cs="宋体"/>
          <w:sz w:val="28"/>
          <w:szCs w:val="28"/>
          <w:lang w:val="en-US" w:eastAsia="zh-CN"/>
        </w:rPr>
        <w:t>5</w:t>
      </w:r>
      <w:r>
        <w:rPr>
          <w:rFonts w:hint="eastAsia" w:asciiTheme="minorEastAsia" w:hAnsiTheme="minorEastAsia" w:eastAsiaTheme="minorEastAsia" w:cstheme="minorEastAsia"/>
          <w:i w:val="0"/>
          <w:iCs w:val="0"/>
          <w:color w:val="000000"/>
          <w:kern w:val="0"/>
          <w:sz w:val="28"/>
          <w:szCs w:val="28"/>
          <w:u w:val="none"/>
          <w:lang w:val="en-US" w:eastAsia="zh-CN" w:bidi="ar"/>
        </w:rPr>
        <w:t>0000</w:t>
      </w:r>
      <w:r>
        <w:rPr>
          <w:rFonts w:hint="eastAsia" w:asciiTheme="minorEastAsia" w:hAnsiTheme="minorEastAsia" w:eastAsiaTheme="minorEastAsia" w:cstheme="minorEastAsia"/>
          <w:sz w:val="28"/>
          <w:szCs w:val="28"/>
        </w:rPr>
        <w:t>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详见《石油焦供货时间表》</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宋体" w:hAnsi="宋体" w:eastAsia="宋体" w:cs="宋体"/>
          <w:sz w:val="21"/>
          <w:szCs w:val="21"/>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rPr>
        <w:t xml:space="preserve">.2 </w:t>
      </w:r>
      <w:r>
        <w:rPr>
          <w:rFonts w:hint="eastAsia" w:ascii="宋体" w:hAnsi="宋体" w:cs="宋体"/>
          <w:sz w:val="28"/>
          <w:szCs w:val="28"/>
          <w:lang w:val="en-US" w:eastAsia="zh-CN"/>
        </w:rPr>
        <w:t>石油焦</w:t>
      </w:r>
      <w:r>
        <w:rPr>
          <w:rFonts w:hint="eastAsia" w:ascii="宋体" w:hAnsi="宋体" w:eastAsia="宋体" w:cs="宋体"/>
          <w:sz w:val="28"/>
          <w:szCs w:val="28"/>
        </w:rPr>
        <w:t>理化</w:t>
      </w:r>
      <w:r>
        <w:rPr>
          <w:rFonts w:hint="eastAsia" w:ascii="宋体" w:hAnsi="宋体" w:cs="宋体"/>
          <w:sz w:val="28"/>
          <w:szCs w:val="28"/>
          <w:lang w:val="en-US" w:eastAsia="zh-CN"/>
        </w:rPr>
        <w:t>质量扣重细则</w:t>
      </w:r>
    </w:p>
    <w:p>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outlineLvl w:val="3"/>
        <w:rPr>
          <w:rFonts w:hint="eastAsia" w:ascii="宋体" w:hAnsi="宋体" w:eastAsia="黑体" w:cs="Times New Roman"/>
          <w:b w:val="0"/>
          <w:bCs w:val="0"/>
          <w:kern w:val="10"/>
          <w:sz w:val="24"/>
          <w:lang w:val="en-US" w:eastAsia="zh-CN"/>
        </w:rPr>
      </w:pPr>
      <w:r>
        <w:rPr>
          <w:rFonts w:hint="eastAsia" w:ascii="宋体" w:hAnsi="宋体" w:eastAsia="宋体" w:cs="宋体"/>
          <w:b w:val="0"/>
          <w:bCs w:val="0"/>
          <w:color w:val="auto"/>
          <w:kern w:val="10"/>
          <w:sz w:val="24"/>
          <w:szCs w:val="22"/>
          <w:lang w:val="en-US" w:eastAsia="zh-CN" w:bidi="ar-SA"/>
        </w:rPr>
        <w:t>石油焦质量扣重细则</w:t>
      </w:r>
    </w:p>
    <w:tbl>
      <w:tblPr>
        <w:tblStyle w:val="9"/>
        <w:tblW w:w="97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245"/>
        <w:gridCol w:w="1080"/>
        <w:gridCol w:w="1545"/>
        <w:gridCol w:w="1969"/>
        <w:gridCol w:w="1080"/>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blHeader/>
          <w:jc w:val="center"/>
        </w:trPr>
        <w:tc>
          <w:tcPr>
            <w:tcW w:w="97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石油焦质量</w:t>
            </w:r>
            <w:r>
              <w:rPr>
                <w:rFonts w:hint="eastAsia" w:ascii="宋体" w:hAnsi="宋体" w:cs="宋体"/>
                <w:b/>
                <w:bCs/>
                <w:i w:val="0"/>
                <w:iCs w:val="0"/>
                <w:color w:val="000000"/>
                <w:kern w:val="0"/>
                <w:sz w:val="21"/>
                <w:szCs w:val="21"/>
                <w:highlight w:val="none"/>
                <w:u w:val="none"/>
                <w:lang w:val="en-US" w:eastAsia="zh-CN" w:bidi="ar"/>
              </w:rPr>
              <w:t>扣重</w:t>
            </w:r>
            <w:r>
              <w:rPr>
                <w:rFonts w:hint="eastAsia" w:ascii="宋体" w:hAnsi="宋体" w:eastAsia="宋体" w:cs="宋体"/>
                <w:b/>
                <w:bCs/>
                <w:i w:val="0"/>
                <w:iCs w:val="0"/>
                <w:color w:val="000000"/>
                <w:kern w:val="0"/>
                <w:sz w:val="21"/>
                <w:szCs w:val="21"/>
                <w:highlight w:val="none"/>
                <w:u w:val="none"/>
                <w:lang w:val="en-US" w:eastAsia="zh-CN" w:bidi="ar"/>
              </w:rPr>
              <w:t>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blHeader/>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11" w:firstLineChars="10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子 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合格标准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让步接收标准</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cs="宋体"/>
                <w:b/>
                <w:bCs/>
                <w:i w:val="0"/>
                <w:iCs w:val="0"/>
                <w:color w:val="000000"/>
                <w:kern w:val="0"/>
                <w:sz w:val="21"/>
                <w:szCs w:val="21"/>
                <w:highlight w:val="none"/>
                <w:u w:val="none"/>
                <w:lang w:val="en-US" w:eastAsia="zh-CN" w:bidi="ar"/>
              </w:rPr>
              <w:t>让步接收</w:t>
            </w:r>
            <w:r>
              <w:rPr>
                <w:rFonts w:hint="eastAsia" w:ascii="宋体" w:hAnsi="宋体" w:eastAsia="宋体" w:cs="宋体"/>
                <w:b/>
                <w:bCs/>
                <w:i w:val="0"/>
                <w:iCs w:val="0"/>
                <w:color w:val="000000"/>
                <w:kern w:val="0"/>
                <w:sz w:val="21"/>
                <w:szCs w:val="21"/>
                <w:highlight w:val="none"/>
                <w:u w:val="none"/>
                <w:lang w:val="en-US" w:eastAsia="zh-CN" w:bidi="ar"/>
              </w:rPr>
              <w:t>扣重标准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退货标准</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达退货标准，但</w:t>
            </w:r>
            <w:r>
              <w:rPr>
                <w:rFonts w:hint="eastAsia" w:ascii="宋体" w:hAnsi="宋体" w:cs="宋体"/>
                <w:b/>
                <w:bCs/>
                <w:i w:val="0"/>
                <w:iCs w:val="0"/>
                <w:color w:val="000000"/>
                <w:kern w:val="0"/>
                <w:sz w:val="21"/>
                <w:szCs w:val="21"/>
                <w:highlight w:val="none"/>
                <w:u w:val="none"/>
                <w:lang w:val="en-US" w:eastAsia="zh-CN" w:bidi="ar"/>
              </w:rPr>
              <w:t>已卸货无法退货</w:t>
            </w:r>
            <w:r>
              <w:rPr>
                <w:rFonts w:hint="eastAsia" w:ascii="宋体" w:hAnsi="宋体" w:eastAsia="宋体" w:cs="宋体"/>
                <w:b/>
                <w:bCs/>
                <w:i w:val="0"/>
                <w:iCs w:val="0"/>
                <w:color w:val="000000"/>
                <w:kern w:val="0"/>
                <w:sz w:val="21"/>
                <w:szCs w:val="21"/>
                <w:highlight w:val="none"/>
                <w:u w:val="none"/>
                <w:lang w:val="en-US" w:eastAsia="zh-CN" w:bidi="ar"/>
              </w:rPr>
              <w:t>扣重标准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硫含量%</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(高硫）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6.0＜x≤6.5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每超0.1,扣10kg/吨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x＞6.5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每超0.1,扣20kg/吨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硫含量%</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（中硫）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4.0＜x≤4.5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每超0.1,扣10kg/吨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x＞4.5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每超0.1,扣20kg/吨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硫含量%</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（低硫）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1.0＜x≤1.5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每超0.1,扣10kg/吨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x＞1.5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每超0.1,扣20kg/吨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灰分%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0.5＜x≤0.7</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x＞0.7</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每超0.1扣50kg/吨。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挥发分%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10＜x≤12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按“超一扣一”扣重处理。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x＞12；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按“超一扣三”扣重处理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粉焦量（&lt;8mm）%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55＜x≤60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每增高1，扣款2.5kg/吨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x＞60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每增高1，扣款10kg/吨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水分%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8.0＜x≤10.0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按“超一扣一”扣重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x＞10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按“超一扣三”扣重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钒含量%</w:t>
            </w:r>
          </w:p>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（高硫）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600＜x≤700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x＞700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每超1ppm扣5kg/吨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10" w:firstLineChars="100"/>
              <w:jc w:val="both"/>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钒含量%</w:t>
            </w:r>
          </w:p>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（中硫）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≤550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550＜x≤650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x＞650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每超1ppm扣5kg/吨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钒含量%</w:t>
            </w:r>
          </w:p>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（低硫）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100＜x≤150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x＞150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每超1ppm扣5kg/吨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铁含量（ppm）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400＜x≤450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i w:val="0"/>
                <w:iCs w:val="0"/>
                <w:color w:val="000000"/>
                <w:kern w:val="0"/>
                <w:sz w:val="21"/>
                <w:szCs w:val="21"/>
                <w:highlight w:val="none"/>
                <w:u w:val="none"/>
                <w:lang w:val="en-US" w:eastAsia="zh-CN" w:bidi="ar"/>
              </w:rPr>
              <w:t>每超1ppm，扣2.5kg/吨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x＞450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 1ppm，扣4kg/吨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硅含量（ppm）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300＜x≤350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每超1ppm，扣2.5kg/吨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x＞350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 1ppm，扣4kg/吨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钠含量（ppm）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300＜x≤350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每超1ppm，扣2.5kg/吨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x＞350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 1ppm，扣4kg/吨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w:t>
            </w:r>
          </w:p>
        </w:tc>
        <w:tc>
          <w:tcPr>
            <w:tcW w:w="90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石油焦含有杂质、</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弹丸焦的</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，作退货处理，因退货对需方生产造成影响的，由供方承担相关责任，赔偿所造成的损失。</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ab/>
            </w:r>
            <w:r>
              <w:rPr>
                <w:rFonts w:hint="eastAsia" w:ascii="宋体" w:hAnsi="宋体" w:eastAsia="宋体" w:cs="宋体"/>
                <w:b w:val="0"/>
                <w:bCs w:val="0"/>
                <w:color w:val="000000" w:themeColor="text1"/>
                <w:kern w:val="10"/>
                <w:sz w:val="21"/>
                <w:szCs w:val="21"/>
                <w:highlight w:val="none"/>
                <w:lang w:val="en-US" w:eastAsia="zh-CN" w:bidi="ar-SA"/>
                <w14:textFill>
                  <w14:solidFill>
                    <w14:schemeClr w14:val="tx1"/>
                  </w14:solidFill>
                </w14:textFill>
              </w:rPr>
              <w:tab/>
            </w:r>
          </w:p>
        </w:tc>
      </w:tr>
    </w:tbl>
    <w:p>
      <w:pPr>
        <w:pStyle w:val="14"/>
        <w:pageBreakBefore w:val="0"/>
        <w:widowControl w:val="0"/>
        <w:tabs>
          <w:tab w:val="left" w:pos="900"/>
        </w:tabs>
        <w:kinsoku/>
        <w:wordWrap/>
        <w:overflowPunct/>
        <w:topLinePunct w:val="0"/>
        <w:bidi w:val="0"/>
        <w:snapToGrid w:val="0"/>
        <w:spacing w:line="460" w:lineRule="exact"/>
        <w:ind w:left="0" w:leftChars="0" w:firstLine="0" w:firstLineChars="0"/>
        <w:textAlignment w:val="auto"/>
        <w:rPr>
          <w:rFonts w:hint="eastAsia"/>
          <w:b/>
          <w:bCs/>
          <w:sz w:val="28"/>
          <w:szCs w:val="28"/>
          <w:lang w:val="en-US" w:eastAsia="zh-CN"/>
        </w:rPr>
      </w:pPr>
    </w:p>
    <w:p>
      <w:pPr>
        <w:ind w:firstLine="562" w:firstLineChars="200"/>
        <w:rPr>
          <w:rFonts w:hint="default" w:ascii="宋体" w:hAnsi="宋体" w:cs="宋体"/>
          <w:b/>
          <w:bCs/>
          <w:sz w:val="28"/>
          <w:szCs w:val="28"/>
          <w:lang w:val="en-US" w:eastAsia="zh-CN"/>
        </w:rPr>
      </w:pPr>
      <w:r>
        <w:rPr>
          <w:rFonts w:hint="eastAsia" w:ascii="宋体" w:hAnsi="宋体" w:cs="宋体"/>
          <w:b/>
          <w:bCs/>
          <w:sz w:val="28"/>
          <w:szCs w:val="28"/>
          <w:lang w:val="en-US" w:eastAsia="zh-CN"/>
        </w:rPr>
        <w:t>四、供货技术条件要求</w:t>
      </w:r>
    </w:p>
    <w:p>
      <w:pPr>
        <w:pStyle w:val="14"/>
        <w:keepNext w:val="0"/>
        <w:keepLines w:val="0"/>
        <w:pageBreakBefore w:val="0"/>
        <w:widowControl w:val="0"/>
        <w:tabs>
          <w:tab w:val="left" w:pos="90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cs="宋体"/>
          <w:sz w:val="28"/>
          <w:szCs w:val="28"/>
          <w:lang w:val="en-US" w:eastAsia="zh-CN"/>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提供的</w:t>
      </w:r>
      <w:r>
        <w:rPr>
          <w:rFonts w:hint="eastAsia" w:cs="宋体"/>
          <w:sz w:val="28"/>
          <w:szCs w:val="28"/>
          <w:lang w:val="en-US" w:eastAsia="zh-CN"/>
        </w:rPr>
        <w:t>石油焦</w:t>
      </w:r>
      <w:r>
        <w:rPr>
          <w:rFonts w:hint="eastAsia" w:ascii="宋体" w:hAnsi="宋体" w:eastAsia="宋体" w:cs="宋体"/>
          <w:sz w:val="28"/>
          <w:szCs w:val="28"/>
          <w:lang w:val="en-US" w:eastAsia="zh-CN"/>
        </w:rPr>
        <w:t>必须符合本技术任务书要求，所有材料必须在室内保存，要求有</w:t>
      </w:r>
      <w:r>
        <w:rPr>
          <w:rFonts w:hint="eastAsia" w:ascii="宋体" w:hAnsi="宋体" w:eastAsia="宋体" w:cs="宋体"/>
          <w:sz w:val="28"/>
          <w:szCs w:val="28"/>
        </w:rPr>
        <w:t>防潮、防</w:t>
      </w:r>
      <w:r>
        <w:rPr>
          <w:rFonts w:hint="eastAsia" w:ascii="宋体" w:hAnsi="宋体" w:cs="宋体"/>
          <w:sz w:val="28"/>
          <w:szCs w:val="28"/>
          <w:lang w:val="en-US" w:eastAsia="zh-CN"/>
        </w:rPr>
        <w:t>散落</w:t>
      </w:r>
      <w:r>
        <w:rPr>
          <w:rFonts w:hint="eastAsia" w:cs="宋体"/>
          <w:sz w:val="28"/>
          <w:szCs w:val="28"/>
          <w:lang w:val="en-US" w:eastAsia="zh-CN"/>
        </w:rPr>
        <w:t>、</w:t>
      </w:r>
      <w:r>
        <w:rPr>
          <w:rFonts w:hint="eastAsia" w:cs="宋体"/>
          <w:color w:val="auto"/>
          <w:sz w:val="28"/>
          <w:szCs w:val="28"/>
          <w:lang w:val="en-US" w:eastAsia="zh-CN"/>
        </w:rPr>
        <w:t>防污染</w:t>
      </w:r>
      <w:r>
        <w:rPr>
          <w:rFonts w:hint="eastAsia" w:ascii="宋体" w:hAnsi="宋体" w:eastAsia="宋体" w:cs="宋体"/>
          <w:sz w:val="28"/>
          <w:szCs w:val="28"/>
          <w:lang w:val="en-US" w:eastAsia="zh-CN"/>
        </w:rPr>
        <w:t>等保护措施。</w:t>
      </w:r>
    </w:p>
    <w:p>
      <w:pPr>
        <w:pStyle w:val="14"/>
        <w:keepNext w:val="0"/>
        <w:keepLines w:val="0"/>
        <w:pageBreakBefore w:val="0"/>
        <w:widowControl w:val="0"/>
        <w:tabs>
          <w:tab w:val="left" w:pos="90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cs="宋体"/>
          <w:sz w:val="28"/>
          <w:szCs w:val="28"/>
          <w:lang w:val="en-US" w:eastAsia="zh-CN"/>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所提供的</w:t>
      </w:r>
      <w:r>
        <w:rPr>
          <w:rFonts w:hint="eastAsia" w:cs="宋体"/>
          <w:sz w:val="28"/>
          <w:szCs w:val="28"/>
          <w:lang w:val="en-US" w:eastAsia="zh-CN"/>
        </w:rPr>
        <w:t>石油焦</w:t>
      </w:r>
      <w:r>
        <w:rPr>
          <w:rFonts w:hint="eastAsia" w:ascii="宋体" w:hAnsi="宋体" w:eastAsia="宋体" w:cs="宋体"/>
          <w:sz w:val="28"/>
          <w:szCs w:val="28"/>
          <w:lang w:val="en-US" w:eastAsia="zh-CN"/>
        </w:rPr>
        <w:t>的质量必须满足或优于本技术任务书规定理化指标的要求。</w:t>
      </w:r>
    </w:p>
    <w:p>
      <w:pPr>
        <w:pStyle w:val="14"/>
        <w:keepNext w:val="0"/>
        <w:keepLines w:val="0"/>
        <w:pageBreakBefore w:val="0"/>
        <w:widowControl w:val="0"/>
        <w:tabs>
          <w:tab w:val="left" w:pos="90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宋体" w:hAnsi="宋体" w:eastAsia="宋体" w:cs="宋体"/>
          <w:strike/>
          <w:dstrike w:val="0"/>
          <w:color w:val="auto"/>
          <w:sz w:val="28"/>
          <w:szCs w:val="28"/>
          <w:lang w:val="en-US" w:eastAsia="zh-CN"/>
        </w:rPr>
      </w:pPr>
      <w:r>
        <w:rPr>
          <w:rFonts w:hint="eastAsia" w:ascii="宋体" w:hAnsi="宋体" w:eastAsia="宋体" w:cs="宋体"/>
          <w:sz w:val="28"/>
          <w:szCs w:val="28"/>
          <w:lang w:val="en-US" w:eastAsia="zh-CN"/>
        </w:rPr>
        <w:t>4.</w:t>
      </w:r>
      <w:r>
        <w:rPr>
          <w:rFonts w:hint="eastAsia" w:cs="宋体"/>
          <w:sz w:val="28"/>
          <w:szCs w:val="28"/>
          <w:lang w:val="en-US" w:eastAsia="zh-CN"/>
        </w:rPr>
        <w:t>3</w:t>
      </w:r>
      <w:r>
        <w:rPr>
          <w:rFonts w:hint="eastAsia" w:ascii="宋体" w:hAnsi="宋体" w:eastAsia="宋体" w:cs="宋体"/>
          <w:color w:val="auto"/>
          <w:sz w:val="28"/>
          <w:szCs w:val="28"/>
          <w:lang w:eastAsia="zh-CN"/>
        </w:rPr>
        <w:t>投标方</w:t>
      </w:r>
      <w:r>
        <w:rPr>
          <w:rFonts w:hint="eastAsia" w:ascii="宋体" w:hAnsi="宋体" w:eastAsia="宋体" w:cs="宋体"/>
          <w:color w:val="auto"/>
          <w:sz w:val="28"/>
          <w:szCs w:val="28"/>
          <w:lang w:val="en-US" w:eastAsia="zh-CN"/>
        </w:rPr>
        <w:t>应取得ISO9001质量管理体系认证产品生产许可证</w:t>
      </w:r>
      <w:r>
        <w:rPr>
          <w:rFonts w:hint="eastAsia" w:cs="宋体"/>
          <w:color w:val="auto"/>
          <w:sz w:val="28"/>
          <w:szCs w:val="28"/>
          <w:lang w:val="en-US" w:eastAsia="zh-CN"/>
        </w:rPr>
        <w:t>或</w:t>
      </w:r>
      <w:r>
        <w:rPr>
          <w:rFonts w:hint="eastAsia" w:cs="宋体"/>
          <w:strike w:val="0"/>
          <w:dstrike w:val="0"/>
          <w:color w:val="auto"/>
          <w:sz w:val="28"/>
          <w:szCs w:val="28"/>
          <w:lang w:val="en-US" w:eastAsia="zh-CN"/>
        </w:rPr>
        <w:t>石油焦</w:t>
      </w:r>
      <w:r>
        <w:rPr>
          <w:rFonts w:hint="eastAsia" w:cs="宋体"/>
          <w:color w:val="auto"/>
          <w:sz w:val="28"/>
          <w:szCs w:val="28"/>
          <w:lang w:val="en-US" w:eastAsia="zh-CN"/>
        </w:rPr>
        <w:t>销售资质的营业执照。</w:t>
      </w:r>
    </w:p>
    <w:p>
      <w:pPr>
        <w:ind w:firstLine="562" w:firstLineChars="200"/>
        <w:rPr>
          <w:rFonts w:hint="default" w:ascii="宋体" w:hAnsi="宋体" w:cs="宋体"/>
          <w:b/>
          <w:bCs/>
          <w:sz w:val="28"/>
          <w:szCs w:val="28"/>
          <w:lang w:val="en-US" w:eastAsia="zh-CN"/>
        </w:rPr>
      </w:pPr>
      <w:bookmarkStart w:id="0" w:name="_Toc5922_WPSOffice_Level1"/>
      <w:bookmarkStart w:id="1" w:name="_Toc28525"/>
      <w:bookmarkStart w:id="2" w:name="_Toc25026_WPSOffice_Level1"/>
      <w:bookmarkStart w:id="3" w:name="_Toc12141"/>
      <w:r>
        <w:rPr>
          <w:rFonts w:hint="eastAsia" w:ascii="宋体" w:hAnsi="宋体" w:cs="宋体"/>
          <w:b/>
          <w:bCs/>
          <w:sz w:val="28"/>
          <w:szCs w:val="28"/>
          <w:lang w:val="en-US" w:eastAsia="zh-CN"/>
        </w:rPr>
        <w:t>五、执行标准与</w:t>
      </w:r>
      <w:bookmarkEnd w:id="0"/>
      <w:bookmarkEnd w:id="1"/>
      <w:bookmarkEnd w:id="2"/>
      <w:bookmarkEnd w:id="3"/>
      <w:r>
        <w:rPr>
          <w:rFonts w:hint="eastAsia" w:ascii="宋体" w:hAnsi="宋体" w:cs="宋体"/>
          <w:b/>
          <w:bCs/>
          <w:sz w:val="28"/>
          <w:szCs w:val="28"/>
          <w:lang w:val="en-US" w:eastAsia="zh-CN"/>
        </w:rPr>
        <w:t>其他要求</w:t>
      </w:r>
    </w:p>
    <w:p>
      <w:pPr>
        <w:pStyle w:val="14"/>
        <w:keepNext w:val="0"/>
        <w:keepLines w:val="0"/>
        <w:pageBreakBefore w:val="0"/>
        <w:widowControl w:val="0"/>
        <w:tabs>
          <w:tab w:val="left" w:pos="900"/>
        </w:tabs>
        <w:kinsoku/>
        <w:wordWrap/>
        <w:overflowPunct/>
        <w:topLinePunct w:val="0"/>
        <w:autoSpaceDE/>
        <w:autoSpaceDN/>
        <w:bidi w:val="0"/>
        <w:adjustRightInd/>
        <w:snapToGrid w:val="0"/>
        <w:spacing w:line="460" w:lineRule="exact"/>
        <w:ind w:left="0" w:leftChars="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5.1 </w:t>
      </w:r>
      <w:r>
        <w:rPr>
          <w:rFonts w:hint="eastAsia" w:ascii="宋体" w:hAnsi="宋体" w:eastAsia="宋体" w:cs="宋体"/>
          <w:sz w:val="28"/>
          <w:szCs w:val="28"/>
        </w:rPr>
        <w:t>产品</w:t>
      </w:r>
      <w:r>
        <w:rPr>
          <w:rFonts w:hint="eastAsia" w:ascii="宋体" w:hAnsi="宋体" w:eastAsia="宋体" w:cs="宋体"/>
          <w:sz w:val="28"/>
          <w:szCs w:val="28"/>
          <w:lang w:val="en-US" w:eastAsia="zh-CN"/>
        </w:rPr>
        <w:t>生产</w:t>
      </w:r>
      <w:r>
        <w:rPr>
          <w:rFonts w:hint="eastAsia" w:ascii="宋体" w:hAnsi="宋体" w:eastAsia="宋体" w:cs="宋体"/>
          <w:sz w:val="28"/>
          <w:szCs w:val="28"/>
        </w:rPr>
        <w:t>及验收应遵循国家现行的最新相应标准、规范，并满足国家有关标准、法律、法规。</w:t>
      </w:r>
      <w:bookmarkStart w:id="4" w:name="_Toc16881"/>
      <w:bookmarkStart w:id="5" w:name="_Toc12697_WPSOffice_Level1"/>
      <w:bookmarkStart w:id="6" w:name="_Toc29881"/>
      <w:bookmarkStart w:id="7" w:name="_Toc31179_WPSOffice_Level1"/>
    </w:p>
    <w:p>
      <w:pPr>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六、运输、及验收</w:t>
      </w:r>
      <w:bookmarkEnd w:id="4"/>
      <w:bookmarkEnd w:id="5"/>
      <w:bookmarkEnd w:id="6"/>
      <w:bookmarkEnd w:id="7"/>
    </w:p>
    <w:p>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1</w:t>
      </w:r>
      <w:r>
        <w:rPr>
          <w:rFonts w:hint="eastAsia" w:ascii="宋体" w:hAnsi="宋体" w:eastAsia="宋体" w:cs="宋体"/>
          <w:sz w:val="28"/>
          <w:szCs w:val="28"/>
        </w:rPr>
        <w:t>货物运输要求有良好的防潮、防</w:t>
      </w:r>
      <w:r>
        <w:rPr>
          <w:rFonts w:hint="eastAsia" w:ascii="宋体" w:hAnsi="宋体" w:cs="宋体"/>
          <w:sz w:val="28"/>
          <w:szCs w:val="28"/>
          <w:lang w:val="en-US" w:eastAsia="zh-CN"/>
        </w:rPr>
        <w:t>散落、</w:t>
      </w:r>
      <w:r>
        <w:rPr>
          <w:rFonts w:hint="eastAsia" w:cs="宋体"/>
          <w:color w:val="auto"/>
          <w:sz w:val="28"/>
          <w:szCs w:val="28"/>
          <w:lang w:val="en-US" w:eastAsia="zh-CN"/>
        </w:rPr>
        <w:t>防污染</w:t>
      </w:r>
      <w:r>
        <w:rPr>
          <w:rFonts w:hint="eastAsia" w:ascii="宋体" w:hAnsi="宋体" w:eastAsia="宋体" w:cs="宋体"/>
          <w:sz w:val="28"/>
          <w:szCs w:val="28"/>
        </w:rPr>
        <w:t>等保护措施。</w:t>
      </w:r>
    </w:p>
    <w:p>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发</w:t>
      </w:r>
      <w:r>
        <w:rPr>
          <w:rFonts w:hint="eastAsia" w:ascii="宋体" w:hAnsi="宋体" w:eastAsia="宋体" w:cs="宋体"/>
          <w:color w:val="auto"/>
          <w:sz w:val="28"/>
          <w:szCs w:val="28"/>
        </w:rPr>
        <w:t>货前</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个自然日以传真或电传通知</w:t>
      </w:r>
      <w:r>
        <w:rPr>
          <w:rFonts w:hint="eastAsia" w:ascii="宋体" w:hAnsi="宋体" w:eastAsia="宋体" w:cs="宋体"/>
          <w:color w:val="auto"/>
          <w:sz w:val="28"/>
          <w:szCs w:val="28"/>
          <w:lang w:val="en-US" w:eastAsia="zh-CN"/>
        </w:rPr>
        <w:t>招标方</w:t>
      </w:r>
      <w:r>
        <w:rPr>
          <w:rFonts w:hint="eastAsia" w:ascii="宋体" w:hAnsi="宋体" w:eastAsia="宋体" w:cs="宋体"/>
          <w:color w:val="auto"/>
          <w:sz w:val="28"/>
          <w:szCs w:val="28"/>
        </w:rPr>
        <w:t>合同号、</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名称、数量、</w:t>
      </w:r>
      <w:r>
        <w:rPr>
          <w:rFonts w:hint="eastAsia" w:ascii="宋体" w:hAnsi="宋体" w:eastAsia="宋体" w:cs="宋体"/>
          <w:color w:val="auto"/>
          <w:sz w:val="28"/>
          <w:szCs w:val="28"/>
          <w:lang w:val="en-US" w:eastAsia="zh-CN"/>
        </w:rPr>
        <w:t>车辆</w:t>
      </w:r>
      <w:r>
        <w:rPr>
          <w:rFonts w:hint="eastAsia" w:ascii="宋体" w:hAnsi="宋体" w:eastAsia="宋体" w:cs="宋体"/>
          <w:color w:val="auto"/>
          <w:sz w:val="28"/>
          <w:szCs w:val="28"/>
        </w:rPr>
        <w:t>和备妥待运日期。</w:t>
      </w:r>
    </w:p>
    <w:p>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color w:val="auto"/>
          <w:lang w:eastAsia="zh-CN"/>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在货物装货后发运前24小时内以传真或电传通知</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合同号、货物名称、数量、发票金额、运输工具名称及启运日期。每批出厂的产品都应附有质量证明书</w:t>
      </w:r>
      <w:r>
        <w:rPr>
          <w:rFonts w:hint="eastAsia" w:ascii="宋体" w:hAnsi="宋体" w:cs="宋体"/>
          <w:color w:val="auto"/>
          <w:sz w:val="28"/>
          <w:szCs w:val="28"/>
          <w:lang w:eastAsia="zh-CN"/>
        </w:rPr>
        <w:t>，</w:t>
      </w:r>
      <w:r>
        <w:rPr>
          <w:rFonts w:hint="eastAsia" w:ascii="宋体" w:hAnsi="宋体" w:eastAsia="宋体" w:cs="宋体"/>
          <w:color w:val="auto"/>
          <w:sz w:val="28"/>
          <w:szCs w:val="28"/>
        </w:rPr>
        <w:t>证明书内容包括：供方名称、产品名称、产品执行标准号、产品批号、产品等级、净重、发货日期和本标准规定的各项检验结果。</w:t>
      </w:r>
    </w:p>
    <w:p>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4</w:t>
      </w:r>
      <w:r>
        <w:rPr>
          <w:rFonts w:hint="eastAsia" w:ascii="宋体" w:hAnsi="宋体" w:eastAsia="宋体" w:cs="宋体"/>
          <w:sz w:val="28"/>
          <w:szCs w:val="28"/>
        </w:rPr>
        <w:t>货物的装运工具(火车、汽车、轮船等)，必须在装运前清扫干净，不得使油类或其它杂质等污染</w:t>
      </w:r>
      <w:r>
        <w:rPr>
          <w:rFonts w:hint="eastAsia" w:ascii="宋体" w:hAnsi="宋体" w:eastAsia="宋体" w:cs="宋体"/>
          <w:sz w:val="28"/>
          <w:szCs w:val="28"/>
          <w:lang w:eastAsia="zh-CN"/>
        </w:rPr>
        <w:t>产品</w:t>
      </w:r>
      <w:r>
        <w:rPr>
          <w:rFonts w:hint="eastAsia" w:ascii="宋体" w:hAnsi="宋体" w:eastAsia="宋体" w:cs="宋体"/>
          <w:sz w:val="28"/>
          <w:szCs w:val="28"/>
        </w:rPr>
        <w:t>。运输过程中必须有防雨措施，务使货物在运输途中不受雨淋水浸。</w:t>
      </w:r>
    </w:p>
    <w:p>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color w:val="FF0000"/>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运抵现场的</w:t>
      </w:r>
      <w:r>
        <w:rPr>
          <w:rFonts w:hint="eastAsia" w:ascii="宋体" w:hAnsi="宋体" w:cs="宋体"/>
          <w:sz w:val="28"/>
          <w:szCs w:val="28"/>
          <w:lang w:val="en-US" w:eastAsia="zh-CN"/>
        </w:rPr>
        <w:t>石油焦</w:t>
      </w:r>
      <w:r>
        <w:rPr>
          <w:rFonts w:hint="eastAsia" w:ascii="宋体" w:hAnsi="宋体" w:eastAsia="宋体" w:cs="宋体"/>
          <w:color w:val="auto"/>
          <w:sz w:val="28"/>
          <w:szCs w:val="28"/>
        </w:rPr>
        <w:t>不得有</w:t>
      </w:r>
      <w:r>
        <w:rPr>
          <w:rFonts w:hint="eastAsia" w:ascii="宋体" w:hAnsi="宋体" w:cs="宋体"/>
          <w:color w:val="auto"/>
          <w:sz w:val="28"/>
          <w:szCs w:val="28"/>
          <w:lang w:val="en-US" w:eastAsia="zh-CN"/>
        </w:rPr>
        <w:t>散落</w:t>
      </w:r>
      <w:r>
        <w:rPr>
          <w:rFonts w:hint="eastAsia" w:ascii="宋体" w:hAnsi="宋体" w:eastAsia="宋体" w:cs="宋体"/>
          <w:color w:val="auto"/>
          <w:sz w:val="28"/>
          <w:szCs w:val="28"/>
        </w:rPr>
        <w:t>现象</w:t>
      </w:r>
      <w:r>
        <w:rPr>
          <w:rFonts w:hint="eastAsia" w:ascii="宋体" w:hAnsi="宋体" w:cs="宋体"/>
          <w:color w:val="auto"/>
          <w:sz w:val="28"/>
          <w:szCs w:val="28"/>
          <w:lang w:eastAsia="zh-CN"/>
        </w:rPr>
        <w:t>，石油焦中</w:t>
      </w:r>
      <w:r>
        <w:rPr>
          <w:rFonts w:hint="eastAsia" w:ascii="宋体" w:hAnsi="宋体" w:cs="宋体"/>
          <w:color w:val="auto"/>
          <w:sz w:val="28"/>
          <w:szCs w:val="28"/>
          <w:lang w:val="en-US" w:eastAsia="zh-CN"/>
        </w:rPr>
        <w:t>不得</w:t>
      </w:r>
      <w:r>
        <w:rPr>
          <w:rFonts w:hint="eastAsia" w:ascii="宋体" w:hAnsi="宋体" w:cs="宋体"/>
          <w:color w:val="auto"/>
          <w:sz w:val="28"/>
          <w:szCs w:val="28"/>
          <w:lang w:eastAsia="zh-CN"/>
        </w:rPr>
        <w:t>出现焦泥、沥青、弹丸焦及其他非石油焦物质</w:t>
      </w:r>
      <w:r>
        <w:rPr>
          <w:rFonts w:hint="eastAsia" w:ascii="宋体" w:hAnsi="宋体" w:eastAsia="宋体" w:cs="宋体"/>
          <w:color w:val="auto"/>
          <w:sz w:val="28"/>
          <w:szCs w:val="28"/>
        </w:rPr>
        <w:t>。</w:t>
      </w:r>
      <w:bookmarkStart w:id="8" w:name="_Toc5438_WPSOffice_Level1"/>
      <w:bookmarkStart w:id="9" w:name="_Toc20787"/>
      <w:bookmarkStart w:id="10" w:name="_Toc11436_WPSOffice_Level1"/>
      <w:bookmarkStart w:id="11" w:name="_Toc31538"/>
    </w:p>
    <w:p>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6.</w:t>
      </w:r>
      <w:r>
        <w:rPr>
          <w:rFonts w:hint="eastAsia" w:ascii="宋体" w:hAnsi="宋体" w:cs="宋体"/>
          <w:sz w:val="28"/>
          <w:szCs w:val="28"/>
          <w:lang w:val="en-US" w:eastAsia="zh-CN"/>
        </w:rPr>
        <w:t>6</w:t>
      </w:r>
      <w:r>
        <w:rPr>
          <w:rFonts w:hint="eastAsia" w:ascii="宋体" w:hAnsi="宋体" w:eastAsia="宋体" w:cs="宋体"/>
          <w:sz w:val="28"/>
          <w:szCs w:val="28"/>
          <w:lang w:eastAsia="zh-CN"/>
        </w:rPr>
        <w:t>石油焦</w:t>
      </w:r>
      <w:r>
        <w:rPr>
          <w:rFonts w:hint="eastAsia" w:ascii="宋体" w:hAnsi="宋体" w:eastAsia="宋体" w:cs="宋体"/>
          <w:sz w:val="28"/>
          <w:szCs w:val="28"/>
          <w:lang w:val="en-US" w:eastAsia="zh-CN"/>
        </w:rPr>
        <w:t>的取样检验</w:t>
      </w:r>
      <w:r>
        <w:rPr>
          <w:rFonts w:hint="eastAsia" w:ascii="宋体" w:hAnsi="宋体" w:cs="宋体"/>
          <w:sz w:val="28"/>
          <w:szCs w:val="28"/>
          <w:lang w:val="en-US" w:eastAsia="zh-CN"/>
        </w:rPr>
        <w:t>。</w:t>
      </w:r>
      <w:r>
        <w:rPr>
          <w:rFonts w:hint="eastAsia" w:ascii="宋体" w:hAnsi="宋体" w:eastAsia="宋体" w:cs="宋体"/>
          <w:color w:val="auto"/>
          <w:sz w:val="28"/>
          <w:szCs w:val="28"/>
          <w:highlight w:val="none"/>
          <w:lang w:val="en-US" w:eastAsia="zh-CN"/>
        </w:rPr>
        <w:t>取样方法</w:t>
      </w:r>
      <w:r>
        <w:rPr>
          <w:rFonts w:hint="eastAsia" w:ascii="宋体" w:hAnsi="宋体" w:cs="宋体"/>
          <w:color w:val="auto"/>
          <w:sz w:val="28"/>
          <w:szCs w:val="28"/>
          <w:highlight w:val="none"/>
          <w:lang w:val="en-US" w:eastAsia="zh-CN"/>
        </w:rPr>
        <w:t>：卸车后去掉表层20cm~30cm采样，同车材料在平均间距的三至五点上采取，以保证试样具有代表性。</w:t>
      </w:r>
      <w:r>
        <w:rPr>
          <w:rFonts w:hint="eastAsia" w:ascii="宋体" w:hAnsi="宋体" w:cs="宋体"/>
          <w:b/>
          <w:bCs/>
          <w:color w:val="FF0000"/>
          <w:sz w:val="28"/>
          <w:szCs w:val="28"/>
          <w:highlight w:val="none"/>
          <w:lang w:val="en-US" w:eastAsia="zh-CN"/>
        </w:rPr>
        <w:t>（以下2条根据供应商情况进行修改，只需其中一条）1.</w:t>
      </w:r>
      <w:r>
        <w:rPr>
          <w:rFonts w:hint="eastAsia" w:ascii="宋体" w:hAnsi="宋体" w:cs="宋体"/>
          <w:color w:val="FF0000"/>
          <w:sz w:val="28"/>
          <w:szCs w:val="28"/>
          <w:highlight w:val="none"/>
          <w:lang w:val="en-US" w:eastAsia="zh-CN"/>
        </w:rPr>
        <w:t>同一供应商，每车到货石油焦均需要采样，每五车组批检测水分、挥发份、灰分、硫含量，粉焦量（连续两日内到货量不足5车的同样组批检测），每500吨组批检测铁、钒含量。2.对于“三桶油”（即：中石油、中石化、中海油）供应的石油焦，同一供应商，每车到货均需要采样，每500吨组批检测水分、挥发份、灰分、粉焦量、硫、铁、钒含量。</w:t>
      </w:r>
      <w:r>
        <w:rPr>
          <w:rFonts w:hint="eastAsia" w:ascii="宋体" w:hAnsi="宋体" w:cs="宋体"/>
          <w:color w:val="auto"/>
          <w:sz w:val="28"/>
          <w:szCs w:val="28"/>
          <w:highlight w:val="none"/>
          <w:lang w:val="en-US" w:eastAsia="zh-CN"/>
        </w:rPr>
        <w:t>采集的小样集中放入干净的试样袋，以防受污染和受阳光、雨水的影响</w:t>
      </w:r>
      <w:r>
        <w:rPr>
          <w:rFonts w:hint="eastAsia" w:ascii="宋体" w:hAnsi="宋体" w:cs="宋体"/>
          <w:color w:val="auto"/>
          <w:sz w:val="28"/>
          <w:szCs w:val="28"/>
          <w:lang w:val="en-US" w:eastAsia="zh-CN"/>
        </w:rPr>
        <w:t>。取样后充分混匀，分成两份并密封处理，同时在试样袋上填写试样基本信息并由取样人共同骑缝签名，一份进行化验，一份作备查样，备查样保存期至少叁个月。</w:t>
      </w:r>
    </w:p>
    <w:p>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cs="宋体"/>
          <w:sz w:val="28"/>
          <w:szCs w:val="28"/>
          <w:lang w:val="en-US" w:eastAsia="zh-CN"/>
        </w:rPr>
        <w:t>7</w:t>
      </w:r>
      <w:r>
        <w:rPr>
          <w:rFonts w:hint="eastAsia" w:ascii="宋体" w:hAnsi="宋体" w:eastAsia="宋体" w:cs="宋体"/>
          <w:sz w:val="28"/>
          <w:szCs w:val="28"/>
          <w:lang w:val="en-US" w:eastAsia="zh-CN"/>
        </w:rPr>
        <w:t>当抽检过程中</w:t>
      </w:r>
      <w:r>
        <w:rPr>
          <w:rFonts w:hint="eastAsia" w:ascii="宋体" w:hAnsi="宋体" w:eastAsia="宋体" w:cs="宋体"/>
          <w:sz w:val="28"/>
          <w:szCs w:val="28"/>
          <w:lang w:val="zh-CN" w:eastAsia="zh-CN"/>
        </w:rPr>
        <w:t>出现一次样品某一指标超出规定范围时，由</w:t>
      </w:r>
      <w:r>
        <w:rPr>
          <w:rFonts w:hint="eastAsia" w:ascii="宋体" w:hAnsi="宋体" w:eastAsia="宋体" w:cs="宋体"/>
          <w:sz w:val="28"/>
          <w:szCs w:val="28"/>
          <w:lang w:val="en-US" w:eastAsia="zh-CN"/>
        </w:rPr>
        <w:t>招标方</w:t>
      </w:r>
      <w:r>
        <w:rPr>
          <w:rFonts w:hint="eastAsia" w:ascii="宋体" w:hAnsi="宋体" w:cs="宋体"/>
          <w:sz w:val="28"/>
          <w:szCs w:val="28"/>
          <w:lang w:val="en-US" w:eastAsia="zh-CN"/>
        </w:rPr>
        <w:t>采购部门</w:t>
      </w:r>
      <w:r>
        <w:rPr>
          <w:rFonts w:hint="eastAsia" w:ascii="宋体" w:hAnsi="宋体" w:eastAsia="宋体" w:cs="宋体"/>
          <w:sz w:val="28"/>
          <w:szCs w:val="28"/>
          <w:lang w:val="zh-CN" w:eastAsia="zh-CN"/>
        </w:rPr>
        <w:t>及时通知</w:t>
      </w:r>
      <w:r>
        <w:rPr>
          <w:rFonts w:hint="eastAsia" w:ascii="宋体" w:hAnsi="宋体" w:eastAsia="宋体" w:cs="宋体"/>
          <w:sz w:val="28"/>
          <w:szCs w:val="28"/>
          <w:lang w:val="en-US" w:eastAsia="zh-CN"/>
        </w:rPr>
        <w:t>投标方</w:t>
      </w:r>
      <w:r>
        <w:rPr>
          <w:rFonts w:hint="eastAsia" w:ascii="宋体" w:hAnsi="宋体" w:eastAsia="宋体" w:cs="宋体"/>
          <w:sz w:val="28"/>
          <w:szCs w:val="28"/>
          <w:lang w:val="zh-CN" w:eastAsia="zh-CN"/>
        </w:rPr>
        <w:t>，由</w:t>
      </w:r>
      <w:r>
        <w:rPr>
          <w:rFonts w:hint="eastAsia" w:ascii="宋体" w:hAnsi="宋体" w:eastAsia="宋体" w:cs="宋体"/>
          <w:sz w:val="28"/>
          <w:szCs w:val="28"/>
          <w:lang w:val="en-US" w:eastAsia="zh-CN"/>
        </w:rPr>
        <w:t>招投标</w:t>
      </w:r>
      <w:r>
        <w:rPr>
          <w:rFonts w:hint="eastAsia" w:ascii="宋体" w:hAnsi="宋体" w:eastAsia="宋体" w:cs="宋体"/>
          <w:sz w:val="28"/>
          <w:szCs w:val="28"/>
          <w:lang w:val="zh-CN" w:eastAsia="zh-CN"/>
        </w:rPr>
        <w:t>双方协商解决，如</w:t>
      </w:r>
      <w:r>
        <w:rPr>
          <w:rFonts w:hint="eastAsia" w:ascii="宋体" w:hAnsi="宋体" w:eastAsia="宋体" w:cs="宋体"/>
          <w:sz w:val="28"/>
          <w:szCs w:val="28"/>
          <w:lang w:val="en-US" w:eastAsia="zh-CN"/>
        </w:rPr>
        <w:t>投标</w:t>
      </w:r>
      <w:r>
        <w:rPr>
          <w:rFonts w:hint="eastAsia" w:ascii="宋体" w:hAnsi="宋体" w:eastAsia="宋体" w:cs="宋体"/>
          <w:sz w:val="28"/>
          <w:szCs w:val="28"/>
          <w:lang w:val="zh-CN" w:eastAsia="zh-CN"/>
        </w:rPr>
        <w:t>方有异议时，可以由</w:t>
      </w:r>
      <w:r>
        <w:rPr>
          <w:rFonts w:hint="eastAsia" w:ascii="宋体" w:hAnsi="宋体" w:eastAsia="宋体" w:cs="宋体"/>
          <w:sz w:val="28"/>
          <w:szCs w:val="28"/>
          <w:lang w:val="en-US" w:eastAsia="zh-CN"/>
        </w:rPr>
        <w:t>招投标</w:t>
      </w:r>
      <w:r>
        <w:rPr>
          <w:rFonts w:hint="eastAsia" w:ascii="宋体" w:hAnsi="宋体" w:eastAsia="宋体" w:cs="宋体"/>
          <w:sz w:val="28"/>
          <w:szCs w:val="28"/>
          <w:lang w:val="zh-CN" w:eastAsia="zh-CN"/>
        </w:rPr>
        <w:t>双方共同取样复查。</w:t>
      </w:r>
      <w:r>
        <w:rPr>
          <w:rFonts w:hint="eastAsia" w:ascii="宋体" w:hAnsi="宋体" w:eastAsia="宋体" w:cs="宋体"/>
          <w:sz w:val="28"/>
          <w:szCs w:val="28"/>
          <w:lang w:val="en-US" w:eastAsia="zh-CN"/>
        </w:rPr>
        <w:t>如复查仍不合格，按石油焦</w:t>
      </w:r>
      <w:r>
        <w:rPr>
          <w:rFonts w:hint="eastAsia" w:ascii="宋体" w:hAnsi="宋体" w:eastAsia="宋体" w:cs="宋体"/>
          <w:sz w:val="28"/>
          <w:szCs w:val="28"/>
          <w:lang w:eastAsia="zh-CN"/>
        </w:rPr>
        <w:t>理化性能细则进行考核。</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cs="宋体"/>
          <w:sz w:val="28"/>
          <w:szCs w:val="28"/>
          <w:lang w:val="en-US" w:eastAsia="zh-CN"/>
        </w:rPr>
        <w:t>6.8</w:t>
      </w:r>
      <w:r>
        <w:rPr>
          <w:rFonts w:hint="eastAsia" w:ascii="宋体" w:hAnsi="宋体" w:eastAsia="宋体" w:cs="宋体"/>
          <w:b w:val="0"/>
          <w:bCs w:val="0"/>
          <w:color w:val="auto"/>
          <w:kern w:val="0"/>
          <w:sz w:val="28"/>
          <w:szCs w:val="28"/>
          <w:lang w:val="en-US" w:eastAsia="zh-CN" w:bidi="ar-SA"/>
        </w:rPr>
        <w:t>判定规则：出厂检验结果全部符合</w:t>
      </w:r>
      <w:r>
        <w:rPr>
          <w:rFonts w:hint="eastAsia" w:hAnsi="宋体" w:cs="宋体"/>
          <w:sz w:val="28"/>
          <w:szCs w:val="28"/>
          <w:lang w:val="en-US" w:eastAsia="zh-CN"/>
        </w:rPr>
        <w:t>本技术任务书技术指标</w:t>
      </w:r>
      <w:r>
        <w:rPr>
          <w:rFonts w:hint="eastAsia" w:ascii="宋体" w:hAnsi="宋体" w:eastAsia="宋体" w:cs="宋体"/>
          <w:b w:val="0"/>
          <w:bCs w:val="0"/>
          <w:color w:val="auto"/>
          <w:kern w:val="0"/>
          <w:sz w:val="28"/>
          <w:szCs w:val="28"/>
          <w:lang w:val="en-US" w:eastAsia="zh-CN" w:bidi="ar-SA"/>
        </w:rPr>
        <w:t>规定的技术要求，并在招标方接收产品后取样</w:t>
      </w:r>
      <w:r>
        <w:rPr>
          <w:rFonts w:hint="eastAsia" w:ascii="宋体" w:hAnsi="宋体" w:eastAsia="宋体" w:cs="宋体"/>
          <w:sz w:val="28"/>
          <w:szCs w:val="28"/>
          <w:lang w:val="en-US" w:eastAsia="zh-CN"/>
        </w:rPr>
        <w:t>检测</w:t>
      </w:r>
      <w:r>
        <w:rPr>
          <w:rFonts w:hint="eastAsia" w:hAnsi="宋体" w:eastAsia="宋体" w:cs="宋体"/>
          <w:sz w:val="28"/>
          <w:szCs w:val="28"/>
          <w:lang w:val="en-US" w:eastAsia="zh-CN"/>
        </w:rPr>
        <w:t>，</w:t>
      </w:r>
      <w:r>
        <w:rPr>
          <w:rFonts w:hint="eastAsia" w:ascii="宋体" w:hAnsi="宋体" w:eastAsia="宋体" w:cs="宋体"/>
          <w:b w:val="0"/>
          <w:bCs w:val="0"/>
          <w:color w:val="auto"/>
          <w:kern w:val="0"/>
          <w:sz w:val="28"/>
          <w:szCs w:val="28"/>
          <w:lang w:val="en-US" w:eastAsia="zh-CN" w:bidi="ar-SA"/>
        </w:rPr>
        <w:t>招标方</w:t>
      </w:r>
      <w:r>
        <w:rPr>
          <w:rFonts w:hint="eastAsia" w:ascii="宋体" w:hAnsi="宋体" w:eastAsia="宋体" w:cs="宋体"/>
          <w:sz w:val="28"/>
          <w:szCs w:val="28"/>
          <w:lang w:val="en-US" w:eastAsia="zh-CN"/>
        </w:rPr>
        <w:t>检测报告</w:t>
      </w:r>
      <w:r>
        <w:rPr>
          <w:rFonts w:hint="eastAsia" w:ascii="宋体" w:hAnsi="宋体" w:eastAsia="宋体" w:cs="宋体"/>
          <w:b w:val="0"/>
          <w:bCs w:val="0"/>
          <w:color w:val="auto"/>
          <w:kern w:val="0"/>
          <w:sz w:val="28"/>
          <w:szCs w:val="28"/>
          <w:lang w:val="en-US" w:eastAsia="zh-CN" w:bidi="ar-SA"/>
        </w:rPr>
        <w:t>结果全部符合</w:t>
      </w:r>
      <w:r>
        <w:rPr>
          <w:rFonts w:hint="eastAsia" w:hAnsi="宋体" w:cs="宋体"/>
          <w:sz w:val="28"/>
          <w:szCs w:val="28"/>
          <w:lang w:val="en-US" w:eastAsia="zh-CN"/>
        </w:rPr>
        <w:t>技术指标</w:t>
      </w:r>
      <w:r>
        <w:rPr>
          <w:rFonts w:hint="eastAsia" w:ascii="宋体" w:hAnsi="宋体" w:eastAsia="宋体" w:cs="宋体"/>
          <w:b w:val="0"/>
          <w:bCs w:val="0"/>
          <w:color w:val="auto"/>
          <w:kern w:val="0"/>
          <w:sz w:val="28"/>
          <w:szCs w:val="28"/>
          <w:lang w:val="en-US" w:eastAsia="zh-CN" w:bidi="ar-SA"/>
        </w:rPr>
        <w:t>规定的技术要求时，则判定本批产品合格；</w:t>
      </w:r>
      <w:r>
        <w:rPr>
          <w:rFonts w:hint="eastAsia" w:ascii="宋体" w:hAnsi="宋体" w:eastAsia="宋体" w:cs="宋体"/>
          <w:sz w:val="28"/>
          <w:szCs w:val="28"/>
          <w:lang w:val="en-US" w:eastAsia="zh-CN"/>
        </w:rPr>
        <w:t>投标方</w:t>
      </w:r>
      <w:r>
        <w:rPr>
          <w:rFonts w:hint="eastAsia" w:ascii="宋体" w:hAnsi="宋体" w:eastAsia="宋体" w:cs="宋体"/>
          <w:color w:val="auto"/>
          <w:sz w:val="28"/>
          <w:szCs w:val="28"/>
          <w:highlight w:val="none"/>
        </w:rPr>
        <w:t>交货的</w:t>
      </w:r>
      <w:r>
        <w:rPr>
          <w:rFonts w:hint="eastAsia" w:ascii="宋体" w:hAnsi="宋体" w:cs="宋体"/>
          <w:color w:val="auto"/>
          <w:sz w:val="28"/>
          <w:szCs w:val="28"/>
          <w:highlight w:val="none"/>
          <w:lang w:val="en-US" w:eastAsia="zh-CN"/>
        </w:rPr>
        <w:t>指标</w:t>
      </w:r>
      <w:r>
        <w:rPr>
          <w:rFonts w:hint="eastAsia" w:ascii="宋体" w:hAnsi="宋体" w:eastAsia="宋体" w:cs="宋体"/>
          <w:color w:val="auto"/>
          <w:sz w:val="28"/>
          <w:szCs w:val="28"/>
          <w:highlight w:val="none"/>
        </w:rPr>
        <w:t>、质量不符合</w:t>
      </w:r>
      <w:r>
        <w:rPr>
          <w:rFonts w:hint="eastAsia" w:hAnsi="宋体" w:cs="宋体"/>
          <w:sz w:val="28"/>
          <w:szCs w:val="28"/>
          <w:lang w:val="en-US" w:eastAsia="zh-CN"/>
        </w:rPr>
        <w:t>本技术任务书中</w:t>
      </w:r>
      <w:r>
        <w:rPr>
          <w:rFonts w:hint="eastAsia" w:ascii="宋体" w:hAnsi="宋体" w:eastAsia="宋体" w:cs="宋体"/>
          <w:color w:val="auto"/>
          <w:sz w:val="28"/>
          <w:szCs w:val="28"/>
          <w:highlight w:val="none"/>
          <w:lang w:val="en-US" w:eastAsia="zh-CN"/>
        </w:rPr>
        <w:t>约定</w:t>
      </w:r>
      <w:r>
        <w:rPr>
          <w:rFonts w:hint="eastAsia" w:ascii="宋体" w:hAnsi="宋体" w:eastAsia="宋体" w:cs="宋体"/>
          <w:color w:val="auto"/>
          <w:sz w:val="28"/>
          <w:szCs w:val="28"/>
          <w:highlight w:val="none"/>
        </w:rPr>
        <w:t>时，</w:t>
      </w:r>
      <w:r>
        <w:rPr>
          <w:rFonts w:hint="eastAsia" w:ascii="宋体" w:hAnsi="宋体" w:eastAsia="宋体" w:cs="宋体"/>
          <w:color w:val="auto"/>
          <w:sz w:val="28"/>
          <w:szCs w:val="28"/>
          <w:highlight w:val="none"/>
          <w:lang w:val="en-US" w:eastAsia="zh-CN"/>
        </w:rPr>
        <w:t>如</w:t>
      </w:r>
      <w:r>
        <w:rPr>
          <w:rFonts w:hint="eastAsia" w:ascii="宋体" w:hAnsi="宋体" w:cs="宋体"/>
          <w:color w:val="auto"/>
          <w:sz w:val="28"/>
          <w:szCs w:val="28"/>
          <w:highlight w:val="none"/>
          <w:lang w:val="en-US" w:eastAsia="zh-CN"/>
        </w:rPr>
        <w:t>招</w:t>
      </w:r>
      <w:r>
        <w:rPr>
          <w:rFonts w:hint="eastAsia" w:ascii="宋体" w:hAnsi="宋体" w:eastAsia="宋体" w:cs="宋体"/>
          <w:color w:val="auto"/>
          <w:sz w:val="28"/>
          <w:szCs w:val="28"/>
          <w:highlight w:val="none"/>
          <w:lang w:val="en-US" w:eastAsia="zh-CN"/>
        </w:rPr>
        <w:t>标</w:t>
      </w:r>
      <w:r>
        <w:rPr>
          <w:rFonts w:hint="eastAsia" w:ascii="宋体" w:hAnsi="宋体" w:eastAsia="宋体" w:cs="宋体"/>
          <w:color w:val="auto"/>
          <w:sz w:val="28"/>
          <w:szCs w:val="28"/>
          <w:highlight w:val="none"/>
        </w:rPr>
        <w:t>方同意降低标准使用，则按照</w:t>
      </w:r>
      <w:r>
        <w:rPr>
          <w:rFonts w:hint="eastAsia" w:hAnsi="宋体" w:cs="宋体"/>
          <w:sz w:val="28"/>
          <w:szCs w:val="28"/>
          <w:lang w:val="en-US" w:eastAsia="zh-CN"/>
        </w:rPr>
        <w:t>本技术任务书</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质量细则</w:t>
      </w:r>
      <w:r>
        <w:rPr>
          <w:rFonts w:hint="eastAsia" w:ascii="宋体" w:hAnsi="宋体" w:eastAsia="宋体" w:cs="宋体"/>
          <w:color w:val="auto"/>
          <w:sz w:val="28"/>
          <w:szCs w:val="28"/>
          <w:highlight w:val="none"/>
        </w:rPr>
        <w:t>》里的</w:t>
      </w:r>
      <w:r>
        <w:rPr>
          <w:rFonts w:hint="eastAsia" w:ascii="宋体" w:hAnsi="宋体" w:eastAsia="宋体" w:cs="宋体"/>
          <w:color w:val="auto"/>
          <w:sz w:val="28"/>
          <w:szCs w:val="28"/>
          <w:highlight w:val="none"/>
          <w:lang w:val="en-US" w:eastAsia="zh-CN"/>
        </w:rPr>
        <w:t>约定</w:t>
      </w:r>
      <w:r>
        <w:rPr>
          <w:rFonts w:hint="eastAsia" w:ascii="宋体" w:hAnsi="宋体" w:eastAsia="宋体" w:cs="宋体"/>
          <w:color w:val="auto"/>
          <w:sz w:val="28"/>
          <w:szCs w:val="28"/>
          <w:highlight w:val="none"/>
        </w:rPr>
        <w:t>处理，若</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方不同意</w:t>
      </w:r>
      <w:r>
        <w:rPr>
          <w:rFonts w:hint="eastAsia" w:ascii="宋体" w:hAnsi="宋体" w:eastAsia="宋体" w:cs="宋体"/>
          <w:color w:val="auto"/>
          <w:sz w:val="28"/>
          <w:szCs w:val="28"/>
          <w:highlight w:val="none"/>
          <w:lang w:val="en-US" w:eastAsia="zh-CN"/>
        </w:rPr>
        <w:t>按</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质量细则</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规则</w:t>
      </w:r>
      <w:r>
        <w:rPr>
          <w:rFonts w:hint="eastAsia" w:ascii="宋体" w:hAnsi="宋体" w:eastAsia="宋体" w:cs="宋体"/>
          <w:color w:val="auto"/>
          <w:sz w:val="28"/>
          <w:szCs w:val="28"/>
          <w:highlight w:val="none"/>
        </w:rPr>
        <w:t>处理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则本批货物</w:t>
      </w:r>
      <w:r>
        <w:rPr>
          <w:rFonts w:hint="eastAsia" w:ascii="宋体" w:hAnsi="宋体" w:eastAsia="宋体" w:cs="宋体"/>
          <w:color w:val="auto"/>
          <w:sz w:val="28"/>
          <w:szCs w:val="28"/>
          <w:highlight w:val="none"/>
        </w:rPr>
        <w:t>按退货处理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由</w:t>
      </w:r>
      <w:r>
        <w:rPr>
          <w:rFonts w:hint="eastAsia" w:ascii="宋体" w:hAnsi="宋体" w:eastAsia="宋体" w:cs="宋体"/>
          <w:sz w:val="28"/>
          <w:szCs w:val="28"/>
          <w:lang w:val="en-US" w:eastAsia="zh-CN"/>
        </w:rPr>
        <w:t>投标方</w:t>
      </w:r>
      <w:r>
        <w:rPr>
          <w:rFonts w:hint="eastAsia" w:ascii="宋体" w:hAnsi="宋体" w:eastAsia="宋体" w:cs="宋体"/>
          <w:color w:val="auto"/>
          <w:sz w:val="28"/>
          <w:szCs w:val="28"/>
          <w:highlight w:val="none"/>
          <w:lang w:val="en-US" w:eastAsia="zh-CN"/>
        </w:rPr>
        <w:t>承担退货费用。</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 w:val="0"/>
          <w:bCs w:val="0"/>
          <w:color w:val="auto"/>
          <w:kern w:val="0"/>
          <w:sz w:val="28"/>
          <w:szCs w:val="28"/>
          <w:lang w:val="en-US" w:eastAsia="zh-CN" w:bidi="ar-SA"/>
        </w:rPr>
        <w:t>6.</w:t>
      </w:r>
      <w:r>
        <w:rPr>
          <w:rFonts w:hint="eastAsia" w:ascii="宋体" w:hAnsi="宋体" w:cs="宋体"/>
          <w:b w:val="0"/>
          <w:bCs w:val="0"/>
          <w:color w:val="auto"/>
          <w:kern w:val="0"/>
          <w:sz w:val="28"/>
          <w:szCs w:val="28"/>
          <w:lang w:val="en-US" w:eastAsia="zh-CN" w:bidi="ar-SA"/>
        </w:rPr>
        <w:t>9</w:t>
      </w:r>
      <w:r>
        <w:rPr>
          <w:rFonts w:hint="eastAsia" w:ascii="宋体" w:hAnsi="宋体" w:eastAsia="宋体" w:cs="宋体"/>
          <w:b w:val="0"/>
          <w:bCs w:val="0"/>
          <w:color w:val="auto"/>
          <w:kern w:val="0"/>
          <w:sz w:val="28"/>
          <w:szCs w:val="28"/>
          <w:lang w:val="en-US" w:eastAsia="zh-CN" w:bidi="ar-SA"/>
        </w:rPr>
        <w:t>复检规则：</w:t>
      </w:r>
      <w:r>
        <w:rPr>
          <w:rFonts w:hint="eastAsia" w:ascii="宋体" w:hAnsi="宋体" w:eastAsia="宋体" w:cs="宋体"/>
          <w:color w:val="auto"/>
          <w:sz w:val="28"/>
          <w:szCs w:val="28"/>
          <w:highlight w:val="none"/>
          <w:lang w:val="en-US" w:eastAsia="zh-CN"/>
        </w:rPr>
        <w:t>供需双方在验收过程中就质量问题发生争议时，供方需在3工作日内提出复检申请，采用需方到货验收时封存样品进行复检。双方一起确认标准样品后，在需方实验室进行复检，当复检结果在该项指标检测标准再现性范围内的，以需方到货验收时检测结果为结算依据，当复检结果超出该项指标检测标准再现性范围的，以复检验结果为结算依据</w:t>
      </w:r>
      <w:r>
        <w:rPr>
          <w:rFonts w:hint="eastAsia" w:ascii="宋体" w:hAnsi="宋体" w:cs="宋体"/>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6.</w:t>
      </w:r>
      <w:r>
        <w:rPr>
          <w:rFonts w:hint="eastAsia" w:ascii="宋体" w:hAnsi="宋体" w:cs="宋体"/>
          <w:sz w:val="28"/>
          <w:szCs w:val="28"/>
          <w:highlight w:val="none"/>
          <w:lang w:val="en-US" w:eastAsia="zh-CN"/>
        </w:rPr>
        <w:t>10</w:t>
      </w:r>
      <w:r>
        <w:rPr>
          <w:rFonts w:hint="eastAsia" w:ascii="宋体" w:hAnsi="宋体" w:eastAsia="宋体" w:cs="宋体"/>
          <w:sz w:val="28"/>
          <w:szCs w:val="28"/>
          <w:highlight w:val="none"/>
        </w:rPr>
        <w:t>复验</w:t>
      </w:r>
      <w:r>
        <w:rPr>
          <w:rFonts w:hint="eastAsia" w:ascii="宋体" w:hAnsi="宋体" w:eastAsia="宋体" w:cs="宋体"/>
          <w:sz w:val="28"/>
          <w:szCs w:val="28"/>
          <w:highlight w:val="none"/>
          <w:lang w:val="en-US" w:eastAsia="zh-CN"/>
        </w:rPr>
        <w:t>产生的费用由提出异议方先行支付，最终</w:t>
      </w:r>
      <w:r>
        <w:rPr>
          <w:rFonts w:hint="eastAsia" w:ascii="宋体" w:hAnsi="宋体" w:eastAsia="宋体" w:cs="宋体"/>
          <w:sz w:val="28"/>
          <w:szCs w:val="28"/>
          <w:highlight w:val="none"/>
        </w:rPr>
        <w:t>复验的费用由责任方承担。即检验的结果证明产品符合本</w:t>
      </w:r>
      <w:r>
        <w:rPr>
          <w:rFonts w:hint="eastAsia" w:hAnsi="宋体" w:cs="宋体"/>
          <w:sz w:val="28"/>
          <w:szCs w:val="28"/>
          <w:lang w:val="en-US" w:eastAsia="zh-CN"/>
        </w:rPr>
        <w:t>技术任务书</w:t>
      </w:r>
      <w:r>
        <w:rPr>
          <w:rFonts w:hint="eastAsia" w:ascii="宋体" w:hAnsi="宋体" w:eastAsia="宋体" w:cs="宋体"/>
          <w:sz w:val="28"/>
          <w:szCs w:val="28"/>
          <w:highlight w:val="none"/>
        </w:rPr>
        <w:t>要求，则费用由</w:t>
      </w:r>
      <w:r>
        <w:rPr>
          <w:rFonts w:hint="eastAsia" w:ascii="宋体" w:hAnsi="宋体" w:cs="宋体"/>
          <w:sz w:val="28"/>
          <w:szCs w:val="28"/>
          <w:highlight w:val="none"/>
          <w:lang w:val="en-US" w:eastAsia="zh-CN"/>
        </w:rPr>
        <w:t>投</w:t>
      </w:r>
      <w:r>
        <w:rPr>
          <w:rFonts w:hint="eastAsia" w:ascii="宋体" w:hAnsi="宋体" w:eastAsia="宋体" w:cs="宋体"/>
          <w:sz w:val="28"/>
          <w:szCs w:val="28"/>
          <w:highlight w:val="none"/>
          <w:lang w:val="en-US" w:eastAsia="zh-CN"/>
        </w:rPr>
        <w:t>标</w:t>
      </w:r>
      <w:r>
        <w:rPr>
          <w:rFonts w:hint="eastAsia" w:ascii="宋体" w:hAnsi="宋体" w:eastAsia="宋体" w:cs="宋体"/>
          <w:sz w:val="28"/>
          <w:szCs w:val="28"/>
          <w:highlight w:val="none"/>
        </w:rPr>
        <w:t>方承担；反之由</w:t>
      </w:r>
      <w:r>
        <w:rPr>
          <w:rFonts w:hint="eastAsia" w:ascii="宋体" w:hAnsi="宋体" w:cs="宋体"/>
          <w:sz w:val="28"/>
          <w:szCs w:val="28"/>
          <w:highlight w:val="none"/>
          <w:lang w:val="en-US" w:eastAsia="zh-CN"/>
        </w:rPr>
        <w:t>招</w:t>
      </w:r>
      <w:r>
        <w:rPr>
          <w:rFonts w:hint="eastAsia" w:ascii="宋体" w:hAnsi="宋体" w:eastAsia="宋体" w:cs="宋体"/>
          <w:sz w:val="28"/>
          <w:szCs w:val="28"/>
          <w:highlight w:val="none"/>
          <w:lang w:val="en-US" w:eastAsia="zh-CN"/>
        </w:rPr>
        <w:t>标</w:t>
      </w:r>
      <w:r>
        <w:rPr>
          <w:rFonts w:hint="eastAsia" w:ascii="宋体" w:hAnsi="宋体" w:eastAsia="宋体" w:cs="宋体"/>
          <w:sz w:val="28"/>
          <w:szCs w:val="28"/>
          <w:highlight w:val="none"/>
        </w:rPr>
        <w:t>方承担。</w:t>
      </w:r>
    </w:p>
    <w:p>
      <w:pPr>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七、供货周期要</w:t>
      </w:r>
      <w:bookmarkEnd w:id="8"/>
      <w:r>
        <w:rPr>
          <w:rFonts w:hint="eastAsia" w:ascii="宋体" w:hAnsi="宋体" w:cs="宋体"/>
          <w:b/>
          <w:bCs/>
          <w:sz w:val="28"/>
          <w:szCs w:val="28"/>
          <w:lang w:val="en-US" w:eastAsia="zh-CN"/>
        </w:rPr>
        <w:t>求</w:t>
      </w:r>
      <w:bookmarkEnd w:id="9"/>
      <w:bookmarkEnd w:id="10"/>
      <w:bookmarkEnd w:id="11"/>
    </w:p>
    <w:p>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7</w:t>
      </w:r>
      <w:r>
        <w:rPr>
          <w:rFonts w:hint="eastAsia" w:ascii="宋体" w:hAnsi="宋体" w:eastAsia="宋体" w:cs="宋体"/>
          <w:sz w:val="28"/>
          <w:szCs w:val="28"/>
        </w:rPr>
        <w:t>.1</w:t>
      </w:r>
      <w:r>
        <w:rPr>
          <w:rFonts w:hint="eastAsia" w:ascii="宋体" w:hAnsi="宋体" w:eastAsia="宋体" w:cs="宋体"/>
          <w:sz w:val="28"/>
          <w:szCs w:val="28"/>
          <w:lang w:eastAsia="zh-CN"/>
        </w:rPr>
        <w:t>交货期：</w:t>
      </w:r>
      <w:r>
        <w:rPr>
          <w:rFonts w:hint="eastAsia" w:ascii="宋体" w:hAnsi="宋体" w:eastAsia="宋体" w:cs="宋体"/>
          <w:sz w:val="28"/>
          <w:szCs w:val="28"/>
        </w:rPr>
        <w:t>根据《供货时间表》进行供货，具体交货时间由招标方根据现场生产进度情况通知投标方。投标方必须按要求保质保量的进行供货，如因质量问题或供货问题造成影响，因此造成损失由投标方全部承担</w:t>
      </w:r>
      <w:r>
        <w:rPr>
          <w:rFonts w:hint="eastAsia" w:ascii="宋体" w:hAnsi="宋体" w:cs="宋体"/>
          <w:sz w:val="28"/>
          <w:szCs w:val="28"/>
          <w:lang w:eastAsia="zh-CN"/>
        </w:rPr>
        <w:t>。</w:t>
      </w:r>
    </w:p>
    <w:p>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.2交货地点：广西田林县旧州镇板坚村桂黔（田林）经济合作产业园区田林百矿田田碳素有限公司</w:t>
      </w:r>
      <w:r>
        <w:rPr>
          <w:rFonts w:hint="eastAsia" w:ascii="宋体" w:hAnsi="宋体" w:cs="宋体"/>
          <w:sz w:val="28"/>
          <w:szCs w:val="28"/>
          <w:lang w:val="en-US" w:eastAsia="zh-CN"/>
        </w:rPr>
        <w:t>煅烧</w:t>
      </w:r>
      <w:r>
        <w:rPr>
          <w:rFonts w:hint="eastAsia" w:ascii="宋体" w:hAnsi="宋体" w:eastAsia="宋体" w:cs="宋体"/>
          <w:sz w:val="28"/>
          <w:szCs w:val="28"/>
          <w:lang w:val="en-US" w:eastAsia="zh-CN"/>
        </w:rPr>
        <w:t>车间生产</w:t>
      </w:r>
      <w:r>
        <w:rPr>
          <w:rFonts w:hint="eastAsia" w:ascii="宋体" w:hAnsi="宋体" w:eastAsia="宋体" w:cs="宋体"/>
          <w:sz w:val="28"/>
          <w:szCs w:val="28"/>
        </w:rPr>
        <w:t>现场。</w:t>
      </w:r>
    </w:p>
    <w:p>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.3交货方式：由</w:t>
      </w:r>
      <w:r>
        <w:rPr>
          <w:rFonts w:hint="eastAsia"/>
          <w:b w:val="0"/>
          <w:bCs/>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全部配送到</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生产</w:t>
      </w:r>
      <w:r>
        <w:rPr>
          <w:rFonts w:hint="eastAsia" w:ascii="宋体" w:hAnsi="宋体" w:eastAsia="宋体" w:cs="宋体"/>
          <w:sz w:val="28"/>
          <w:szCs w:val="28"/>
        </w:rPr>
        <w:t>现场，并根据本</w:t>
      </w:r>
      <w:r>
        <w:rPr>
          <w:rFonts w:hint="eastAsia" w:ascii="宋体" w:hAnsi="宋体" w:eastAsia="宋体" w:cs="宋体"/>
          <w:sz w:val="28"/>
          <w:szCs w:val="28"/>
          <w:lang w:eastAsia="zh-CN"/>
        </w:rPr>
        <w:t>技术任务书</w:t>
      </w:r>
      <w:r>
        <w:rPr>
          <w:rFonts w:hint="eastAsia" w:ascii="宋体" w:hAnsi="宋体" w:eastAsia="宋体" w:cs="宋体"/>
          <w:sz w:val="28"/>
          <w:szCs w:val="28"/>
        </w:rPr>
        <w:t>规定的标准、规程、规范进行验收，合格后交货。</w:t>
      </w:r>
      <w:bookmarkStart w:id="12" w:name="_Toc9358_WPSOffice_Level1"/>
      <w:bookmarkStart w:id="13" w:name="_Toc5537_WPSOffice_Level1"/>
      <w:bookmarkStart w:id="14" w:name="_Toc13632"/>
      <w:bookmarkStart w:id="15" w:name="_Toc13087"/>
    </w:p>
    <w:p>
      <w:pPr>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八、其</w:t>
      </w:r>
      <w:bookmarkEnd w:id="12"/>
      <w:r>
        <w:rPr>
          <w:rFonts w:hint="eastAsia" w:ascii="宋体" w:hAnsi="宋体" w:cs="宋体"/>
          <w:b/>
          <w:bCs/>
          <w:sz w:val="28"/>
          <w:szCs w:val="28"/>
          <w:lang w:val="en-US" w:eastAsia="zh-CN"/>
        </w:rPr>
        <w:t>它</w:t>
      </w:r>
      <w:bookmarkEnd w:id="13"/>
      <w:bookmarkEnd w:id="14"/>
      <w:bookmarkEnd w:id="15"/>
    </w:p>
    <w:p>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.1以上条款，双方应严格执行，未尽事宜，双方本着友好协商原则随时协调解决，作为协议的补充条款。</w:t>
      </w:r>
    </w:p>
    <w:p>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.2本</w:t>
      </w:r>
      <w:r>
        <w:rPr>
          <w:rFonts w:hint="eastAsia" w:ascii="宋体" w:hAnsi="宋体" w:eastAsia="宋体" w:cs="宋体"/>
          <w:sz w:val="28"/>
          <w:szCs w:val="28"/>
          <w:lang w:eastAsia="zh-CN"/>
        </w:rPr>
        <w:t>技术任务书</w:t>
      </w:r>
      <w:r>
        <w:rPr>
          <w:rFonts w:hint="eastAsia" w:ascii="宋体" w:hAnsi="宋体" w:eastAsia="宋体" w:cs="宋体"/>
          <w:sz w:val="28"/>
          <w:szCs w:val="28"/>
        </w:rPr>
        <w:t>将作为合同的一个附件，并与合同文件具有相同的法律效力。双方共同签署的会议纪要、补充文件等也与合同文件有相同的法律效力。</w:t>
      </w:r>
    </w:p>
    <w:p>
      <w:pPr>
        <w:keepNext w:val="0"/>
        <w:keepLines w:val="0"/>
        <w:pageBreakBefore w:val="0"/>
        <w:widowControl w:val="0"/>
        <w:kinsoku/>
        <w:wordWrap/>
        <w:overflowPunct/>
        <w:topLinePunct w:val="0"/>
        <w:autoSpaceDE/>
        <w:autoSpaceDN/>
        <w:bidi w:val="0"/>
        <w:adjustRightInd/>
        <w:spacing w:line="460" w:lineRule="exact"/>
        <w:ind w:left="0" w:firstLine="560" w:firstLineChars="200"/>
        <w:textAlignment w:val="auto"/>
        <w:rPr>
          <w:rFonts w:hint="eastAsia" w:ascii="宋体" w:hAnsi="宋体" w:cs="宋体"/>
          <w:sz w:val="28"/>
          <w:szCs w:val="28"/>
          <w:lang w:val="en-US" w:eastAsia="zh-CN"/>
        </w:rPr>
      </w:pPr>
    </w:p>
    <w:p>
      <w:pPr>
        <w:keepNext w:val="0"/>
        <w:keepLines w:val="0"/>
        <w:pageBreakBefore w:val="0"/>
        <w:widowControl w:val="0"/>
        <w:kinsoku/>
        <w:wordWrap/>
        <w:overflowPunct/>
        <w:topLinePunct w:val="0"/>
        <w:autoSpaceDE/>
        <w:autoSpaceDN/>
        <w:bidi w:val="0"/>
        <w:adjustRightInd/>
        <w:spacing w:line="460" w:lineRule="exact"/>
        <w:ind w:left="0"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石油焦供货时间表</w:t>
      </w:r>
    </w:p>
    <w:tbl>
      <w:tblPr>
        <w:tblStyle w:val="9"/>
        <w:tblW w:w="91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6"/>
        <w:gridCol w:w="2569"/>
        <w:gridCol w:w="2375"/>
        <w:gridCol w:w="2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5"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供货时间</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2024年2月</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bookmarkStart w:id="16" w:name="_GoBack"/>
            <w:bookmarkEnd w:id="16"/>
            <w:r>
              <w:rPr>
                <w:rFonts w:hint="eastAsia" w:ascii="宋体" w:hAnsi="宋体" w:eastAsia="宋体" w:cs="宋体"/>
                <w:b/>
                <w:bCs/>
                <w:i w:val="0"/>
                <w:iCs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供货量（吨）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25000（其中硫≤1占5000）</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25000（其中硫≤1占5000）</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50000</w:t>
            </w:r>
            <w:r>
              <w:rPr>
                <w:rFonts w:hint="eastAsia" w:ascii="宋体" w:hAnsi="宋体" w:cs="宋体"/>
                <w:i w:val="0"/>
                <w:iCs w:val="0"/>
                <w:color w:val="000000"/>
                <w:kern w:val="0"/>
                <w:sz w:val="24"/>
                <w:szCs w:val="24"/>
                <w:u w:val="none"/>
                <w:lang w:val="en-US" w:eastAsia="zh-CN" w:bidi="ar"/>
              </w:rPr>
              <w:t>（其中硫≤1占10000）</w:t>
            </w:r>
          </w:p>
        </w:tc>
      </w:tr>
    </w:tbl>
    <w:p>
      <w:pPr>
        <w:rPr>
          <w:rFonts w:hint="eastAsia" w:ascii="宋体" w:hAnsi="宋体" w:eastAsia="宋体" w:cs="宋体"/>
          <w:sz w:val="28"/>
          <w:szCs w:val="28"/>
          <w:lang w:eastAsia="zh-CN"/>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ODgwZDk4Njk2Zjc5NzBlNjhlZDk5OTRhY2E0YzgifQ=="/>
  </w:docVars>
  <w:rsids>
    <w:rsidRoot w:val="00000000"/>
    <w:rsid w:val="004D497E"/>
    <w:rsid w:val="005E0AA6"/>
    <w:rsid w:val="00963E2E"/>
    <w:rsid w:val="04D31337"/>
    <w:rsid w:val="050E03B0"/>
    <w:rsid w:val="053A3164"/>
    <w:rsid w:val="058D14E6"/>
    <w:rsid w:val="05CA5990"/>
    <w:rsid w:val="06113075"/>
    <w:rsid w:val="0636392C"/>
    <w:rsid w:val="06397407"/>
    <w:rsid w:val="06463FE3"/>
    <w:rsid w:val="06470FFE"/>
    <w:rsid w:val="066906E0"/>
    <w:rsid w:val="069733C6"/>
    <w:rsid w:val="07C21D4B"/>
    <w:rsid w:val="07E13D6B"/>
    <w:rsid w:val="08B72D3C"/>
    <w:rsid w:val="08D91F10"/>
    <w:rsid w:val="08E76C6E"/>
    <w:rsid w:val="094372C5"/>
    <w:rsid w:val="0992356F"/>
    <w:rsid w:val="0A3D07AB"/>
    <w:rsid w:val="0A9651AE"/>
    <w:rsid w:val="0B2C19BD"/>
    <w:rsid w:val="0B443CAE"/>
    <w:rsid w:val="0C5A1D0D"/>
    <w:rsid w:val="0D2A5EE6"/>
    <w:rsid w:val="0DCA53CF"/>
    <w:rsid w:val="0EF95E3E"/>
    <w:rsid w:val="104A6951"/>
    <w:rsid w:val="10576D4C"/>
    <w:rsid w:val="11366ED6"/>
    <w:rsid w:val="116508C6"/>
    <w:rsid w:val="137612B1"/>
    <w:rsid w:val="14A80949"/>
    <w:rsid w:val="15393602"/>
    <w:rsid w:val="1747601B"/>
    <w:rsid w:val="17E045D4"/>
    <w:rsid w:val="17EC7A44"/>
    <w:rsid w:val="193B4AC7"/>
    <w:rsid w:val="19EC297C"/>
    <w:rsid w:val="1A0C37EE"/>
    <w:rsid w:val="1DAE0412"/>
    <w:rsid w:val="1EEE3451"/>
    <w:rsid w:val="1F1D18F8"/>
    <w:rsid w:val="1F621366"/>
    <w:rsid w:val="1FCF0C21"/>
    <w:rsid w:val="1FE2318E"/>
    <w:rsid w:val="226D01D4"/>
    <w:rsid w:val="226F16EE"/>
    <w:rsid w:val="236E0751"/>
    <w:rsid w:val="24474BEB"/>
    <w:rsid w:val="24E8008F"/>
    <w:rsid w:val="25C22339"/>
    <w:rsid w:val="2624159B"/>
    <w:rsid w:val="265728E7"/>
    <w:rsid w:val="2705317A"/>
    <w:rsid w:val="270A253F"/>
    <w:rsid w:val="27DD27D7"/>
    <w:rsid w:val="28133675"/>
    <w:rsid w:val="28140F26"/>
    <w:rsid w:val="28387360"/>
    <w:rsid w:val="289D6024"/>
    <w:rsid w:val="28C8445F"/>
    <w:rsid w:val="2932694C"/>
    <w:rsid w:val="29422464"/>
    <w:rsid w:val="29B61DA0"/>
    <w:rsid w:val="2A6357CE"/>
    <w:rsid w:val="2B7B5151"/>
    <w:rsid w:val="2B820E83"/>
    <w:rsid w:val="2B9C414B"/>
    <w:rsid w:val="2D19172E"/>
    <w:rsid w:val="2D6038E3"/>
    <w:rsid w:val="2D874B0C"/>
    <w:rsid w:val="2E094915"/>
    <w:rsid w:val="2E6B5FB9"/>
    <w:rsid w:val="2E6F2ADF"/>
    <w:rsid w:val="2E9A30C2"/>
    <w:rsid w:val="2EBF047C"/>
    <w:rsid w:val="2F286686"/>
    <w:rsid w:val="304A60A2"/>
    <w:rsid w:val="30580A8B"/>
    <w:rsid w:val="31337BBB"/>
    <w:rsid w:val="313C6677"/>
    <w:rsid w:val="32537FC7"/>
    <w:rsid w:val="32D358E1"/>
    <w:rsid w:val="333651AE"/>
    <w:rsid w:val="33684523"/>
    <w:rsid w:val="346B286A"/>
    <w:rsid w:val="34881C55"/>
    <w:rsid w:val="34CE44CF"/>
    <w:rsid w:val="34DD1522"/>
    <w:rsid w:val="34E22D4D"/>
    <w:rsid w:val="35642093"/>
    <w:rsid w:val="359F6534"/>
    <w:rsid w:val="37611BC4"/>
    <w:rsid w:val="380059F5"/>
    <w:rsid w:val="38FE5C7B"/>
    <w:rsid w:val="391B2228"/>
    <w:rsid w:val="397C78BE"/>
    <w:rsid w:val="3A80103E"/>
    <w:rsid w:val="3AD470DA"/>
    <w:rsid w:val="3CCE67A9"/>
    <w:rsid w:val="3FC2057E"/>
    <w:rsid w:val="4041301D"/>
    <w:rsid w:val="405745EF"/>
    <w:rsid w:val="412F10C8"/>
    <w:rsid w:val="413A0F29"/>
    <w:rsid w:val="41942A6F"/>
    <w:rsid w:val="420C2E76"/>
    <w:rsid w:val="42531300"/>
    <w:rsid w:val="42E77528"/>
    <w:rsid w:val="43773578"/>
    <w:rsid w:val="440F0CC0"/>
    <w:rsid w:val="44D22496"/>
    <w:rsid w:val="45F14B9E"/>
    <w:rsid w:val="48E111EB"/>
    <w:rsid w:val="494F1357"/>
    <w:rsid w:val="495A6EFE"/>
    <w:rsid w:val="49A85EBB"/>
    <w:rsid w:val="49DE5CE3"/>
    <w:rsid w:val="4A683404"/>
    <w:rsid w:val="4A7B0214"/>
    <w:rsid w:val="4AB32908"/>
    <w:rsid w:val="4AE50A49"/>
    <w:rsid w:val="4B0B04B0"/>
    <w:rsid w:val="4B5C09E5"/>
    <w:rsid w:val="4C39086D"/>
    <w:rsid w:val="4CD60F91"/>
    <w:rsid w:val="4E351260"/>
    <w:rsid w:val="4EB64BD7"/>
    <w:rsid w:val="4F746B4B"/>
    <w:rsid w:val="4F811237"/>
    <w:rsid w:val="501F41DC"/>
    <w:rsid w:val="511248E2"/>
    <w:rsid w:val="521E43A8"/>
    <w:rsid w:val="53C4226C"/>
    <w:rsid w:val="54F93FC5"/>
    <w:rsid w:val="555A5F3E"/>
    <w:rsid w:val="556D1BA9"/>
    <w:rsid w:val="55853555"/>
    <w:rsid w:val="559635F6"/>
    <w:rsid w:val="55D96900"/>
    <w:rsid w:val="566E4165"/>
    <w:rsid w:val="569E03B1"/>
    <w:rsid w:val="5717555E"/>
    <w:rsid w:val="571921A6"/>
    <w:rsid w:val="57222B83"/>
    <w:rsid w:val="5748072D"/>
    <w:rsid w:val="577B5E98"/>
    <w:rsid w:val="579D07F2"/>
    <w:rsid w:val="58360B36"/>
    <w:rsid w:val="583E71D6"/>
    <w:rsid w:val="586170E7"/>
    <w:rsid w:val="58D462D8"/>
    <w:rsid w:val="592D126E"/>
    <w:rsid w:val="59EA57DC"/>
    <w:rsid w:val="59F40CA9"/>
    <w:rsid w:val="5AD20FEA"/>
    <w:rsid w:val="5AFD2B27"/>
    <w:rsid w:val="5BB144CF"/>
    <w:rsid w:val="5C703D57"/>
    <w:rsid w:val="5C844566"/>
    <w:rsid w:val="5D144BE5"/>
    <w:rsid w:val="5D5715A2"/>
    <w:rsid w:val="5DB46785"/>
    <w:rsid w:val="5F29558B"/>
    <w:rsid w:val="5F3C2ED6"/>
    <w:rsid w:val="5F791F35"/>
    <w:rsid w:val="607C7708"/>
    <w:rsid w:val="60991F8F"/>
    <w:rsid w:val="60F61AB0"/>
    <w:rsid w:val="60F97ED1"/>
    <w:rsid w:val="6118527D"/>
    <w:rsid w:val="638906B4"/>
    <w:rsid w:val="641D3B93"/>
    <w:rsid w:val="659F0703"/>
    <w:rsid w:val="665723A3"/>
    <w:rsid w:val="67173028"/>
    <w:rsid w:val="69B05A6A"/>
    <w:rsid w:val="6A167922"/>
    <w:rsid w:val="6A856377"/>
    <w:rsid w:val="6AC111FF"/>
    <w:rsid w:val="6BC524A5"/>
    <w:rsid w:val="6BF6265F"/>
    <w:rsid w:val="6C0D3BF3"/>
    <w:rsid w:val="6C150A7F"/>
    <w:rsid w:val="6C16337E"/>
    <w:rsid w:val="6C18267B"/>
    <w:rsid w:val="6C68148F"/>
    <w:rsid w:val="6C8E41B5"/>
    <w:rsid w:val="6CE01094"/>
    <w:rsid w:val="6CFE1D23"/>
    <w:rsid w:val="6E9C331F"/>
    <w:rsid w:val="703444AC"/>
    <w:rsid w:val="70B24803"/>
    <w:rsid w:val="71072C18"/>
    <w:rsid w:val="71BC3694"/>
    <w:rsid w:val="72203F91"/>
    <w:rsid w:val="72DC4E57"/>
    <w:rsid w:val="74042951"/>
    <w:rsid w:val="7414709D"/>
    <w:rsid w:val="751B1D49"/>
    <w:rsid w:val="75C54384"/>
    <w:rsid w:val="761121DA"/>
    <w:rsid w:val="761D0123"/>
    <w:rsid w:val="764C1CC7"/>
    <w:rsid w:val="76EB3295"/>
    <w:rsid w:val="77FB68A4"/>
    <w:rsid w:val="781B0E8D"/>
    <w:rsid w:val="787564C6"/>
    <w:rsid w:val="78B96EEE"/>
    <w:rsid w:val="7903214D"/>
    <w:rsid w:val="79E47F9A"/>
    <w:rsid w:val="7A006172"/>
    <w:rsid w:val="7B4D3F43"/>
    <w:rsid w:val="7B5D50AA"/>
    <w:rsid w:val="7BB31019"/>
    <w:rsid w:val="7C1A0FF3"/>
    <w:rsid w:val="7D596400"/>
    <w:rsid w:val="7D975A1A"/>
    <w:rsid w:val="7DD00D6C"/>
    <w:rsid w:val="7DDA520A"/>
    <w:rsid w:val="7E3F0E51"/>
    <w:rsid w:val="7E4D4054"/>
    <w:rsid w:val="7E7062A0"/>
    <w:rsid w:val="7EA128FE"/>
    <w:rsid w:val="7EC464B5"/>
    <w:rsid w:val="7FFC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Calibri" w:hAnsi="Calibri" w:eastAsia="宋体" w:cs="宋体"/>
      <w:kern w:val="2"/>
      <w:sz w:val="21"/>
      <w:szCs w:val="24"/>
      <w:lang w:val="en-US" w:eastAsia="zh-CN" w:bidi="ar-SA"/>
    </w:rPr>
  </w:style>
  <w:style w:type="paragraph" w:styleId="4">
    <w:name w:val="heading 1"/>
    <w:basedOn w:val="1"/>
    <w:next w:val="1"/>
    <w:autoRedefine/>
    <w:qFormat/>
    <w:uiPriority w:val="0"/>
    <w:pPr>
      <w:keepNext/>
      <w:keepLines/>
      <w:spacing w:beforeAutospacing="0" w:afterAutospacing="0" w:line="240" w:lineRule="auto"/>
      <w:outlineLvl w:val="0"/>
    </w:pPr>
    <w:rPr>
      <w:rFonts w:ascii="Times New Roman" w:hAnsi="Times New Roman"/>
      <w:b/>
      <w:kern w:val="44"/>
      <w:sz w:val="28"/>
    </w:rPr>
  </w:style>
  <w:style w:type="character" w:default="1" w:styleId="11">
    <w:name w:val="Default Paragraph Font"/>
    <w:qFormat/>
    <w:uiPriority w:val="0"/>
  </w:style>
  <w:style w:type="table" w:default="1" w:styleId="9">
    <w:name w:val="Normal Table"/>
    <w:autoRedefine/>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styleId="5">
    <w:name w:val="Body Text"/>
    <w:basedOn w:val="1"/>
    <w:autoRedefine/>
    <w:qFormat/>
    <w:uiPriority w:val="1"/>
    <w:rPr>
      <w:rFonts w:ascii="宋体" w:hAnsi="宋体" w:eastAsia="宋体" w:cs="宋体"/>
      <w:sz w:val="24"/>
      <w:szCs w:val="24"/>
    </w:rPr>
  </w:style>
  <w:style w:type="paragraph" w:styleId="6">
    <w:name w:val="footer"/>
    <w:basedOn w:val="1"/>
    <w:autoRedefine/>
    <w:qFormat/>
    <w:uiPriority w:val="0"/>
    <w:pPr>
      <w:tabs>
        <w:tab w:val="center" w:pos="4153"/>
        <w:tab w:val="right" w:pos="8306"/>
      </w:tabs>
      <w:snapToGrid w:val="0"/>
      <w:jc w:val="left"/>
    </w:pPr>
    <w:rPr>
      <w:sz w:val="20"/>
      <w:szCs w:val="20"/>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1"/>
    <w:basedOn w:val="1"/>
    <w:qFormat/>
    <w:uiPriority w:val="0"/>
    <w:pPr>
      <w:adjustRightInd w:val="0"/>
      <w:spacing w:line="360" w:lineRule="atLeast"/>
      <w:jc w:val="left"/>
    </w:pPr>
    <w:rPr>
      <w:rFonts w:ascii="宋体"/>
      <w:kern w:val="0"/>
      <w:sz w:val="24"/>
    </w:rPr>
  </w:style>
  <w:style w:type="paragraph" w:customStyle="1" w:styleId="13">
    <w:name w:val="Table Paragraph"/>
    <w:basedOn w:val="1"/>
    <w:autoRedefine/>
    <w:qFormat/>
    <w:uiPriority w:val="1"/>
    <w:rPr>
      <w:rFonts w:ascii="宋体" w:hAnsi="宋体" w:eastAsia="宋体" w:cs="宋体"/>
    </w:rPr>
  </w:style>
  <w:style w:type="paragraph" w:styleId="14">
    <w:name w:val="List Paragraph"/>
    <w:basedOn w:val="1"/>
    <w:autoRedefine/>
    <w:qFormat/>
    <w:uiPriority w:val="1"/>
    <w:pPr>
      <w:ind w:left="620"/>
    </w:pPr>
    <w:rPr>
      <w:rFonts w:ascii="宋体" w:hAnsi="宋体" w:eastAsia="宋体" w:cs="宋体"/>
    </w:rPr>
  </w:style>
  <w:style w:type="character" w:customStyle="1" w:styleId="15">
    <w:name w:val="font21"/>
    <w:basedOn w:val="11"/>
    <w:autoRedefine/>
    <w:qFormat/>
    <w:uiPriority w:val="0"/>
    <w:rPr>
      <w:rFonts w:hint="eastAsia" w:ascii="微软雅黑" w:hAnsi="微软雅黑" w:eastAsia="微软雅黑" w:cs="微软雅黑"/>
      <w:b/>
      <w:bCs/>
      <w:color w:val="000000"/>
      <w:sz w:val="24"/>
      <w:szCs w:val="24"/>
      <w:u w:val="none"/>
    </w:rPr>
  </w:style>
  <w:style w:type="character" w:customStyle="1" w:styleId="16">
    <w:name w:val="font11"/>
    <w:basedOn w:val="11"/>
    <w:autoRedefine/>
    <w:qFormat/>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2783</Words>
  <Characters>2989</Characters>
  <Paragraphs>245</Paragraphs>
  <TotalTime>2</TotalTime>
  <ScaleCrop>false</ScaleCrop>
  <LinksUpToDate>false</LinksUpToDate>
  <CharactersWithSpaces>3148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彭素华</cp:lastModifiedBy>
  <dcterms:modified xsi:type="dcterms:W3CDTF">2024-01-10T10:54:10Z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AACE5109534243E3A599A194405C2063_13</vt:lpwstr>
  </property>
  <property fmtid="{D5CDD505-2E9C-101B-9397-08002B2CF9AE}" pid="4" name="EagleCloud">
    <vt:lpwstr>{"watermark_type":"track","current_time":"2024-08-21 15:35","employee_id":"emp_2da96f75-0b45-4af3-bf3a-38609f91b695","agent_id":"8b90a25604da078cff57e1f0b5efbd855c62cafd042b3005f53f34a9c03127ca","process":"","custom_content":"科技租户","total_content":"2024-08-21 15:35-emp_2da96f75-0b45-4af3-bf3a-38609f91b695-8b90a25604da078cff57e1f0b5efbd855c62cafd042b3005f53f34a9c03127ca-{{process}}-科技租户"}</vt:lpwstr>
  </property>
</Properties>
</file>