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314B">
      <w:pPr>
        <w:ind w:left="883" w:leftChars="0" w:hanging="883" w:hanging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田林百矿田田碳素有限</w:t>
      </w:r>
      <w:r>
        <w:rPr>
          <w:rFonts w:hint="eastAsia" w:asciiTheme="majorEastAsia" w:hAnsiTheme="majorEastAsia" w:eastAsiaTheme="majorEastAsia" w:cstheme="majorEastAsia"/>
          <w:b/>
          <w:bCs/>
          <w:color w:val="auto"/>
          <w:sz w:val="44"/>
          <w:szCs w:val="44"/>
          <w:lang w:eastAsia="zh-CN"/>
        </w:rPr>
        <w:t>公</w:t>
      </w:r>
      <w:r>
        <w:rPr>
          <w:rFonts w:hint="eastAsia" w:asciiTheme="majorEastAsia" w:hAnsiTheme="majorEastAsia" w:eastAsiaTheme="majorEastAsia" w:cstheme="majorEastAsia"/>
          <w:b/>
          <w:bCs/>
          <w:color w:val="auto"/>
          <w:sz w:val="44"/>
          <w:szCs w:val="44"/>
        </w:rPr>
        <w:t>司</w:t>
      </w:r>
    </w:p>
    <w:p w14:paraId="23EE92B4">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煅后石油焦</w:t>
      </w:r>
      <w:r>
        <w:rPr>
          <w:rFonts w:hint="eastAsia" w:asciiTheme="majorEastAsia" w:hAnsiTheme="majorEastAsia" w:eastAsiaTheme="majorEastAsia" w:cstheme="majorEastAsia"/>
          <w:b/>
          <w:bCs/>
          <w:color w:val="auto"/>
          <w:sz w:val="44"/>
          <w:szCs w:val="44"/>
          <w:lang w:eastAsia="zh-CN"/>
        </w:rPr>
        <w:t>采购项目</w:t>
      </w:r>
    </w:p>
    <w:p w14:paraId="49EDE8CF">
      <w:pPr>
        <w:ind w:left="880" w:leftChars="419" w:firstLine="2209" w:firstLineChars="500"/>
        <w:jc w:val="both"/>
        <w:rPr>
          <w:rFonts w:hint="eastAsia"/>
          <w:b/>
          <w:bCs/>
          <w:color w:val="auto"/>
          <w:sz w:val="44"/>
          <w:szCs w:val="44"/>
          <w:lang w:val="en-US" w:eastAsia="zh-CN"/>
        </w:rPr>
      </w:pPr>
    </w:p>
    <w:p w14:paraId="5B0E4EC3">
      <w:pPr>
        <w:ind w:left="880" w:leftChars="419" w:firstLine="2209" w:firstLineChars="500"/>
        <w:jc w:val="both"/>
        <w:rPr>
          <w:rFonts w:hint="eastAsia"/>
          <w:b/>
          <w:bCs/>
          <w:color w:val="auto"/>
          <w:sz w:val="44"/>
          <w:szCs w:val="44"/>
          <w:lang w:val="en-US" w:eastAsia="zh-CN"/>
        </w:rPr>
      </w:pPr>
    </w:p>
    <w:p w14:paraId="5464697A">
      <w:pPr>
        <w:ind w:left="880" w:leftChars="419" w:firstLine="2209" w:firstLineChars="500"/>
        <w:jc w:val="both"/>
        <w:rPr>
          <w:rFonts w:hint="eastAsia"/>
          <w:b/>
          <w:bCs/>
          <w:color w:val="auto"/>
          <w:sz w:val="44"/>
          <w:szCs w:val="44"/>
          <w:lang w:val="en-US" w:eastAsia="zh-CN"/>
        </w:rPr>
      </w:pPr>
    </w:p>
    <w:p w14:paraId="04949C83">
      <w:pPr>
        <w:ind w:left="880" w:leftChars="419" w:firstLine="2209" w:firstLineChars="5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44"/>
          <w:szCs w:val="44"/>
          <w:lang w:eastAsia="zh-CN"/>
        </w:rPr>
        <w:t>技术</w:t>
      </w:r>
      <w:r>
        <w:rPr>
          <w:rFonts w:hint="eastAsia" w:asciiTheme="majorEastAsia" w:hAnsiTheme="majorEastAsia" w:eastAsiaTheme="majorEastAsia" w:cstheme="majorEastAsia"/>
          <w:b/>
          <w:bCs/>
          <w:color w:val="auto"/>
          <w:sz w:val="44"/>
          <w:szCs w:val="44"/>
        </w:rPr>
        <w:t>任务书</w:t>
      </w:r>
    </w:p>
    <w:p w14:paraId="0C303932">
      <w:pPr>
        <w:ind w:firstLine="562" w:firstLineChars="200"/>
        <w:jc w:val="left"/>
        <w:rPr>
          <w:rFonts w:hint="eastAsia" w:asciiTheme="majorEastAsia" w:hAnsiTheme="majorEastAsia" w:eastAsiaTheme="majorEastAsia" w:cstheme="majorEastAsia"/>
          <w:b/>
          <w:bCs/>
          <w:color w:val="auto"/>
          <w:sz w:val="28"/>
          <w:szCs w:val="28"/>
        </w:rPr>
      </w:pPr>
    </w:p>
    <w:p w14:paraId="2AC2C62C">
      <w:pPr>
        <w:pStyle w:val="2"/>
        <w:rPr>
          <w:rFonts w:hint="eastAsia"/>
          <w:b/>
          <w:bCs/>
          <w:color w:val="auto"/>
          <w:sz w:val="28"/>
          <w:szCs w:val="28"/>
        </w:rPr>
      </w:pPr>
    </w:p>
    <w:p w14:paraId="36110098">
      <w:pPr>
        <w:pStyle w:val="2"/>
        <w:rPr>
          <w:rFonts w:hint="eastAsia"/>
          <w:b/>
          <w:bCs/>
          <w:color w:val="auto"/>
          <w:sz w:val="28"/>
          <w:szCs w:val="28"/>
        </w:rPr>
      </w:pPr>
    </w:p>
    <w:p w14:paraId="22E2493D">
      <w:pPr>
        <w:pStyle w:val="2"/>
        <w:rPr>
          <w:rFonts w:hint="eastAsia"/>
          <w:b/>
          <w:bCs/>
          <w:color w:val="auto"/>
          <w:sz w:val="28"/>
          <w:szCs w:val="28"/>
        </w:rPr>
      </w:pPr>
    </w:p>
    <w:p w14:paraId="6044164E">
      <w:pPr>
        <w:pStyle w:val="2"/>
        <w:rPr>
          <w:rFonts w:hint="eastAsia"/>
          <w:b/>
          <w:bCs/>
          <w:color w:val="auto"/>
          <w:sz w:val="28"/>
          <w:szCs w:val="28"/>
        </w:rPr>
      </w:pPr>
    </w:p>
    <w:p w14:paraId="2DBEBF20">
      <w:pPr>
        <w:ind w:firstLine="562" w:firstLineChars="200"/>
        <w:rPr>
          <w:rFonts w:hint="eastAsia"/>
          <w:b/>
          <w:bCs/>
          <w:color w:val="auto"/>
          <w:sz w:val="28"/>
          <w:szCs w:val="28"/>
        </w:rPr>
      </w:pPr>
    </w:p>
    <w:p w14:paraId="59B8AA0B">
      <w:pPr>
        <w:ind w:firstLine="562" w:firstLineChars="200"/>
        <w:rPr>
          <w:rFonts w:hint="eastAsia"/>
          <w:b/>
          <w:bCs/>
          <w:color w:val="auto"/>
          <w:sz w:val="28"/>
          <w:szCs w:val="28"/>
        </w:rPr>
      </w:pPr>
    </w:p>
    <w:p w14:paraId="11D2469A">
      <w:pPr>
        <w:pStyle w:val="2"/>
        <w:rPr>
          <w:rFonts w:hint="eastAsia"/>
          <w:color w:val="auto"/>
        </w:rPr>
      </w:pPr>
    </w:p>
    <w:p w14:paraId="680BE1DB">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编</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制：</w:t>
      </w:r>
      <w:r>
        <w:rPr>
          <w:rFonts w:hint="eastAsia" w:asciiTheme="majorEastAsia" w:hAnsiTheme="majorEastAsia" w:eastAsiaTheme="majorEastAsia" w:cstheme="majorEastAsia"/>
          <w:b/>
          <w:bCs/>
          <w:color w:val="auto"/>
          <w:sz w:val="30"/>
          <w:szCs w:val="30"/>
          <w:u w:val="single"/>
          <w:lang w:val="en-US" w:eastAsia="zh-CN"/>
        </w:rPr>
        <w:t xml:space="preserve">                 </w:t>
      </w:r>
    </w:p>
    <w:p w14:paraId="2DBE52AF">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审</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核：</w:t>
      </w:r>
      <w:r>
        <w:rPr>
          <w:rFonts w:hint="eastAsia" w:asciiTheme="majorEastAsia" w:hAnsiTheme="majorEastAsia" w:eastAsiaTheme="majorEastAsia" w:cstheme="majorEastAsia"/>
          <w:b/>
          <w:bCs/>
          <w:color w:val="auto"/>
          <w:sz w:val="30"/>
          <w:szCs w:val="30"/>
          <w:u w:val="single"/>
          <w:lang w:val="en-US" w:eastAsia="zh-CN"/>
        </w:rPr>
        <w:t xml:space="preserve">                 </w:t>
      </w:r>
    </w:p>
    <w:p w14:paraId="4449CFE3">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批</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准：</w:t>
      </w:r>
      <w:r>
        <w:rPr>
          <w:rFonts w:hint="eastAsia" w:asciiTheme="majorEastAsia" w:hAnsiTheme="majorEastAsia" w:eastAsiaTheme="majorEastAsia" w:cstheme="majorEastAsia"/>
          <w:b/>
          <w:bCs/>
          <w:color w:val="auto"/>
          <w:sz w:val="30"/>
          <w:szCs w:val="30"/>
          <w:u w:val="single"/>
          <w:lang w:val="en-US" w:eastAsia="zh-CN"/>
        </w:rPr>
        <w:t xml:space="preserve">                 </w:t>
      </w:r>
    </w:p>
    <w:p w14:paraId="5A3045EA">
      <w:pPr>
        <w:ind w:firstLine="562" w:firstLineChars="200"/>
        <w:rPr>
          <w:rFonts w:hint="eastAsia" w:asciiTheme="majorEastAsia" w:hAnsiTheme="majorEastAsia" w:eastAsiaTheme="majorEastAsia" w:cstheme="majorEastAsia"/>
          <w:b/>
          <w:bCs/>
          <w:color w:val="auto"/>
          <w:sz w:val="28"/>
          <w:szCs w:val="28"/>
        </w:rPr>
      </w:pPr>
    </w:p>
    <w:p w14:paraId="7B72ACEA">
      <w:pPr>
        <w:rPr>
          <w:rFonts w:hint="eastAsia"/>
          <w:b/>
          <w:bCs/>
          <w:color w:val="auto"/>
          <w:sz w:val="28"/>
          <w:szCs w:val="28"/>
        </w:rPr>
      </w:pPr>
    </w:p>
    <w:p w14:paraId="67D287E8">
      <w:pPr>
        <w:pStyle w:val="2"/>
        <w:jc w:val="cente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田林百矿田田碳素有限公司</w:t>
      </w:r>
    </w:p>
    <w:p w14:paraId="08DC41E9">
      <w:pPr>
        <w:widowControl/>
        <w:autoSpaceDE/>
        <w:autoSpaceDN/>
        <w:snapToGrid/>
        <w:spacing w:before="0" w:after="0" w:line="240" w:lineRule="auto"/>
        <w:ind w:left="0" w:leftChars="0" w:firstLine="0" w:firstLineChars="0"/>
        <w:jc w:val="center"/>
        <w:rPr>
          <w:rFonts w:hint="eastAsia" w:asciiTheme="majorEastAsia" w:hAnsiTheme="majorEastAsia" w:eastAsiaTheme="majorEastAsia" w:cstheme="majorEastAsia"/>
          <w:b/>
          <w:bCs/>
          <w:color w:val="auto"/>
          <w:sz w:val="28"/>
          <w:szCs w:val="28"/>
          <w:u w:val="single"/>
          <w:lang w:val="en-US" w:eastAsia="zh-CN"/>
        </w:rPr>
      </w:pPr>
      <w:r>
        <w:rPr>
          <w:rFonts w:hint="eastAsia" w:asciiTheme="majorEastAsia" w:hAnsiTheme="majorEastAsia" w:eastAsiaTheme="majorEastAsia" w:cstheme="majorEastAsia"/>
          <w:b/>
          <w:bCs/>
          <w:color w:val="auto"/>
          <w:sz w:val="30"/>
          <w:szCs w:val="30"/>
          <w:lang w:val="en-US" w:eastAsia="zh-CN"/>
        </w:rPr>
        <w:t>2025年5月</w:t>
      </w:r>
    </w:p>
    <w:p w14:paraId="643D2318">
      <w:pPr>
        <w:ind w:firstLine="562" w:firstLineChars="200"/>
        <w:rPr>
          <w:rFonts w:hint="eastAsia"/>
          <w:b/>
          <w:bCs/>
          <w:color w:val="auto"/>
          <w:sz w:val="28"/>
          <w:szCs w:val="28"/>
        </w:rPr>
      </w:pPr>
    </w:p>
    <w:sdt>
      <w:sdtPr>
        <w:rPr>
          <w:rFonts w:ascii="宋体" w:hAnsi="宋体" w:eastAsia="宋体" w:cs="Times New Roman"/>
          <w:color w:val="auto"/>
          <w:kern w:val="2"/>
          <w:sz w:val="21"/>
          <w:szCs w:val="21"/>
          <w:lang w:val="en-US" w:eastAsia="zh-CN" w:bidi="ar-SA"/>
        </w:rPr>
        <w:id w:val="14745131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lang w:val="en-US" w:eastAsia="zh-CN" w:bidi="ar-SA"/>
        </w:rPr>
      </w:sdtEndPr>
      <w:sdtContent>
        <w:p w14:paraId="62254BFC">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b/>
              <w:bCs/>
              <w:color w:val="auto"/>
              <w:sz w:val="28"/>
              <w:szCs w:val="28"/>
            </w:rPr>
            <w:t>目录</w:t>
          </w:r>
        </w:p>
        <w:p w14:paraId="5AAC33B6">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TOC \o "1-1" \h \u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_Toc29263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fldChar w:fldCharType="end"/>
          </w:r>
        </w:p>
        <w:p w14:paraId="1626F47B">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二</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4584397D">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三</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ascii="宋体" w:hAnsi="宋体" w:eastAsia="宋体" w:cs="宋体"/>
              <w:b/>
              <w:bCs/>
              <w:color w:val="auto"/>
              <w:sz w:val="28"/>
              <w:szCs w:val="28"/>
            </w:rPr>
            <w:t>质量</w:t>
          </w:r>
          <w:r>
            <w:rPr>
              <w:rFonts w:hint="eastAsia" w:ascii="宋体" w:hAnsi="宋体" w:cs="宋体"/>
              <w:b/>
              <w:bCs/>
              <w:color w:val="auto"/>
              <w:sz w:val="28"/>
              <w:szCs w:val="28"/>
              <w:lang w:val="en-US" w:eastAsia="zh-CN"/>
            </w:rPr>
            <w:t>要求</w:t>
          </w:r>
          <w:r>
            <w:rPr>
              <w:rFonts w:ascii="宋体" w:hAnsi="宋体" w:eastAsia="宋体" w:cs="宋体"/>
              <w:b/>
              <w:bCs/>
              <w:color w:val="auto"/>
              <w:sz w:val="28"/>
              <w:szCs w:val="28"/>
            </w:rPr>
            <w:t>细则</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1CB4457F">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r>
            <w:rPr>
              <w:b/>
              <w:bCs/>
              <w:color w:val="auto"/>
              <w:sz w:val="28"/>
              <w:szCs w:val="28"/>
            </w:rPr>
            <w:tab/>
          </w:r>
          <w:r>
            <w:rPr>
              <w:rFonts w:hint="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val="en-US" w:eastAsia="zh-CN"/>
            </w:rPr>
            <w:fldChar w:fldCharType="end"/>
          </w:r>
        </w:p>
        <w:p w14:paraId="65A8B8D3">
          <w:pPr>
            <w:pStyle w:val="9"/>
            <w:tabs>
              <w:tab w:val="right" w:leader="dot" w:pos="9740"/>
            </w:tabs>
            <w:rPr>
              <w:rFonts w:hint="default"/>
              <w:b/>
              <w:bCs/>
              <w:color w:val="auto"/>
              <w:sz w:val="28"/>
              <w:szCs w:val="28"/>
              <w:lang w:val="en-US"/>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_Toc2569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五</w:t>
          </w:r>
          <w:r>
            <w:rPr>
              <w:rFonts w:hint="eastAsia"/>
              <w:b/>
              <w:bCs/>
              <w:color w:val="auto"/>
              <w:sz w:val="28"/>
              <w:szCs w:val="28"/>
            </w:rPr>
            <w:t>、执行标准与规范</w:t>
          </w:r>
          <w:r>
            <w:rPr>
              <w:b/>
              <w:bCs/>
              <w:color w:val="auto"/>
              <w:sz w:val="28"/>
              <w:szCs w:val="28"/>
            </w:rPr>
            <w:tab/>
          </w:r>
          <w:r>
            <w:rPr>
              <w:rFonts w:hint="eastAsia" w:asciiTheme="minorEastAsia" w:hAnsiTheme="minorEastAsia" w:eastAsiaTheme="minorEastAsia" w:cstheme="minorEastAsia"/>
              <w:b/>
              <w:bCs/>
              <w:color w:val="auto"/>
              <w:sz w:val="28"/>
              <w:szCs w:val="28"/>
              <w:lang w:val="en-US" w:eastAsia="zh-CN"/>
            </w:rPr>
            <w:fldChar w:fldCharType="end"/>
          </w:r>
          <w:r>
            <w:rPr>
              <w:rFonts w:hint="eastAsia" w:asciiTheme="minorEastAsia" w:hAnsiTheme="minorEastAsia" w:cstheme="minorEastAsia"/>
              <w:b/>
              <w:bCs/>
              <w:color w:val="auto"/>
              <w:sz w:val="28"/>
              <w:szCs w:val="28"/>
              <w:lang w:val="en-US" w:eastAsia="zh-CN"/>
            </w:rPr>
            <w:t>4</w:t>
          </w:r>
        </w:p>
        <w:p w14:paraId="1FD3BCD4">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_Toc31538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六</w:t>
          </w:r>
          <w:r>
            <w:rPr>
              <w:rFonts w:hint="eastAsia"/>
              <w:b/>
              <w:bCs/>
              <w:color w:val="auto"/>
              <w:sz w:val="28"/>
              <w:szCs w:val="28"/>
            </w:rPr>
            <w:t>、</w:t>
          </w:r>
          <w:r>
            <w:rPr>
              <w:rFonts w:hint="eastAsia"/>
              <w:b/>
              <w:bCs/>
              <w:color w:val="auto"/>
              <w:sz w:val="28"/>
              <w:szCs w:val="28"/>
              <w:lang w:eastAsia="zh-CN"/>
            </w:rPr>
            <w:t>包</w:t>
          </w:r>
          <w:r>
            <w:rPr>
              <w:rFonts w:hint="eastAsia"/>
              <w:b/>
              <w:bCs/>
              <w:color w:val="auto"/>
              <w:sz w:val="28"/>
              <w:szCs w:val="28"/>
            </w:rPr>
            <w:t>装、运输、及验收</w:t>
          </w:r>
          <w:r>
            <w:rPr>
              <w:b/>
              <w:bCs/>
              <w:color w:val="auto"/>
              <w:sz w:val="28"/>
              <w:szCs w:val="28"/>
            </w:rPr>
            <w:tab/>
          </w:r>
          <w:r>
            <w:rPr>
              <w:rFonts w:hint="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val="en-US" w:eastAsia="zh-CN"/>
            </w:rPr>
            <w:fldChar w:fldCharType="end"/>
          </w:r>
        </w:p>
        <w:p w14:paraId="32503197">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_Toc13087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七</w:t>
          </w:r>
          <w:r>
            <w:rPr>
              <w:rFonts w:hint="eastAsia"/>
              <w:b/>
              <w:bCs/>
              <w:color w:val="auto"/>
              <w:sz w:val="28"/>
              <w:szCs w:val="28"/>
            </w:rPr>
            <w:t>、</w:t>
          </w:r>
          <w:r>
            <w:rPr>
              <w:rFonts w:hint="eastAsia"/>
              <w:b/>
              <w:bCs/>
              <w:color w:val="auto"/>
              <w:sz w:val="30"/>
              <w:szCs w:val="30"/>
            </w:rPr>
            <w:t>供货周期要求</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726BA97C">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622B5A65">
          <w:pPr>
            <w:rPr>
              <w:rFonts w:hint="eastAsia" w:asciiTheme="minorEastAsia" w:hAnsiTheme="minorEastAsia" w:eastAsiaTheme="minorEastAsia" w:cstheme="minorEastAsia"/>
              <w:b/>
              <w:bCs/>
              <w:color w:val="auto"/>
              <w:sz w:val="28"/>
              <w:szCs w:val="28"/>
              <w:lang w:val="en-US" w:eastAsia="zh-CN"/>
            </w:rPr>
          </w:pPr>
        </w:p>
        <w:p w14:paraId="6F44BE00">
          <w:pPr>
            <w:pStyle w:val="2"/>
            <w:rPr>
              <w:color w:val="auto"/>
            </w:rPr>
          </w:pPr>
        </w:p>
        <w:p w14:paraId="7051450D">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b/>
              <w:bCs/>
              <w:color w:val="auto"/>
              <w:kern w:val="2"/>
              <w:sz w:val="21"/>
              <w:szCs w:val="28"/>
              <w:lang w:val="en-US" w:eastAsia="zh-CN" w:bidi="ar-SA"/>
            </w:rPr>
          </w:pPr>
          <w:r>
            <w:rPr>
              <w:rFonts w:hint="eastAsia" w:asciiTheme="minorEastAsia" w:hAnsiTheme="minorEastAsia" w:eastAsiaTheme="minorEastAsia" w:cstheme="minorEastAsia"/>
              <w:b/>
              <w:bCs/>
              <w:color w:val="auto"/>
              <w:sz w:val="28"/>
              <w:szCs w:val="28"/>
              <w:lang w:val="en-US" w:eastAsia="zh-CN"/>
            </w:rPr>
            <w:fldChar w:fldCharType="end"/>
          </w:r>
        </w:p>
      </w:sdtContent>
    </w:sdt>
    <w:p w14:paraId="57BB70C3">
      <w:pPr>
        <w:pStyle w:val="2"/>
        <w:rPr>
          <w:rFonts w:hint="eastAsia"/>
          <w:color w:val="auto"/>
          <w:lang w:val="en-US" w:eastAsia="zh-CN"/>
        </w:rPr>
      </w:pPr>
    </w:p>
    <w:p w14:paraId="33B75328">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4FB1D2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68C6B2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D43AD31">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3AEF5BB">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4656B7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8676A2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2115D885">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496B23C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635057A">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6A83946">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3A9635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C7B4D9C">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79F5E5E">
      <w:pPr>
        <w:pageBreakBefore w:val="0"/>
        <w:kinsoku/>
        <w:wordWrap/>
        <w:overflowPunct/>
        <w:topLinePunct w:val="0"/>
        <w:bidi w:val="0"/>
        <w:spacing w:line="460" w:lineRule="exact"/>
        <w:jc w:val="left"/>
        <w:rPr>
          <w:rFonts w:hint="eastAsia"/>
          <w:b/>
          <w:bCs/>
          <w:color w:val="auto"/>
          <w:sz w:val="28"/>
          <w:szCs w:val="28"/>
          <w:lang w:val="en-US" w:eastAsia="zh-CN"/>
        </w:rPr>
      </w:pPr>
    </w:p>
    <w:p w14:paraId="327CB8D4">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61BFC1">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color w:val="auto"/>
          <w:sz w:val="28"/>
          <w:szCs w:val="28"/>
        </w:rPr>
      </w:pPr>
      <w:r>
        <w:rPr>
          <w:rFonts w:hint="eastAsia"/>
          <w:b/>
          <w:bCs/>
          <w:color w:val="auto"/>
          <w:sz w:val="28"/>
          <w:szCs w:val="28"/>
          <w:lang w:val="en-US" w:eastAsia="zh-CN"/>
        </w:rPr>
        <w:t>一、总则</w:t>
      </w:r>
    </w:p>
    <w:p w14:paraId="518C97A8">
      <w:pPr>
        <w:pageBreakBefore w:val="0"/>
        <w:kinsoku/>
        <w:wordWrap/>
        <w:overflowPunct/>
        <w:topLinePunct w:val="0"/>
        <w:bidi w:val="0"/>
        <w:spacing w:line="46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适用于田林百矿田田碳素有限公司煅后石油焦</w:t>
      </w:r>
      <w:r>
        <w:rPr>
          <w:rFonts w:hint="eastAsia" w:asciiTheme="minorEastAsia" w:hAnsiTheme="minorEastAsia" w:eastAsiaTheme="minorEastAsia" w:cstheme="minorEastAsia"/>
          <w:color w:val="auto"/>
          <w:sz w:val="28"/>
          <w:szCs w:val="28"/>
          <w:u w:val="none"/>
          <w:lang w:eastAsia="zh-CN"/>
        </w:rPr>
        <w:t>（以下简称</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的采购，它包括了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的性能</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、检验、运输、验收直至最终交付使用等方面服务的技术条件。</w:t>
      </w:r>
    </w:p>
    <w:p w14:paraId="5F32D5B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提出的是</w:t>
      </w:r>
      <w:r>
        <w:rPr>
          <w:rFonts w:hint="eastAsia" w:ascii="宋体" w:hAnsi="宋体" w:eastAsia="宋体" w:cs="宋体"/>
          <w:color w:val="auto"/>
          <w:sz w:val="28"/>
          <w:szCs w:val="28"/>
        </w:rPr>
        <w:t>最低限度的</w:t>
      </w:r>
      <w:r>
        <w:rPr>
          <w:rFonts w:hint="eastAsia" w:asciiTheme="minorEastAsia" w:hAnsiTheme="minorEastAsia" w:eastAsiaTheme="minorEastAsia" w:cstheme="minorEastAsia"/>
          <w:color w:val="auto"/>
          <w:sz w:val="28"/>
          <w:szCs w:val="28"/>
        </w:rPr>
        <w:t>技术要求，并未对一切技术细节做出规定，也未充分引述有关标准、规程和规范的条文，</w:t>
      </w:r>
      <w:r>
        <w:rPr>
          <w:rFonts w:hint="eastAsia" w:asciiTheme="minorEastAsia" w:hAnsi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eastAsiaTheme="minorEastAsia" w:cstheme="minorEastAsia"/>
          <w:color w:val="auto"/>
          <w:sz w:val="28"/>
          <w:szCs w:val="28"/>
        </w:rPr>
        <w:t>保证提供符合本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和有关</w:t>
      </w:r>
      <w:r>
        <w:rPr>
          <w:rFonts w:hint="eastAsia" w:asciiTheme="minorEastAsia" w:hAnsiTheme="minorEastAsia" w:cstheme="minorEastAsia"/>
          <w:color w:val="auto"/>
          <w:sz w:val="28"/>
          <w:szCs w:val="28"/>
          <w:lang w:val="en-US" w:eastAsia="zh-CN"/>
        </w:rPr>
        <w:t>有色金属行业</w:t>
      </w:r>
      <w:r>
        <w:rPr>
          <w:rFonts w:hint="eastAsia" w:asciiTheme="minorEastAsia" w:hAnsiTheme="minorEastAsia" w:eastAsiaTheme="minorEastAsia" w:cstheme="minorEastAsia"/>
          <w:color w:val="auto"/>
          <w:sz w:val="28"/>
          <w:szCs w:val="28"/>
        </w:rPr>
        <w:t>现行最新标准(</w:t>
      </w:r>
      <w:r>
        <w:rPr>
          <w:rFonts w:hint="eastAsia" w:asciiTheme="minorEastAsia" w:hAnsiTheme="minorEastAsia" w:cstheme="minorEastAsia"/>
          <w:color w:val="auto"/>
          <w:sz w:val="28"/>
          <w:szCs w:val="28"/>
          <w:lang w:val="en-US" w:eastAsia="zh-CN"/>
        </w:rPr>
        <w:t>YS</w:t>
      </w:r>
      <w:r>
        <w:rPr>
          <w:rFonts w:hint="eastAsia" w:asciiTheme="minorEastAsia" w:hAnsiTheme="minorEastAsia" w:eastAsiaTheme="minorEastAsia" w:cstheme="minorEastAsia"/>
          <w:color w:val="auto"/>
          <w:sz w:val="28"/>
          <w:szCs w:val="28"/>
        </w:rPr>
        <w:t>系列)的优质产品；同时满足中国国家有关安全、环保等强制性法规、标准的要求。</w:t>
      </w:r>
    </w:p>
    <w:p w14:paraId="5E39AB9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须详细列出包括</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、检验、供货、验收等所采用的标准、规程和规范名称</w:t>
      </w: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审查确认。</w:t>
      </w:r>
    </w:p>
    <w:p w14:paraId="516B90B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所使用的标准如与</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所执行的标准水平不一致时，按较高标准执行。如果本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与现行使用的有关国家标准以及有关行业最新标准有明显抵触的条文，</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应及时书面通知</w:t>
      </w:r>
      <w:r>
        <w:rPr>
          <w:rFonts w:hint="eastAsia" w:asciiTheme="minorEastAsia" w:hAnsiTheme="minorEastAsia" w:eastAsiaTheme="minorEastAsia" w:cstheme="minorEastAsia"/>
          <w:color w:val="auto"/>
          <w:sz w:val="28"/>
          <w:szCs w:val="28"/>
          <w:lang w:eastAsia="zh-CN"/>
        </w:rPr>
        <w:t>招标方</w:t>
      </w:r>
      <w:r>
        <w:rPr>
          <w:rFonts w:hint="eastAsia" w:asciiTheme="minorEastAsia" w:hAnsiTheme="minorEastAsia" w:eastAsiaTheme="minorEastAsia" w:cstheme="minorEastAsia"/>
          <w:color w:val="auto"/>
          <w:sz w:val="28"/>
          <w:szCs w:val="28"/>
        </w:rPr>
        <w:t>进行解决。</w:t>
      </w:r>
    </w:p>
    <w:p w14:paraId="68BA5F0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1.5如果</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没有以书面方式对本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的条文提出异议，</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将认为</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提供的产品完全符合本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的要求。如有异议，不管是多么微小，都应在以“对</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的意见和同</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的差异”为标题的专门章节中加以详细描述</w:t>
      </w:r>
      <w:r>
        <w:rPr>
          <w:rFonts w:hint="eastAsia" w:asciiTheme="minorEastAsia" w:hAnsiTheme="minorEastAsia" w:eastAsiaTheme="minorEastAsia" w:cstheme="minorEastAsia"/>
          <w:color w:val="auto"/>
          <w:sz w:val="28"/>
          <w:szCs w:val="28"/>
          <w:lang w:eastAsia="zh-CN"/>
        </w:rPr>
        <w:t>。</w:t>
      </w:r>
    </w:p>
    <w:p w14:paraId="0C0D64B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涉及到的专利费用均被认为已包含在</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价中，</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应保证</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不承担有关</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专利的一切责任。</w:t>
      </w:r>
    </w:p>
    <w:p w14:paraId="636518FC">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必须是完全符合本</w:t>
      </w:r>
      <w:r>
        <w:rPr>
          <w:rFonts w:hint="eastAsia" w:asciiTheme="minorEastAsia" w:hAnsiTheme="minorEastAsia" w:eastAsiaTheme="minorEastAsia" w:cstheme="minorEastAsia"/>
          <w:color w:val="auto"/>
          <w:sz w:val="28"/>
          <w:szCs w:val="28"/>
          <w:lang w:eastAsia="zh-CN"/>
        </w:rPr>
        <w:t>技术任务书要求</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需对所提供产品的质量完全负责。</w:t>
      </w:r>
    </w:p>
    <w:p w14:paraId="7C53E91B">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 xml:space="preserve"> 今后发生的一切书面协议,若与本技术条件有冲突,以时间最新并具有合同效力的为准。</w:t>
      </w:r>
    </w:p>
    <w:p w14:paraId="5AA99D22">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 xml:space="preserve"> 本技术任务书要求由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eastAsia="zh-CN"/>
        </w:rPr>
        <w:t>负责</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lang w:eastAsia="zh-CN"/>
        </w:rPr>
        <w:t>、运输、验收直至最终交付使用。</w:t>
      </w:r>
    </w:p>
    <w:p w14:paraId="35DC1C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本细则规定了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的规格、质量、理化性能、检验方法等要求。适用于田林百矿田田碳素有限公司采购</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的质量检验及质量验证。</w:t>
      </w:r>
    </w:p>
    <w:p w14:paraId="2C928B27">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p>
    <w:tbl>
      <w:tblPr>
        <w:tblStyle w:val="10"/>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14:paraId="19CA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16" w:type="dxa"/>
            <w:gridSpan w:val="13"/>
            <w:tcBorders>
              <w:top w:val="nil"/>
              <w:left w:val="nil"/>
              <w:bottom w:val="nil"/>
              <w:right w:val="nil"/>
            </w:tcBorders>
            <w:shd w:val="clear" w:color="auto" w:fill="auto"/>
            <w:noWrap/>
            <w:vAlign w:val="top"/>
          </w:tcPr>
          <w:p w14:paraId="10DB6E86">
            <w:pPr>
              <w:keepNext w:val="0"/>
              <w:keepLines w:val="0"/>
              <w:widowControl/>
              <w:suppressLineNumbers w:val="0"/>
              <w:jc w:val="center"/>
              <w:textAlignment w:val="top"/>
              <w:rPr>
                <w:rFonts w:hint="eastAsia" w:ascii="宋体" w:hAnsi="宋体" w:eastAsia="宋体" w:cs="宋体"/>
                <w:b/>
                <w:bCs/>
                <w:i w:val="0"/>
                <w:iCs w:val="0"/>
                <w:color w:val="auto"/>
                <w:sz w:val="29"/>
                <w:szCs w:val="29"/>
                <w:u w:val="none"/>
              </w:rPr>
            </w:pPr>
            <w:r>
              <w:rPr>
                <w:rFonts w:hint="eastAsia" w:asciiTheme="minorEastAsia" w:hAnsiTheme="minorEastAsia" w:eastAsiaTheme="minorEastAsia" w:cstheme="minorEastAsia"/>
                <w:b/>
                <w:bCs/>
                <w:color w:val="auto"/>
                <w:sz w:val="28"/>
                <w:szCs w:val="28"/>
              </w:rPr>
              <w:t>煅后</w:t>
            </w:r>
            <w:r>
              <w:rPr>
                <w:rFonts w:hint="eastAsia" w:ascii="宋体" w:hAnsi="宋体" w:eastAsia="宋体" w:cs="宋体"/>
                <w:b/>
                <w:bCs/>
                <w:i w:val="0"/>
                <w:iCs w:val="0"/>
                <w:color w:val="auto"/>
                <w:kern w:val="0"/>
                <w:sz w:val="29"/>
                <w:szCs w:val="29"/>
                <w:u w:val="none"/>
                <w:lang w:val="en-US" w:eastAsia="zh-CN" w:bidi="ar"/>
              </w:rPr>
              <w:t>焦技术指标要求</w:t>
            </w:r>
          </w:p>
        </w:tc>
        <w:tc>
          <w:tcPr>
            <w:tcW w:w="1096" w:type="dxa"/>
            <w:tcBorders>
              <w:top w:val="nil"/>
              <w:left w:val="nil"/>
              <w:bottom w:val="nil"/>
              <w:right w:val="nil"/>
            </w:tcBorders>
            <w:shd w:val="clear" w:color="auto" w:fill="auto"/>
            <w:noWrap/>
            <w:vAlign w:val="bottom"/>
          </w:tcPr>
          <w:p w14:paraId="68A12DCC">
            <w:pPr>
              <w:rPr>
                <w:rFonts w:hint="default" w:ascii="Times New Roman" w:hAnsi="Times New Roman" w:cs="Times New Roman"/>
                <w:i w:val="0"/>
                <w:iCs w:val="0"/>
                <w:color w:val="auto"/>
                <w:sz w:val="20"/>
                <w:szCs w:val="20"/>
                <w:u w:val="none"/>
              </w:rPr>
            </w:pPr>
          </w:p>
        </w:tc>
      </w:tr>
      <w:tr w14:paraId="300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23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E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7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ascii="宋体" w:hAnsi="宋体" w:eastAsia="宋体" w:cs="宋体"/>
                <w:color w:val="auto"/>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0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0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7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粒度（1mm以下）</w:t>
            </w:r>
          </w:p>
        </w:tc>
      </w:tr>
      <w:tr w14:paraId="4B79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7D69">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C9C">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r>
              <w:rPr>
                <w:rStyle w:val="23"/>
                <w:rFonts w:eastAsia="宋体"/>
                <w:color w:val="auto"/>
                <w:lang w:val="en-US" w:eastAsia="zh-CN" w:bidi="ar"/>
              </w:rPr>
              <w:t xml:space="preserve">µQ.      </w:t>
            </w:r>
            <w:r>
              <w:rPr>
                <w:rFonts w:ascii="Arial" w:hAnsi="Arial" w:eastAsia="宋体" w:cs="Arial"/>
                <w:i w:val="0"/>
                <w:iCs w:val="0"/>
                <w:color w:val="auto"/>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A4A">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g / 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F00">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g /  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D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CF5">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66E">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867">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FB0">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CEA">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p>
        </w:tc>
      </w:tr>
      <w:tr w14:paraId="58AF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4EE0">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14:paraId="7FE05E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2</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65B0D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741A3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3"/>
                <w:rFonts w:eastAsia="宋体"/>
                <w:color w:val="auto"/>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 5</w:t>
            </w:r>
          </w:p>
        </w:tc>
        <w:tc>
          <w:tcPr>
            <w:tcW w:w="887" w:type="dxa"/>
            <w:tcBorders>
              <w:top w:val="single" w:color="000000" w:sz="4" w:space="0"/>
              <w:left w:val="single" w:color="000000" w:sz="4" w:space="0"/>
              <w:bottom w:val="nil"/>
              <w:right w:val="single" w:color="000000" w:sz="4" w:space="0"/>
            </w:tcBorders>
            <w:shd w:val="clear" w:color="auto" w:fill="auto"/>
            <w:vAlign w:val="center"/>
          </w:tcPr>
          <w:p w14:paraId="26D845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14:paraId="43C74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24"/>
                <w:color w:val="auto"/>
                <w:lang w:val="en-US" w:eastAsia="zh-CN" w:bidi="ar"/>
              </w:rPr>
              <w:t>≥2</w:t>
            </w:r>
            <w:r>
              <w:rPr>
                <w:rFonts w:hint="default" w:ascii="Times New Roman" w:hAnsi="Times New Roman" w:eastAsia="宋体" w:cs="Times New Roman"/>
                <w:i w:val="0"/>
                <w:iCs w:val="0"/>
                <w:color w:val="auto"/>
                <w:kern w:val="0"/>
                <w:sz w:val="22"/>
                <w:szCs w:val="22"/>
                <w:u w:val="none"/>
                <w:lang w:val="en-US" w:eastAsia="zh-CN" w:bidi="ar"/>
              </w:rPr>
              <w:t xml:space="preserve">. </w:t>
            </w:r>
            <w:r>
              <w:rPr>
                <w:rStyle w:val="23"/>
                <w:rFonts w:eastAsia="宋体"/>
                <w:color w:val="auto"/>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14:paraId="6AD6EE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5FF75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3835E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481ECFE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≤520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50978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17EB18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31E9F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58E19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7A46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511649F6">
            <w:pPr>
              <w:keepNext w:val="0"/>
              <w:keepLines w:val="0"/>
              <w:widowControl/>
              <w:suppressLineNumbers w:val="0"/>
              <w:jc w:val="left"/>
              <w:rPr>
                <w:rFonts w:hint="eastAsia" w:ascii="宋体" w:hAnsi="宋体" w:eastAsia="宋体" w:cs="宋体"/>
                <w:i w:val="0"/>
                <w:iCs w:val="0"/>
                <w:color w:val="auto"/>
                <w:sz w:val="22"/>
                <w:szCs w:val="22"/>
                <w:u w:val="none"/>
              </w:rPr>
            </w:pPr>
            <w:r>
              <w:rPr>
                <w:rStyle w:val="21"/>
                <w:color w:val="auto"/>
                <w:lang w:val="en-US" w:eastAsia="zh-CN" w:bidi="ar"/>
              </w:rPr>
              <w:t xml:space="preserve">检测标准 </w:t>
            </w:r>
            <w:r>
              <w:rPr>
                <w:rStyle w:val="22"/>
                <w:color w:val="auto"/>
                <w:lang w:val="en-US" w:eastAsia="zh-CN" w:bidi="ar"/>
              </w:rPr>
              <w:t xml:space="preserve">： </w:t>
            </w:r>
            <w:r>
              <w:rPr>
                <w:rStyle w:val="21"/>
                <w:color w:val="auto"/>
                <w:lang w:val="en-US" w:eastAsia="zh-CN" w:bidi="ar"/>
              </w:rPr>
              <w:t>执行</w:t>
            </w:r>
            <w:r>
              <w:rPr>
                <w:rStyle w:val="21"/>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0"/>
                <w:rFonts w:eastAsia="宋体"/>
                <w:color w:val="auto"/>
                <w:lang w:val="en-US" w:eastAsia="zh-CN" w:bidi="ar"/>
              </w:rPr>
              <w:t xml:space="preserve"> </w:t>
            </w:r>
            <w:r>
              <w:rPr>
                <w:rStyle w:val="21"/>
                <w:color w:val="auto"/>
                <w:lang w:val="en-US" w:eastAsia="zh-CN" w:bidi="ar"/>
              </w:rPr>
              <w:t>《</w:t>
            </w:r>
            <w:r>
              <w:rPr>
                <w:rStyle w:val="21"/>
                <w:rFonts w:hint="eastAsia"/>
                <w:color w:val="auto"/>
                <w:lang w:val="en-US" w:eastAsia="zh-CN" w:bidi="ar"/>
              </w:rPr>
              <w:t>预焙阳极用煅后石油焦</w:t>
            </w:r>
            <w:r>
              <w:rPr>
                <w:rStyle w:val="21"/>
                <w:color w:val="auto"/>
                <w:lang w:val="en-US" w:eastAsia="zh-CN" w:bidi="ar"/>
              </w:rPr>
              <w:t>》标准。</w:t>
            </w:r>
          </w:p>
        </w:tc>
      </w:tr>
    </w:tbl>
    <w:p w14:paraId="3254BC45">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煅后焦</w:t>
      </w:r>
      <w:r>
        <w:rPr>
          <w:rFonts w:hint="eastAsia" w:asciiTheme="minorEastAsia" w:hAnsiTheme="minorEastAsia" w:eastAsiaTheme="minorEastAsia" w:cstheme="minorEastAsia"/>
          <w:b/>
          <w:bCs/>
          <w:color w:val="auto"/>
          <w:sz w:val="28"/>
          <w:szCs w:val="28"/>
          <w:lang w:eastAsia="zh-CN"/>
        </w:rPr>
        <w:t>采购量</w:t>
      </w:r>
      <w:r>
        <w:rPr>
          <w:rFonts w:hint="eastAsia" w:asciiTheme="minorEastAsia" w:hAnsiTheme="minorEastAsia" w:eastAsiaTheme="minorEastAsia" w:cstheme="minorEastAsia"/>
          <w:b/>
          <w:bCs/>
          <w:color w:val="auto"/>
          <w:sz w:val="28"/>
          <w:szCs w:val="28"/>
        </w:rPr>
        <w:t>及理化性能质量细则</w:t>
      </w:r>
    </w:p>
    <w:p w14:paraId="339707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5</w:t>
      </w:r>
      <w:bookmarkStart w:id="16" w:name="_GoBack"/>
      <w:bookmarkEnd w:id="16"/>
      <w:r>
        <w:rPr>
          <w:rFonts w:hint="eastAsia" w:asciiTheme="minorEastAsia" w:hAnsiTheme="minorEastAsia" w:cstheme="minorEastAsia"/>
          <w:color w:val="auto"/>
          <w:sz w:val="28"/>
          <w:szCs w:val="28"/>
          <w:lang w:val="en-US" w:eastAsia="zh-CN"/>
        </w:rPr>
        <w:t>000吨。</w:t>
      </w:r>
    </w:p>
    <w:p w14:paraId="182822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1224"/>
        <w:gridCol w:w="1018"/>
        <w:gridCol w:w="1583"/>
        <w:gridCol w:w="1569"/>
        <w:gridCol w:w="2614"/>
      </w:tblGrid>
      <w:tr w14:paraId="301F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115" w:type="dxa"/>
            <w:gridSpan w:val="6"/>
            <w:tcBorders>
              <w:top w:val="nil"/>
              <w:left w:val="nil"/>
              <w:bottom w:val="single" w:color="000000" w:sz="8" w:space="0"/>
              <w:right w:val="nil"/>
            </w:tcBorders>
            <w:shd w:val="clear" w:color="auto" w:fill="auto"/>
            <w:vAlign w:val="center"/>
          </w:tcPr>
          <w:p w14:paraId="2A00522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c>
      </w:tr>
      <w:tr w14:paraId="1649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0B6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06B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DB3A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E4A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1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66A98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06E7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59AC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C5F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C9C8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F7B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C31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AEA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4CEA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BE33E85">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74F96CF6">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6E87688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1D6FB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461FD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5ACCE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3A0A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3CEDDDF">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0CD599B">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D7E5518">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EACE1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80B50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9E9B605">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B16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1134BE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48CBCD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71DADB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6A481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B8A21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6FD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18ED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A357A13">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B7AA5E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73478C4B">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D23BB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66E08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6912F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58D0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0F117D34">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3B77A6F8">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07E75345">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59CD14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40D53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40F18CA1">
            <w:pPr>
              <w:jc w:val="center"/>
              <w:rPr>
                <w:rFonts w:hint="eastAsia" w:ascii="宋体" w:hAnsi="宋体" w:eastAsia="宋体" w:cs="宋体"/>
                <w:b w:val="0"/>
                <w:bCs w:val="0"/>
                <w:i w:val="0"/>
                <w:iCs w:val="0"/>
                <w:color w:val="auto"/>
                <w:sz w:val="22"/>
                <w:szCs w:val="22"/>
                <w:u w:val="none"/>
                <w:lang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D16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49FFAC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5EF210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076F8E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CA8A7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24044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AA64C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FBA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625F21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73D3D3E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7048D0EF">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8829D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B3CAA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86F86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5757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6A9063F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F5E5A3C">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68ACD938">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5B9DEA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86BFD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7F339C5">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27FE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0BA978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2DE049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64635E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7CC25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1977F2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685081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5317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271E774E">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2FE56FA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65A22CB9">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6F5617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0447A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6417D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69A1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67E4E372">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78174C3">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2023B54B">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6750A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13137E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6E1F7F6">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455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63A010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0CA896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5AC8E1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53E2E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454EA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5FC51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1915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7126D3CD">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07B09A94">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1EBF64A">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C6D01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CA436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2757D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5038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5B280B8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3FA01902">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3E4F5E5E">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F5B51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33BB26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B4C671C">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97F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09676B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7B50FC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18" w:type="dxa"/>
            <w:tcBorders>
              <w:top w:val="nil"/>
              <w:left w:val="single" w:color="000000" w:sz="8" w:space="0"/>
              <w:bottom w:val="nil"/>
              <w:right w:val="single" w:color="000000" w:sz="8" w:space="0"/>
            </w:tcBorders>
            <w:shd w:val="clear" w:color="auto" w:fill="auto"/>
            <w:vAlign w:val="center"/>
          </w:tcPr>
          <w:p w14:paraId="058334BC">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A168E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E9FDE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90E06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43AF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327513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90B365A">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14:paraId="088BE5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E983B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576B0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FF69D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3C92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60DB13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35F21ED">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14:paraId="51200FD6">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B5315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CC792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8C60E01">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01E0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446DBF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22598A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18" w:type="dxa"/>
            <w:tcBorders>
              <w:top w:val="nil"/>
              <w:left w:val="single" w:color="000000" w:sz="8" w:space="0"/>
              <w:bottom w:val="nil"/>
              <w:right w:val="single" w:color="000000" w:sz="8" w:space="0"/>
            </w:tcBorders>
            <w:shd w:val="clear" w:color="auto" w:fill="auto"/>
            <w:vAlign w:val="center"/>
          </w:tcPr>
          <w:p w14:paraId="788BE018">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02211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2F6F8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6A9E48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1076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03FEBF7B">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175F1B4">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14:paraId="65E3A2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70885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38A62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BE3CE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0E8A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5B04F228">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734C032">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14:paraId="6669D74A">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55513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F715C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9E8DC5C">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AEE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2AC15A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0E146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298FB4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5B175F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9D119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3776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3EE4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DFB16D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C587CC5">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5982B52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16CD6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2DC6E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C88F2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5101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7266BCC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1B7B048E">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7DC2A7A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78941D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5782A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11D734E">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182B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591E07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2C0671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23D19BF6">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EEF7B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1080C30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520＜x≤530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D4E90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C7F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3C15026F">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25FEADE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3853BD76">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919C5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E80A3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B0D9A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9C6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750BAC2A">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5CA5015">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EDAA22C">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9A5EF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86885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C44D5C1">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2620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555D38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719452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6801F9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634E9B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3F813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59B83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943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385F525A">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0C75A2F">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04768C3B">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7BFFCE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3B050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34E4F2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2E8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040505A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12F3578C">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3038F9F">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6C414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87E93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418A9E3">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134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5CE3D7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07D765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50BD34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65A452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F5DCB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FC271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CA0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3134737E">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E3D7216">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1FEE5F05">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D5E30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15940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6EE81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322C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6DDAF876">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1BE1888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2B559FA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07C0F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8614E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3519A0E0">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84C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144B9E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08A713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24AA32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0E7889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4F631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4FF75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67AA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61C7F44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7EB5AB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0188C3EF">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0FD79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A5987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7E639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4C4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763E25A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39A1EF4E">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57D6702F">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01981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9ECAA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6A05DE8">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每超1ppm扣6元/吨，因质量问题造成的损失由投标方承担</w:t>
            </w:r>
          </w:p>
        </w:tc>
      </w:tr>
      <w:tr w14:paraId="35E1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26F658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7701CB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045D25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AA1A1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BF7BB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08CEF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4F9F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107" w:type="dxa"/>
            <w:vMerge w:val="continue"/>
            <w:tcBorders>
              <w:top w:val="nil"/>
              <w:left w:val="single" w:color="000000" w:sz="8" w:space="0"/>
              <w:bottom w:val="nil"/>
              <w:right w:val="single" w:color="000000" w:sz="8" w:space="0"/>
            </w:tcBorders>
            <w:shd w:val="clear" w:color="auto" w:fill="auto"/>
            <w:vAlign w:val="center"/>
          </w:tcPr>
          <w:p w14:paraId="6015D0A6">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nil"/>
              <w:right w:val="single" w:color="000000" w:sz="8" w:space="0"/>
            </w:tcBorders>
            <w:shd w:val="clear" w:color="auto" w:fill="auto"/>
            <w:vAlign w:val="center"/>
          </w:tcPr>
          <w:p w14:paraId="30F4513B">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nil"/>
              <w:right w:val="single" w:color="000000" w:sz="8" w:space="0"/>
            </w:tcBorders>
            <w:shd w:val="clear" w:color="auto" w:fill="auto"/>
            <w:vAlign w:val="center"/>
          </w:tcPr>
          <w:p w14:paraId="2125A95D">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nil"/>
              <w:right w:val="single" w:color="000000" w:sz="8" w:space="0"/>
            </w:tcBorders>
            <w:shd w:val="clear" w:color="auto" w:fill="auto"/>
            <w:vAlign w:val="center"/>
          </w:tcPr>
          <w:p w14:paraId="63E9E96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nil"/>
              <w:right w:val="single" w:color="000000" w:sz="8" w:space="0"/>
            </w:tcBorders>
            <w:shd w:val="clear" w:color="auto" w:fill="auto"/>
            <w:vAlign w:val="center"/>
          </w:tcPr>
          <w:p w14:paraId="54D13BC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＞50</w:t>
            </w:r>
          </w:p>
        </w:tc>
        <w:tc>
          <w:tcPr>
            <w:tcW w:w="2614" w:type="dxa"/>
            <w:tcBorders>
              <w:top w:val="nil"/>
              <w:left w:val="single" w:color="000000" w:sz="8" w:space="0"/>
              <w:bottom w:val="nil"/>
              <w:right w:val="single" w:color="000000" w:sz="8" w:space="0"/>
            </w:tcBorders>
            <w:shd w:val="clear" w:color="auto" w:fill="auto"/>
            <w:noWrap/>
            <w:vAlign w:val="center"/>
          </w:tcPr>
          <w:p w14:paraId="4AB6DFF6">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bl>
    <w:p w14:paraId="5E97352D">
      <w:pPr>
        <w:pStyle w:val="14"/>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p>
    <w:p w14:paraId="55B9EA7B">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 本技术任务书是</w:t>
      </w:r>
      <w:r>
        <w:rPr>
          <w:rFonts w:hint="eastAsia" w:asciiTheme="minorEastAsia" w:hAnsiTheme="minorEastAsia" w:eastAsiaTheme="minorEastAsia" w:cstheme="minorEastAsia"/>
          <w:color w:val="auto"/>
          <w:sz w:val="28"/>
          <w:szCs w:val="28"/>
        </w:rPr>
        <w:t>煅后焦</w:t>
      </w:r>
      <w:r>
        <w:rPr>
          <w:rFonts w:hint="eastAsia" w:asciiTheme="minorEastAsia" w:hAnsiTheme="minorEastAsia" w:eastAsiaTheme="minorEastAsia" w:cstheme="minorEastAsia"/>
          <w:color w:val="auto"/>
          <w:sz w:val="28"/>
          <w:szCs w:val="28"/>
          <w:lang w:val="en-US" w:eastAsia="zh-CN"/>
        </w:rPr>
        <w:t xml:space="preserve">必须能用于预焙阳极碳块的最低技术要求。 </w:t>
      </w:r>
    </w:p>
    <w:p w14:paraId="41559D0A">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4.2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提供的煅后焦必须符合本技术任务书要求，所有材料必须在室内保存，要求有</w:t>
      </w:r>
      <w:r>
        <w:rPr>
          <w:rFonts w:hint="eastAsia" w:asciiTheme="minorEastAsia" w:hAnsiTheme="minorEastAsia" w:eastAsiaTheme="minorEastAsia" w:cstheme="minorEastAsia"/>
          <w:color w:val="auto"/>
          <w:sz w:val="28"/>
          <w:szCs w:val="28"/>
        </w:rPr>
        <w:t>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w:t>
      </w:r>
      <w:r>
        <w:rPr>
          <w:rFonts w:hint="eastAsia" w:asciiTheme="minorEastAsia" w:hAnsiTheme="minorEastAsia" w:eastAsiaTheme="minorEastAsia" w:cstheme="minorEastAsia"/>
          <w:color w:val="auto"/>
          <w:sz w:val="28"/>
          <w:szCs w:val="28"/>
          <w:lang w:val="en-US" w:eastAsia="zh-CN"/>
        </w:rPr>
        <w:t>等保护措施。</w:t>
      </w:r>
    </w:p>
    <w:p w14:paraId="04EEEF85">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4.3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所提供的煅后焦的质量必须满足或优于本技术任务书规定理化指标的要求。</w:t>
      </w:r>
    </w:p>
    <w:p w14:paraId="317A1524">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4.4煅后焦的颗粒要求符合“</w:t>
      </w:r>
      <w:r>
        <w:rPr>
          <w:rFonts w:hint="eastAsia" w:hAnsi="宋体" w:cs="宋体"/>
          <w:color w:val="auto"/>
          <w:sz w:val="28"/>
          <w:szCs w:val="28"/>
          <w:lang w:val="en-US" w:eastAsia="zh-CN"/>
        </w:rPr>
        <w:t>煅后焦技术指标要求</w:t>
      </w:r>
      <w:r>
        <w:rPr>
          <w:rFonts w:hint="default" w:cs="宋体"/>
          <w:color w:val="auto"/>
          <w:sz w:val="28"/>
          <w:szCs w:val="28"/>
          <w:lang w:val="en-US" w:eastAsia="zh-CN"/>
        </w:rPr>
        <w:t>”</w:t>
      </w:r>
      <w:r>
        <w:rPr>
          <w:rFonts w:hint="eastAsia" w:hAnsi="宋体" w:cs="宋体"/>
          <w:color w:val="auto"/>
          <w:sz w:val="28"/>
          <w:szCs w:val="28"/>
          <w:lang w:val="en-US" w:eastAsia="zh-CN"/>
        </w:rPr>
        <w:t>表中</w:t>
      </w:r>
      <w:r>
        <w:rPr>
          <w:rFonts w:hint="eastAsia" w:asciiTheme="minorEastAsia" w:hAnsiTheme="minorEastAsia" w:eastAsiaTheme="minorEastAsia" w:cstheme="minorEastAsia"/>
          <w:color w:val="auto"/>
          <w:sz w:val="28"/>
          <w:szCs w:val="28"/>
          <w:lang w:val="en-US" w:eastAsia="zh-CN"/>
        </w:rPr>
        <w:t>规定。</w:t>
      </w:r>
    </w:p>
    <w:p w14:paraId="57D9CF68">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4.5 运输过程中损坏的煅后焦由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在不影响招标方生产情况下足量补齐且不得增加任何费用。</w:t>
      </w:r>
      <w:bookmarkStart w:id="0" w:name="_Toc28525"/>
      <w:bookmarkStart w:id="1" w:name="_Toc5922_WPSOffice_Level1"/>
      <w:bookmarkStart w:id="2" w:name="_Toc25026_WPSOffice_Level1"/>
      <w:bookmarkStart w:id="3" w:name="_Toc12141"/>
    </w:p>
    <w:p w14:paraId="5790C50E">
      <w:pPr>
        <w:pStyle w:val="14"/>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color w:val="auto"/>
          <w:sz w:val="32"/>
          <w:szCs w:val="32"/>
        </w:rPr>
      </w:pPr>
      <w:r>
        <w:rPr>
          <w:rFonts w:hint="eastAsia"/>
          <w:color w:val="auto"/>
          <w:sz w:val="32"/>
          <w:szCs w:val="32"/>
          <w:lang w:val="en-US" w:eastAsia="zh-CN"/>
        </w:rPr>
        <w:t>五</w:t>
      </w:r>
      <w:r>
        <w:rPr>
          <w:rFonts w:hint="eastAsia"/>
          <w:color w:val="auto"/>
          <w:sz w:val="32"/>
          <w:szCs w:val="32"/>
        </w:rPr>
        <w:t>、</w:t>
      </w:r>
      <w:r>
        <w:rPr>
          <w:rFonts w:hint="eastAsia"/>
          <w:b/>
          <w:bCs/>
          <w:color w:val="auto"/>
          <w:sz w:val="32"/>
          <w:szCs w:val="32"/>
        </w:rPr>
        <w:t>执行标准与规范</w:t>
      </w:r>
      <w:bookmarkEnd w:id="0"/>
      <w:bookmarkEnd w:id="1"/>
      <w:bookmarkEnd w:id="2"/>
      <w:bookmarkEnd w:id="3"/>
    </w:p>
    <w:p w14:paraId="74A05F82">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5.1 </w:t>
      </w:r>
      <w:r>
        <w:rPr>
          <w:rFonts w:hint="eastAsia" w:asciiTheme="minorEastAsia" w:hAnsiTheme="minorEastAsia" w:eastAsiaTheme="minorEastAsia" w:cstheme="minorEastAsia"/>
          <w:color w:val="auto"/>
          <w:sz w:val="28"/>
          <w:szCs w:val="28"/>
        </w:rPr>
        <w:t>产品</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及验收应遵循国家现行的最新相应标准、规范，并满足国家有关标准、法律、法规。</w:t>
      </w:r>
      <w:bookmarkStart w:id="4" w:name="_Toc12697_WPSOffice_Level1"/>
      <w:bookmarkStart w:id="5" w:name="_Toc16881"/>
      <w:bookmarkStart w:id="6" w:name="_Toc31179_WPSOffice_Level1"/>
      <w:bookmarkStart w:id="7" w:name="_Toc29881"/>
    </w:p>
    <w:p w14:paraId="6AD88854">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color w:val="auto"/>
          <w:sz w:val="32"/>
          <w:szCs w:val="32"/>
          <w:lang w:val="en-US" w:eastAsia="zh-CN"/>
        </w:rPr>
        <w:t>六</w:t>
      </w:r>
      <w:r>
        <w:rPr>
          <w:rFonts w:hint="eastAsia"/>
          <w:color w:val="auto"/>
          <w:sz w:val="32"/>
          <w:szCs w:val="32"/>
        </w:rPr>
        <w:t>、</w:t>
      </w:r>
      <w:r>
        <w:rPr>
          <w:rFonts w:hint="eastAsia"/>
          <w:b/>
          <w:bCs/>
          <w:color w:val="auto"/>
          <w:sz w:val="32"/>
          <w:szCs w:val="32"/>
          <w:lang w:eastAsia="zh-CN"/>
        </w:rPr>
        <w:t>包</w:t>
      </w:r>
      <w:r>
        <w:rPr>
          <w:rFonts w:hint="eastAsia"/>
          <w:b/>
          <w:bCs/>
          <w:color w:val="auto"/>
          <w:sz w:val="32"/>
          <w:szCs w:val="32"/>
        </w:rPr>
        <w:t>装、运输、及验收</w:t>
      </w:r>
      <w:bookmarkEnd w:id="4"/>
      <w:bookmarkEnd w:id="5"/>
      <w:bookmarkEnd w:id="6"/>
      <w:bookmarkEnd w:id="7"/>
    </w:p>
    <w:p w14:paraId="5286C4C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.1在产品</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过程中，</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将派遣技术人员检查产品生产进度、质量水平及装配状况，发现不符合技术文件的行为，有权制止继续加工。但不免除</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对产品质量所应承担的责任。</w:t>
      </w:r>
    </w:p>
    <w:p w14:paraId="5FB744A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有权派遣人员到</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参与产品监造和检验工作。</w:t>
      </w:r>
    </w:p>
    <w:p w14:paraId="1283566B">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货物运输要求有良好的防潮、防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和防野蛮装卸等保护措施。</w:t>
      </w:r>
    </w:p>
    <w:p w14:paraId="3FE88430">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14:paraId="5E62941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color w:val="auto"/>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14:paraId="68BDE024">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。运输过程中必须有防雨措施，务使货物在运输途中不受雨淋水浸。</w:t>
      </w:r>
    </w:p>
    <w:p w14:paraId="61D06F8A">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涉及产品如因</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的技术及供货失误造成额外费用及</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延误的，</w:t>
      </w:r>
      <w:r>
        <w:rPr>
          <w:rFonts w:hint="eastAsia" w:ascii="宋体" w:hAnsi="宋体" w:eastAsia="宋体" w:cs="宋体"/>
          <w:color w:val="auto"/>
          <w:sz w:val="28"/>
          <w:szCs w:val="28"/>
          <w:lang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须承担相应责任。</w:t>
      </w:r>
    </w:p>
    <w:p w14:paraId="338B699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8</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、潮湿等现象</w:t>
      </w:r>
      <w:r>
        <w:rPr>
          <w:rFonts w:hint="eastAsia" w:asciiTheme="minorEastAsia" w:hAnsiTheme="minorEastAsia" w:cstheme="minorEastAsia"/>
          <w:color w:val="auto"/>
          <w:sz w:val="28"/>
          <w:szCs w:val="28"/>
          <w:lang w:val="en-US" w:eastAsia="zh-CN"/>
        </w:rPr>
        <w:t>的由投标方负责</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卸货方式为投标方负责车上吨包袋挂袋</w:t>
      </w:r>
      <w:r>
        <w:rPr>
          <w:rFonts w:hint="eastAsia" w:asciiTheme="minorEastAsia" w:hAnsiTheme="minorEastAsia" w:eastAsiaTheme="minorEastAsia" w:cstheme="minorEastAsia"/>
          <w:color w:val="auto"/>
          <w:sz w:val="28"/>
          <w:szCs w:val="28"/>
        </w:rPr>
        <w:t>。</w:t>
      </w:r>
      <w:bookmarkStart w:id="8" w:name="_Toc5438_WPSOffice_Level1"/>
      <w:bookmarkStart w:id="9" w:name="_Toc20787"/>
      <w:bookmarkStart w:id="10" w:name="_Toc31538"/>
      <w:bookmarkStart w:id="11" w:name="_Toc11436_WPSOffice_Level1"/>
    </w:p>
    <w:p w14:paraId="27EB89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cstheme="minorEastAsia"/>
          <w:b w:val="0"/>
          <w:bCs/>
          <w:color w:val="auto"/>
          <w:sz w:val="28"/>
          <w:szCs w:val="28"/>
          <w:lang w:val="en-US" w:eastAsia="zh-CN"/>
        </w:rPr>
        <w:t>6.9煅后焦</w:t>
      </w:r>
      <w:r>
        <w:rPr>
          <w:rFonts w:hint="eastAsia" w:asciiTheme="minorEastAsia" w:hAnsiTheme="minorEastAsia" w:eastAsiaTheme="minorEastAsia" w:cstheme="minorEastAsia"/>
          <w:b w:val="0"/>
          <w:bCs/>
          <w:color w:val="auto"/>
          <w:sz w:val="28"/>
          <w:szCs w:val="28"/>
          <w:lang w:val="en-US" w:eastAsia="zh-CN"/>
        </w:rPr>
        <w:t>的取样检验，每</w:t>
      </w:r>
      <w:r>
        <w:rPr>
          <w:rFonts w:hint="eastAsia" w:asciiTheme="minorEastAsia" w:hAnsiTheme="minorEastAsia" w:cstheme="minorEastAsia"/>
          <w:b w:val="0"/>
          <w:bCs/>
          <w:color w:val="auto"/>
          <w:sz w:val="28"/>
          <w:szCs w:val="28"/>
          <w:lang w:val="en-US" w:eastAsia="zh-CN"/>
        </w:rPr>
        <w:t>10车（约3</w:t>
      </w:r>
      <w:r>
        <w:rPr>
          <w:rFonts w:hint="eastAsia" w:asciiTheme="minorEastAsia" w:hAnsiTheme="minorEastAsia" w:eastAsiaTheme="minorEastAsia" w:cstheme="minorEastAsia"/>
          <w:b w:val="0"/>
          <w:bCs/>
          <w:color w:val="auto"/>
          <w:sz w:val="28"/>
          <w:szCs w:val="28"/>
          <w:lang w:val="en-US" w:eastAsia="zh-CN"/>
        </w:rPr>
        <w:t>00吨）</w:t>
      </w:r>
      <w:r>
        <w:rPr>
          <w:rFonts w:hint="eastAsia" w:asciiTheme="minorEastAsia" w:hAnsiTheme="minorEastAsia" w:cstheme="minorEastAsia"/>
          <w:b w:val="0"/>
          <w:bCs/>
          <w:color w:val="auto"/>
          <w:sz w:val="28"/>
          <w:szCs w:val="28"/>
          <w:lang w:val="en-US" w:eastAsia="zh-CN"/>
        </w:rPr>
        <w:t>做一批次检验</w:t>
      </w:r>
      <w:r>
        <w:rPr>
          <w:rFonts w:hint="eastAsia" w:asciiTheme="minorEastAsia" w:hAnsiTheme="minorEastAsia" w:eastAsiaTheme="minorEastAsia" w:cstheme="minorEastAsia"/>
          <w:b w:val="0"/>
          <w:bCs/>
          <w:color w:val="auto"/>
          <w:sz w:val="28"/>
          <w:szCs w:val="28"/>
          <w:lang w:val="en-US" w:eastAsia="zh-CN"/>
        </w:rPr>
        <w:t>一次，每</w:t>
      </w:r>
      <w:r>
        <w:rPr>
          <w:rFonts w:hint="eastAsia" w:asciiTheme="minorEastAsia" w:hAnsiTheme="minorEastAsia" w:cstheme="minorEastAsia"/>
          <w:b w:val="0"/>
          <w:bCs/>
          <w:color w:val="auto"/>
          <w:sz w:val="28"/>
          <w:szCs w:val="28"/>
          <w:lang w:val="en-US" w:eastAsia="zh-CN"/>
        </w:rPr>
        <w:t>车</w:t>
      </w:r>
      <w:r>
        <w:rPr>
          <w:rFonts w:hint="eastAsia" w:asciiTheme="minorEastAsia" w:hAnsiTheme="minorEastAsia" w:eastAsiaTheme="minorEastAsia" w:cstheme="minorEastAsia"/>
          <w:b w:val="0"/>
          <w:bCs/>
          <w:color w:val="auto"/>
          <w:sz w:val="28"/>
          <w:szCs w:val="28"/>
          <w:lang w:val="en-US" w:eastAsia="zh-CN"/>
        </w:rPr>
        <w:t>随机抽</w:t>
      </w:r>
      <w:r>
        <w:rPr>
          <w:rFonts w:hint="eastAsia" w:asciiTheme="minorEastAsia" w:hAnsiTheme="minorEastAsia" w:cstheme="minorEastAsia"/>
          <w:b w:val="0"/>
          <w:bCs/>
          <w:color w:val="auto"/>
          <w:sz w:val="28"/>
          <w:szCs w:val="28"/>
          <w:lang w:val="en-US" w:eastAsia="zh-CN"/>
        </w:rPr>
        <w:t>取1</w:t>
      </w:r>
      <w:r>
        <w:rPr>
          <w:rFonts w:hint="eastAsia" w:asciiTheme="minorEastAsia" w:hAnsiTheme="minorEastAsia" w:eastAsiaTheme="minorEastAsia" w:cstheme="minorEastAsia"/>
          <w:b w:val="0"/>
          <w:bCs/>
          <w:color w:val="auto"/>
          <w:sz w:val="28"/>
          <w:szCs w:val="28"/>
          <w:lang w:val="en-US" w:eastAsia="zh-CN"/>
        </w:rPr>
        <w:t>个样品</w:t>
      </w:r>
      <w:r>
        <w:rPr>
          <w:rFonts w:hint="eastAsia" w:asciiTheme="minorEastAsia" w:hAnsiTheme="minorEastAsia" w:cstheme="minorEastAsia"/>
          <w:b w:val="0"/>
          <w:bCs/>
          <w:color w:val="auto"/>
          <w:sz w:val="28"/>
          <w:szCs w:val="28"/>
          <w:lang w:val="en-US" w:eastAsia="zh-CN"/>
        </w:rPr>
        <w:t>。</w:t>
      </w:r>
    </w:p>
    <w:p w14:paraId="28802A2D">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6.10当抽检过程中</w:t>
      </w:r>
      <w:r>
        <w:rPr>
          <w:rFonts w:hint="eastAsia" w:asciiTheme="minorEastAsia" w:hAnsiTheme="minorEastAsia" w:eastAsiaTheme="minorEastAsia" w:cstheme="minorEastAsia"/>
          <w:b w:val="0"/>
          <w:bCs w:val="0"/>
          <w:color w:val="auto"/>
          <w:kern w:val="0"/>
          <w:sz w:val="28"/>
          <w:szCs w:val="28"/>
          <w:lang w:val="zh-CN" w:eastAsia="zh-CN" w:bidi="ar-SA"/>
        </w:rPr>
        <w:t>出现一次样品某一指标超出规定范围时，由</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b w:val="0"/>
          <w:bCs w:val="0"/>
          <w:color w:val="auto"/>
          <w:kern w:val="0"/>
          <w:sz w:val="28"/>
          <w:szCs w:val="28"/>
          <w:lang w:val="zh-CN" w:eastAsia="zh-CN" w:bidi="ar-SA"/>
        </w:rPr>
        <w:t>物资供应</w:t>
      </w:r>
      <w:r>
        <w:rPr>
          <w:rFonts w:hint="eastAsia" w:asciiTheme="minorEastAsia" w:hAnsiTheme="minorEastAsia" w:eastAsiaTheme="minorEastAsia" w:cstheme="minorEastAsia"/>
          <w:b w:val="0"/>
          <w:bCs w:val="0"/>
          <w:color w:val="auto"/>
          <w:kern w:val="0"/>
          <w:sz w:val="28"/>
          <w:szCs w:val="28"/>
          <w:lang w:val="en-US" w:eastAsia="zh-CN" w:bidi="ar-SA"/>
        </w:rPr>
        <w:t>科</w:t>
      </w:r>
      <w:r>
        <w:rPr>
          <w:rFonts w:hint="eastAsia" w:asciiTheme="minorEastAsia" w:hAnsiTheme="minorEastAsia" w:eastAsiaTheme="minorEastAsia" w:cstheme="minorEastAsia"/>
          <w:b w:val="0"/>
          <w:bCs w:val="0"/>
          <w:color w:val="auto"/>
          <w:kern w:val="0"/>
          <w:sz w:val="28"/>
          <w:szCs w:val="28"/>
          <w:lang w:val="zh-CN" w:eastAsia="zh-CN" w:bidi="ar-SA"/>
        </w:rPr>
        <w:t>及时通知</w:t>
      </w:r>
      <w:r>
        <w:rPr>
          <w:rFonts w:hint="eastAsia" w:asciiTheme="minorEastAsia" w:hAnsiTheme="minorEastAsia" w:eastAsiaTheme="minorEastAsia" w:cstheme="minorEastAsia"/>
          <w:b w:val="0"/>
          <w:bCs w:val="0"/>
          <w:color w:val="auto"/>
          <w:kern w:val="0"/>
          <w:sz w:val="28"/>
          <w:szCs w:val="28"/>
          <w:lang w:val="en-US" w:eastAsia="zh-CN" w:bidi="ar-SA"/>
        </w:rPr>
        <w:t>投标方</w:t>
      </w:r>
      <w:r>
        <w:rPr>
          <w:rFonts w:hint="eastAsia" w:asciiTheme="minorEastAsia" w:hAnsiTheme="minorEastAsia" w:eastAsiaTheme="minorEastAsia" w:cstheme="minorEastAsia"/>
          <w:b w:val="0"/>
          <w:bCs w:val="0"/>
          <w:color w:val="auto"/>
          <w:kern w:val="0"/>
          <w:sz w:val="28"/>
          <w:szCs w:val="28"/>
          <w:lang w:val="zh-CN" w:eastAsia="zh-CN" w:bidi="ar-SA"/>
        </w:rPr>
        <w:t>，由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双方协商解决，如</w:t>
      </w:r>
      <w:r>
        <w:rPr>
          <w:rFonts w:hint="eastAsia" w:asciiTheme="minorEastAsia" w:hAnsiTheme="minorEastAsia" w:eastAsiaTheme="minorEastAsia" w:cstheme="minorEastAsia"/>
          <w:b w:val="0"/>
          <w:bCs w:val="0"/>
          <w:color w:val="auto"/>
          <w:kern w:val="0"/>
          <w:sz w:val="28"/>
          <w:szCs w:val="28"/>
          <w:lang w:val="en-US" w:eastAsia="zh-CN" w:bidi="ar-SA"/>
        </w:rPr>
        <w:t>投标</w:t>
      </w:r>
      <w:r>
        <w:rPr>
          <w:rFonts w:hint="eastAsia" w:asciiTheme="minorEastAsia" w:hAnsiTheme="minorEastAsia" w:eastAsiaTheme="minorEastAsia" w:cstheme="minorEastAsia"/>
          <w:b w:val="0"/>
          <w:bCs w:val="0"/>
          <w:color w:val="auto"/>
          <w:kern w:val="0"/>
          <w:sz w:val="28"/>
          <w:szCs w:val="28"/>
          <w:lang w:val="zh-CN" w:eastAsia="zh-CN" w:bidi="ar-SA"/>
        </w:rPr>
        <w:t>方有异议时，可以由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双方共同取样复查。</w:t>
      </w:r>
      <w:r>
        <w:rPr>
          <w:rFonts w:hint="eastAsia" w:asciiTheme="minorEastAsia" w:hAnsiTheme="minorEastAsia" w:eastAsiaTheme="minorEastAsia" w:cstheme="minorEastAsia"/>
          <w:b w:val="0"/>
          <w:bCs w:val="0"/>
          <w:color w:val="auto"/>
          <w:kern w:val="0"/>
          <w:sz w:val="28"/>
          <w:szCs w:val="28"/>
          <w:lang w:val="en-US" w:eastAsia="zh-CN" w:bidi="ar-SA"/>
        </w:rPr>
        <w:t>如复查仍不合格，按煅后焦理化性能细则进行考核。</w:t>
      </w:r>
    </w:p>
    <w:p w14:paraId="30ACC304">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宋体" w:hAnsi="宋体" w:cs="宋体"/>
          <w:color w:val="auto"/>
          <w:sz w:val="28"/>
          <w:szCs w:val="28"/>
          <w:lang w:val="en-US" w:eastAsia="zh-CN"/>
        </w:rPr>
        <w:t>6.11</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本技术任务书技术指标规定的技术要求，并在招标方接收产品后取样检测，招标方检测报告结果全部符合技术指标规定的技术要求时，则判定本批产品合格；投标方交货的指标、质量不符合本技术任务书中约定时，如招标方同意降低标准使用，则按照本技术任务书《质量考核细则》里的约定处理，若投标方不同意按《质量考核细则》规则处理，则本批货物按退货处理，由投标方承担退货费用</w:t>
      </w:r>
      <w:r>
        <w:rPr>
          <w:rFonts w:hint="eastAsia" w:asciiTheme="minorEastAsia" w:hAnsiTheme="minorEastAsia" w:cstheme="minorEastAsia"/>
          <w:b w:val="0"/>
          <w:bCs w:val="0"/>
          <w:color w:val="auto"/>
          <w:kern w:val="0"/>
          <w:sz w:val="28"/>
          <w:szCs w:val="28"/>
          <w:lang w:val="en-US" w:eastAsia="zh-CN" w:bidi="ar-SA"/>
        </w:rPr>
        <w:t>。</w:t>
      </w:r>
    </w:p>
    <w:p w14:paraId="08114620">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w:t>
      </w:r>
      <w:r>
        <w:rPr>
          <w:rFonts w:hint="eastAsia" w:asciiTheme="minorEastAsia" w:hAnsiTheme="minorEastAsia" w:cstheme="minorEastAsia"/>
          <w:b w:val="0"/>
          <w:bCs w:val="0"/>
          <w:color w:val="auto"/>
          <w:kern w:val="0"/>
          <w:sz w:val="28"/>
          <w:szCs w:val="28"/>
          <w:lang w:val="en-US" w:eastAsia="zh-CN" w:bidi="ar-SA"/>
        </w:rPr>
        <w:t>2</w:t>
      </w:r>
      <w:r>
        <w:rPr>
          <w:rFonts w:hint="eastAsia" w:asciiTheme="minorEastAsia" w:hAnsiTheme="minorEastAsia" w:eastAsiaTheme="minorEastAsia" w:cstheme="minorEastAsia"/>
          <w:b w:val="0"/>
          <w:bCs w:val="0"/>
          <w:color w:val="auto"/>
          <w:kern w:val="0"/>
          <w:sz w:val="28"/>
          <w:szCs w:val="28"/>
          <w:lang w:val="en-US" w:eastAsia="zh-CN" w:bidi="ar-SA"/>
        </w:rPr>
        <w:t>复检规则：双方在验收过程中就质量问题发生争议时，投标方需在5个工作日内，以函件的方式向招标方提出复检申请。复检优先选择在招标方实验室进行，当争议较大或投标方有充分理由时，也可选择在双方认可的具有资质的第三方实验室进行复检，样品采用招标方到货验收时封存样品进行复检，双方一起确认标准样品后，再进行复检。</w:t>
      </w:r>
    </w:p>
    <w:p w14:paraId="54A27947">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6.13</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14:paraId="6643F858">
      <w:pPr>
        <w:pStyle w:val="2"/>
        <w:rPr>
          <w:rFonts w:hint="eastAsia"/>
          <w:color w:val="auto"/>
        </w:rPr>
      </w:pPr>
    </w:p>
    <w:p w14:paraId="1086B76E">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color w:val="auto"/>
          <w:sz w:val="30"/>
          <w:szCs w:val="30"/>
        </w:rPr>
      </w:pPr>
      <w:r>
        <w:rPr>
          <w:rFonts w:hint="eastAsia"/>
          <w:color w:val="auto"/>
          <w:sz w:val="30"/>
          <w:szCs w:val="30"/>
          <w:lang w:val="en-US" w:eastAsia="zh-CN"/>
        </w:rPr>
        <w:t>七</w:t>
      </w:r>
      <w:r>
        <w:rPr>
          <w:rFonts w:hint="eastAsia"/>
          <w:color w:val="auto"/>
          <w:sz w:val="30"/>
          <w:szCs w:val="30"/>
        </w:rPr>
        <w:t>、</w:t>
      </w:r>
      <w:r>
        <w:rPr>
          <w:rFonts w:hint="eastAsia"/>
          <w:b/>
          <w:bCs/>
          <w:color w:val="auto"/>
          <w:sz w:val="30"/>
          <w:szCs w:val="30"/>
        </w:rPr>
        <w:t>供货周期要</w:t>
      </w:r>
      <w:bookmarkEnd w:id="8"/>
      <w:r>
        <w:rPr>
          <w:rFonts w:hint="eastAsia"/>
          <w:b/>
          <w:bCs/>
          <w:color w:val="auto"/>
          <w:sz w:val="30"/>
          <w:szCs w:val="30"/>
        </w:rPr>
        <w:t>求</w:t>
      </w:r>
      <w:bookmarkEnd w:id="9"/>
      <w:bookmarkEnd w:id="10"/>
      <w:bookmarkEnd w:id="11"/>
    </w:p>
    <w:p w14:paraId="0FEA63FB">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交货期：</w:t>
      </w:r>
      <w:r>
        <w:rPr>
          <w:rFonts w:hint="eastAsia" w:asciiTheme="minorEastAsia" w:hAnsiTheme="minorEastAsia" w:eastAsiaTheme="minorEastAsia" w:cstheme="minorEastAsia"/>
          <w:color w:val="auto"/>
          <w:sz w:val="28"/>
          <w:szCs w:val="28"/>
        </w:rPr>
        <w:t>签订合同</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具体交货时间</w:t>
      </w:r>
      <w:r>
        <w:rPr>
          <w:rFonts w:hint="eastAsia" w:asciiTheme="minorEastAsia" w:hAnsiTheme="minorEastAsia" w:eastAsiaTheme="minorEastAsia" w:cstheme="minorEastAsia"/>
          <w:color w:val="auto"/>
          <w:sz w:val="28"/>
          <w:szCs w:val="28"/>
          <w:lang w:val="en-US" w:eastAsia="zh-CN"/>
        </w:rPr>
        <w:t>由招标方根据现场生产进度情况通知投标方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发货前应书面通知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，经</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书面确认后方可发货，否则因此造成损失由</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全部承担）。</w:t>
      </w:r>
    </w:p>
    <w:p w14:paraId="688C22B7">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.2交货地点：广西田林县旧州镇板坚村桂黔（田林）经济合作产业园区田林百矿田田碳素有限公司</w:t>
      </w:r>
      <w:r>
        <w:rPr>
          <w:rFonts w:hint="eastAsia" w:asciiTheme="minorEastAsia" w:hAnsiTheme="minorEastAsia" w:cstheme="minorEastAsia"/>
          <w:color w:val="auto"/>
          <w:sz w:val="28"/>
          <w:szCs w:val="28"/>
          <w:lang w:val="en-US" w:eastAsia="zh-CN"/>
        </w:rPr>
        <w:t>煅</w:t>
      </w:r>
      <w:r>
        <w:rPr>
          <w:rFonts w:hint="eastAsia" w:asciiTheme="minorEastAsia" w:hAnsiTheme="minorEastAsia" w:eastAsiaTheme="minorEastAsia" w:cstheme="minorEastAsia"/>
          <w:color w:val="auto"/>
          <w:sz w:val="28"/>
          <w:szCs w:val="28"/>
          <w:lang w:val="en-US" w:eastAsia="zh-CN"/>
        </w:rPr>
        <w:t>烧车间生产</w:t>
      </w:r>
      <w:r>
        <w:rPr>
          <w:rFonts w:hint="eastAsia" w:asciiTheme="minorEastAsia" w:hAnsiTheme="minorEastAsia" w:eastAsiaTheme="minorEastAsia" w:cstheme="minorEastAsia"/>
          <w:color w:val="auto"/>
          <w:sz w:val="28"/>
          <w:szCs w:val="28"/>
        </w:rPr>
        <w:t>现场。</w:t>
      </w:r>
    </w:p>
    <w:p w14:paraId="5C6FE61F">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.3交货方式：由</w:t>
      </w:r>
      <w:r>
        <w:rPr>
          <w:rFonts w:hint="eastAsia"/>
          <w:b w:val="0"/>
          <w:bCs/>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全部配送到</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现场，并根据本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规定的标准、规程、规范进行验收，合格后交货。</w:t>
      </w:r>
      <w:bookmarkStart w:id="12" w:name="_Toc9358_WPSOffice_Level1"/>
      <w:bookmarkStart w:id="13" w:name="_Toc13632"/>
      <w:bookmarkStart w:id="14" w:name="_Toc5537_WPSOffice_Level1"/>
      <w:bookmarkStart w:id="15" w:name="_Toc13087"/>
    </w:p>
    <w:p w14:paraId="12954EA0">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rPr>
        <w:t>、其</w:t>
      </w:r>
      <w:bookmarkEnd w:id="12"/>
      <w:r>
        <w:rPr>
          <w:rFonts w:hint="eastAsia"/>
          <w:b/>
          <w:bCs/>
          <w:color w:val="auto"/>
          <w:sz w:val="28"/>
          <w:szCs w:val="28"/>
        </w:rPr>
        <w:t>它</w:t>
      </w:r>
      <w:bookmarkEnd w:id="13"/>
      <w:bookmarkEnd w:id="14"/>
      <w:bookmarkEnd w:id="15"/>
    </w:p>
    <w:p w14:paraId="179E9D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.1以上条款，双方应严格执行，未尽事宜，双方本着友好协商原则随时协调解决，作为协议的补充条款。</w:t>
      </w:r>
    </w:p>
    <w:p w14:paraId="156EA1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将作为合同的一个附件，并与合同文件具有相同的法律效力。双方共同签署的会议纪要、补充文件等也与合同文件有相同的法律效力。</w:t>
      </w:r>
    </w:p>
    <w:p w14:paraId="6D71D0B0">
      <w:pPr>
        <w:rPr>
          <w:rFonts w:hint="eastAsia" w:asciiTheme="minorEastAsia" w:hAnsiTheme="minorEastAsia" w:eastAsiaTheme="minorEastAsia" w:cs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34C">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FF32C">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FF32C">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2D9A3B37"/>
    <w:rsid w:val="00DF3269"/>
    <w:rsid w:val="01C963F3"/>
    <w:rsid w:val="068C7DA6"/>
    <w:rsid w:val="07BB3E82"/>
    <w:rsid w:val="08B96163"/>
    <w:rsid w:val="09D05E45"/>
    <w:rsid w:val="0B6158EF"/>
    <w:rsid w:val="0DF42E51"/>
    <w:rsid w:val="0E282F2A"/>
    <w:rsid w:val="0E9A61BF"/>
    <w:rsid w:val="10606B96"/>
    <w:rsid w:val="129F3C13"/>
    <w:rsid w:val="14E70D02"/>
    <w:rsid w:val="155C1637"/>
    <w:rsid w:val="16AD121B"/>
    <w:rsid w:val="181033CA"/>
    <w:rsid w:val="1BC51942"/>
    <w:rsid w:val="1DE60253"/>
    <w:rsid w:val="1F006D77"/>
    <w:rsid w:val="1FA603E9"/>
    <w:rsid w:val="257E5089"/>
    <w:rsid w:val="25B74631"/>
    <w:rsid w:val="26427124"/>
    <w:rsid w:val="27912EE5"/>
    <w:rsid w:val="28C80903"/>
    <w:rsid w:val="299475BD"/>
    <w:rsid w:val="2A8A3FE1"/>
    <w:rsid w:val="2BA52670"/>
    <w:rsid w:val="2D9A3B37"/>
    <w:rsid w:val="2FB219C5"/>
    <w:rsid w:val="30D31D74"/>
    <w:rsid w:val="325F324C"/>
    <w:rsid w:val="32DE69D0"/>
    <w:rsid w:val="33723946"/>
    <w:rsid w:val="33984CCA"/>
    <w:rsid w:val="3560789A"/>
    <w:rsid w:val="39A9208B"/>
    <w:rsid w:val="3DD411F3"/>
    <w:rsid w:val="3F97157A"/>
    <w:rsid w:val="40532378"/>
    <w:rsid w:val="41EB4368"/>
    <w:rsid w:val="42BD0D2B"/>
    <w:rsid w:val="43145DEB"/>
    <w:rsid w:val="433B252A"/>
    <w:rsid w:val="4346719D"/>
    <w:rsid w:val="44067BB2"/>
    <w:rsid w:val="445D6953"/>
    <w:rsid w:val="44850557"/>
    <w:rsid w:val="46047B9D"/>
    <w:rsid w:val="46DE34BA"/>
    <w:rsid w:val="479F3430"/>
    <w:rsid w:val="48254B81"/>
    <w:rsid w:val="48D72EAF"/>
    <w:rsid w:val="492F29A4"/>
    <w:rsid w:val="497C0C22"/>
    <w:rsid w:val="4BD45B54"/>
    <w:rsid w:val="4FC16342"/>
    <w:rsid w:val="50ED7AD5"/>
    <w:rsid w:val="53054E72"/>
    <w:rsid w:val="54A510BB"/>
    <w:rsid w:val="56092793"/>
    <w:rsid w:val="57661B27"/>
    <w:rsid w:val="597679B6"/>
    <w:rsid w:val="5A7002B7"/>
    <w:rsid w:val="5E0E703B"/>
    <w:rsid w:val="6051650D"/>
    <w:rsid w:val="62F55848"/>
    <w:rsid w:val="682D7860"/>
    <w:rsid w:val="6A450214"/>
    <w:rsid w:val="6AAD1E57"/>
    <w:rsid w:val="6B5B11FE"/>
    <w:rsid w:val="6C615D2A"/>
    <w:rsid w:val="6F4F630E"/>
    <w:rsid w:val="6F9E1043"/>
    <w:rsid w:val="6FF07062"/>
    <w:rsid w:val="76352239"/>
    <w:rsid w:val="76377FE5"/>
    <w:rsid w:val="76C05D43"/>
    <w:rsid w:val="77CD4D19"/>
    <w:rsid w:val="78AE08C7"/>
    <w:rsid w:val="7AF414CB"/>
    <w:rsid w:val="7B073F40"/>
    <w:rsid w:val="7C572D3A"/>
    <w:rsid w:val="7E292D8B"/>
    <w:rsid w:val="7E3D018E"/>
    <w:rsid w:val="7EBC421A"/>
    <w:rsid w:val="7F8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qFormat/>
    <w:uiPriority w:val="1"/>
    <w:rPr>
      <w:rFonts w:ascii="宋体" w:hAnsi="宋体" w:eastAsia="宋体" w:cs="宋体"/>
      <w:sz w:val="24"/>
      <w:szCs w:val="24"/>
    </w:rPr>
  </w:style>
  <w:style w:type="paragraph" w:styleId="7">
    <w:name w:val="footer"/>
    <w:basedOn w:val="1"/>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41"/>
    <w:basedOn w:val="12"/>
    <w:qFormat/>
    <w:uiPriority w:val="0"/>
    <w:rPr>
      <w:rFonts w:hint="default" w:ascii="Times New Roman" w:hAnsi="Times New Roman" w:cs="Times New Roman"/>
      <w:color w:val="181818"/>
      <w:sz w:val="22"/>
      <w:szCs w:val="22"/>
      <w:u w:val="none"/>
    </w:rPr>
  </w:style>
  <w:style w:type="character" w:customStyle="1" w:styleId="16">
    <w:name w:val="font61"/>
    <w:basedOn w:val="12"/>
    <w:autoRedefine/>
    <w:qFormat/>
    <w:uiPriority w:val="0"/>
    <w:rPr>
      <w:rFonts w:ascii="Arial" w:hAnsi="Arial" w:cs="Arial"/>
      <w:color w:val="181818"/>
      <w:sz w:val="22"/>
      <w:szCs w:val="22"/>
      <w:u w:val="none"/>
    </w:rPr>
  </w:style>
  <w:style w:type="character" w:customStyle="1" w:styleId="17">
    <w:name w:val="font51"/>
    <w:basedOn w:val="12"/>
    <w:autoRedefine/>
    <w:qFormat/>
    <w:uiPriority w:val="0"/>
    <w:rPr>
      <w:rFonts w:hint="default" w:ascii="Arial" w:hAnsi="Arial" w:cs="Arial"/>
      <w:color w:val="2A2A2A"/>
      <w:sz w:val="22"/>
      <w:szCs w:val="22"/>
      <w:u w:val="none"/>
    </w:rPr>
  </w:style>
  <w:style w:type="character" w:customStyle="1" w:styleId="18">
    <w:name w:val="font71"/>
    <w:basedOn w:val="12"/>
    <w:qFormat/>
    <w:uiPriority w:val="0"/>
    <w:rPr>
      <w:rFonts w:hint="default" w:ascii="Arial" w:hAnsi="Arial" w:cs="Arial"/>
      <w:color w:val="4B4B4B"/>
      <w:sz w:val="22"/>
      <w:szCs w:val="22"/>
      <w:u w:val="none"/>
    </w:rPr>
  </w:style>
  <w:style w:type="character" w:customStyle="1" w:styleId="19">
    <w:name w:val="font81"/>
    <w:basedOn w:val="12"/>
    <w:qFormat/>
    <w:uiPriority w:val="0"/>
    <w:rPr>
      <w:rFonts w:hint="default" w:ascii="Times New Roman" w:hAnsi="Times New Roman" w:cs="Times New Roman"/>
      <w:color w:val="4B4B4B"/>
      <w:sz w:val="22"/>
      <w:szCs w:val="22"/>
      <w:u w:val="none"/>
    </w:rPr>
  </w:style>
  <w:style w:type="character" w:customStyle="1" w:styleId="20">
    <w:name w:val="font91"/>
    <w:basedOn w:val="12"/>
    <w:autoRedefine/>
    <w:qFormat/>
    <w:uiPriority w:val="0"/>
    <w:rPr>
      <w:rFonts w:hint="default" w:ascii="Times New Roman" w:hAnsi="Times New Roman" w:cs="Times New Roman"/>
      <w:color w:val="2A2A2A"/>
      <w:sz w:val="22"/>
      <w:szCs w:val="22"/>
      <w:u w:val="none"/>
    </w:rPr>
  </w:style>
  <w:style w:type="character" w:customStyle="1" w:styleId="21">
    <w:name w:val="font31"/>
    <w:basedOn w:val="12"/>
    <w:autoRedefine/>
    <w:qFormat/>
    <w:uiPriority w:val="0"/>
    <w:rPr>
      <w:rFonts w:hint="eastAsia" w:ascii="宋体" w:hAnsi="宋体" w:eastAsia="宋体" w:cs="宋体"/>
      <w:color w:val="4B4B4B"/>
      <w:sz w:val="22"/>
      <w:szCs w:val="22"/>
      <w:u w:val="none"/>
    </w:rPr>
  </w:style>
  <w:style w:type="character" w:customStyle="1" w:styleId="22">
    <w:name w:val="font101"/>
    <w:basedOn w:val="12"/>
    <w:qFormat/>
    <w:uiPriority w:val="0"/>
    <w:rPr>
      <w:rFonts w:hint="eastAsia" w:ascii="宋体" w:hAnsi="宋体" w:eastAsia="宋体" w:cs="宋体"/>
      <w:color w:val="181818"/>
      <w:sz w:val="22"/>
      <w:szCs w:val="22"/>
      <w:u w:val="none"/>
    </w:rPr>
  </w:style>
  <w:style w:type="character" w:customStyle="1" w:styleId="23">
    <w:name w:val="font21"/>
    <w:basedOn w:val="12"/>
    <w:qFormat/>
    <w:uiPriority w:val="0"/>
    <w:rPr>
      <w:rFonts w:hint="default" w:ascii="Times New Roman" w:hAnsi="Times New Roman" w:cs="Times New Roman"/>
      <w:color w:val="181818"/>
      <w:sz w:val="22"/>
      <w:szCs w:val="22"/>
      <w:u w:val="none"/>
    </w:rPr>
  </w:style>
  <w:style w:type="character" w:customStyle="1" w:styleId="24">
    <w:name w:val="font11"/>
    <w:basedOn w:val="12"/>
    <w:qFormat/>
    <w:uiPriority w:val="0"/>
    <w:rPr>
      <w:rFonts w:hint="eastAsia" w:ascii="宋体" w:hAnsi="宋体" w:eastAsia="宋体" w:cs="宋体"/>
      <w:color w:val="4B4B4B"/>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3562</Words>
  <Characters>4070</Characters>
  <Lines>0</Lines>
  <Paragraphs>0</Paragraphs>
  <TotalTime>1</TotalTime>
  <ScaleCrop>false</ScaleCrop>
  <LinksUpToDate>false</LinksUpToDate>
  <CharactersWithSpaces>4197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2025-07-23T00:20:30Z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F150398C714A4F04B5BFABB8BCAF3976_13</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61676334b4e8422151e43967553014381f5e06876ebe2bbce66cedec39aecaace13a7a50d2e78fc24905f2d51543115718d24a85d863406619b20f535235256639364240fb3cb2ed3f5b47b5a74b7b51f7f4e99e930901432b8fe8143e53976cf60cc91b16779059f9d3caa8328599d2dfe30a86b7e8cf6b92f05afce051787</vt:lpwstr>
  </property>
  <property fmtid="{D5CDD505-2E9C-101B-9397-08002B2CF9AE}" pid="6" name="EagleCloud1">
    <vt:lpwstr>1ffad8598204963fa1084faf90e32be1d88d48688588c2f28ee25681e51dbe63d4b97da1e18935a65ea90e87098a3ef038b35e8e50f97c200db1f3d398d0adccbcbe1255457f96a218f9d7c671e10fd89d6d0c6504fbf436ed2a150575271ed058c422ea2f969177caabec18c0dfd712f947d92173a6da2cdac2bd503ff5c67</vt:lpwstr>
  </property>
  <property fmtid="{D5CDD505-2E9C-101B-9397-08002B2CF9AE}" pid="7" name="EagleCloud2">
    <vt:lpwstr>e8da44a73c616652fe91b8bfa14abb2b36ed8e7eb3a34113cae1bc1ac9756b2f1c9c383a293625bc26156627afe1502e463e74f911d88ff4486ff8434331383de79640ac2cefb291a79b4d124eeae5dc813893eb759d3c6a37c4648d0ee1f5821e88d48688588c2f28ee25681e51dbe63d4b97da1e18935a65ea90e87098a3e</vt:lpwstr>
  </property>
  <property fmtid="{D5CDD505-2E9C-101B-9397-08002B2CF9AE}" pid="8" name="EagleCloud3">
    <vt:lpwstr>f038b35e8e50f97c200db1f3d398d0adccb98d22d3da6bc8ec3b40694753ef45e58121b176c1d7101f50ee81f4725da7f7701e92c9b4f966ceb18d9563283db442e6686a32c3404cc2b1b7b9ccd871245b25d550fc1610f4755d965ac2ba717d0c559c185eca5f92a1d29f58a9760abe8442e4219302a37ae80fd12b55b9f90</vt:lpwstr>
  </property>
  <property fmtid="{D5CDD505-2E9C-101B-9397-08002B2CF9AE}" pid="9" name="EagleCloud4">
    <vt:lpwstr>8c221cd4ce15f599fee04360f56690ada8f7692ff098f508806083b71a89a144a882bd3e3d59d185db491aff2f6951db547ecfe357a48a9cd789ae201b30e2f1496be3424630f6ac600e0ce65e19c90e319a81ffa9d1ec0f5898adfe54683c03e516a2faf60bc8d56dd0d44557363fedc6c0ddd852e2f3a5089be3e7bf7b04e</vt:lpwstr>
  </property>
  <property fmtid="{D5CDD505-2E9C-101B-9397-08002B2CF9AE}" pid="10" name="EagleCloud5">
    <vt:lpwstr>9e503220e50c760db72803817bf2842b160144f1ad4fa8afe3ecd3b47d93e85a976da3bcd062f874be3fc9c67b75a2ea86b6912cc08dd3b01e46768cac59c1b96eb0a86f8d787714098657f38acce8a2680e0f7f4e99e930901432b8fe8143e53976cf60cc91b16779059f9d3caa8328599d25f801c4943d7633625eee23ccc</vt:lpwstr>
  </property>
  <property fmtid="{D5CDD505-2E9C-101B-9397-08002B2CF9AE}" pid="11" name="EagleCloud6">
    <vt:lpwstr>ae779c98878e2ae89404b07502b2d593fcc28bd7f7bdf311ee16c394c96362b284584b5686a813d357931eb1f93ecab8b9b633f024f11228a8ea8f2605a8b242defbeeb571b47aefb024c021f5e4967ad2eda3c90ee8675a8d94df25a073427b019c75</vt:lpwstr>
  </property>
</Properties>
</file>