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69142">
      <w:pPr>
        <w:spacing w:before="312" w:beforeLines="100" w:after="312" w:afterLines="100"/>
        <w:jc w:val="center"/>
        <w:rPr>
          <w:rFonts w:hint="eastAsia" w:ascii="宋体" w:hAnsi="宋体" w:eastAsia="宋体" w:cs="宋体"/>
          <w:b/>
          <w:bCs/>
          <w:sz w:val="40"/>
          <w:szCs w:val="40"/>
        </w:rPr>
      </w:pPr>
      <w:r>
        <w:rPr>
          <w:rFonts w:hint="eastAsia" w:ascii="宋体" w:hAnsi="宋体" w:eastAsia="宋体" w:cs="宋体"/>
          <w:b/>
          <w:bCs/>
          <w:sz w:val="40"/>
          <w:szCs w:val="40"/>
        </w:rPr>
        <w:t>田田碳素煅后焦</w:t>
      </w:r>
      <w:r>
        <w:rPr>
          <w:rFonts w:hint="eastAsia" w:ascii="宋体" w:hAnsi="宋体" w:eastAsia="宋体" w:cs="宋体"/>
          <w:b/>
          <w:bCs/>
          <w:sz w:val="40"/>
          <w:szCs w:val="40"/>
          <w:lang w:val="en-US" w:eastAsia="zh-CN"/>
        </w:rPr>
        <w:t>购销</w:t>
      </w:r>
      <w:r>
        <w:rPr>
          <w:rFonts w:hint="eastAsia" w:ascii="宋体" w:hAnsi="宋体" w:eastAsia="宋体" w:cs="宋体"/>
          <w:b/>
          <w:bCs/>
          <w:sz w:val="40"/>
          <w:szCs w:val="40"/>
        </w:rPr>
        <w:t>合同</w:t>
      </w:r>
    </w:p>
    <w:p w14:paraId="5E679161">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14:paraId="3CA3017E">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14:paraId="194E0C9C">
      <w:pPr>
        <w:pStyle w:val="13"/>
        <w:rPr>
          <w:rFonts w:ascii="宋体" w:hAnsi="宋体" w:eastAsia="宋体" w:cs="宋体"/>
          <w:bCs/>
          <w:color w:val="000000"/>
          <w:sz w:val="24"/>
        </w:rPr>
      </w:pPr>
    </w:p>
    <w:p w14:paraId="7927276E">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14:paraId="5F6DB363">
      <w:pPr>
        <w:autoSpaceDE w:val="0"/>
        <w:autoSpaceDN w:val="0"/>
        <w:adjustRightInd w:val="0"/>
        <w:snapToGrid w:val="0"/>
        <w:spacing w:before="156" w:beforeLines="50" w:after="156" w:afterLines="50" w:line="440" w:lineRule="exact"/>
        <w:ind w:right="420" w:rightChars="200"/>
        <w:rPr>
          <w:rFonts w:ascii="宋体" w:hAnsi="宋体" w:eastAsia="宋体" w:cs="宋体"/>
          <w:b/>
          <w:bCs/>
          <w:sz w:val="24"/>
        </w:rPr>
      </w:pPr>
    </w:p>
    <w:p w14:paraId="0EA85972">
      <w:pPr>
        <w:pStyle w:val="13"/>
      </w:pPr>
    </w:p>
    <w:p w14:paraId="559A9480">
      <w:pPr>
        <w:spacing w:before="312" w:beforeLines="100" w:after="312" w:afterLines="100"/>
        <w:ind w:left="3398" w:leftChars="456" w:hanging="2440" w:hangingChars="500"/>
        <w:jc w:val="left"/>
        <w:rPr>
          <w:rFonts w:hint="eastAsia" w:ascii="宋体" w:hAnsi="宋体"/>
          <w:sz w:val="32"/>
          <w:szCs w:val="32"/>
          <w:u w:val="single"/>
          <w:lang w:val="en-US" w:eastAsia="zh-CN"/>
        </w:rPr>
      </w:pPr>
      <w:r>
        <w:rPr>
          <w:rFonts w:hint="eastAsia" w:ascii="宋体" w:hAnsi="宋体"/>
          <w:spacing w:val="84"/>
          <w:sz w:val="32"/>
          <w:szCs w:val="32"/>
        </w:rPr>
        <w:t>项目名称</w:t>
      </w:r>
      <w:r>
        <w:rPr>
          <w:rFonts w:hint="eastAsia" w:ascii="宋体" w:hAnsi="宋体"/>
          <w:sz w:val="32"/>
          <w:szCs w:val="32"/>
        </w:rPr>
        <w:t>:</w:t>
      </w:r>
      <w:r>
        <w:rPr>
          <w:rFonts w:hint="eastAsia" w:ascii="宋体" w:hAnsi="宋体"/>
          <w:sz w:val="32"/>
          <w:szCs w:val="32"/>
          <w:u w:val="single"/>
        </w:rPr>
        <w:t>田田碳素2025年</w:t>
      </w:r>
      <w:r>
        <w:rPr>
          <w:rFonts w:hint="eastAsia"/>
          <w:u w:val="single"/>
        </w:rPr>
        <w:t>XXX</w:t>
      </w:r>
      <w:r>
        <w:rPr>
          <w:rFonts w:hint="eastAsia" w:ascii="宋体" w:hAnsi="宋体"/>
          <w:sz w:val="32"/>
          <w:szCs w:val="32"/>
          <w:u w:val="single"/>
        </w:rPr>
        <w:t>月份</w:t>
      </w:r>
      <w:r>
        <w:rPr>
          <w:rFonts w:hint="eastAsia" w:ascii="宋体" w:hAnsi="宋体"/>
          <w:sz w:val="32"/>
          <w:szCs w:val="32"/>
          <w:u w:val="single"/>
          <w:lang w:val="en-US" w:eastAsia="zh-CN"/>
        </w:rPr>
        <w:t>煅后焦</w:t>
      </w:r>
    </w:p>
    <w:p w14:paraId="0A07C60C">
      <w:pPr>
        <w:spacing w:before="312" w:beforeLines="100" w:after="312" w:afterLines="100"/>
        <w:ind w:left="2554" w:leftChars="1216" w:firstLine="640" w:firstLineChars="200"/>
        <w:jc w:val="left"/>
        <w:rPr>
          <w:rFonts w:hint="eastAsia" w:ascii="宋体" w:hAnsi="宋体"/>
          <w:sz w:val="32"/>
          <w:szCs w:val="32"/>
          <w:u w:val="single"/>
        </w:rPr>
      </w:pPr>
      <w:r>
        <w:rPr>
          <w:rFonts w:hint="eastAsia" w:ascii="宋体" w:hAnsi="宋体"/>
          <w:sz w:val="32"/>
          <w:szCs w:val="32"/>
          <w:u w:val="single"/>
        </w:rPr>
        <w:t>采购项目</w:t>
      </w:r>
    </w:p>
    <w:p w14:paraId="2891FEDC">
      <w:pPr>
        <w:snapToGrid w:val="0"/>
        <w:spacing w:before="156" w:beforeLines="50" w:after="156" w:afterLines="50" w:line="440" w:lineRule="exact"/>
        <w:ind w:left="0" w:leftChars="0" w:firstLine="976" w:firstLineChars="200"/>
        <w:jc w:val="both"/>
        <w:rPr>
          <w:rFonts w:ascii="宋体" w:hAnsi="宋体"/>
          <w:sz w:val="32"/>
          <w:szCs w:val="32"/>
          <w:u w:val="single"/>
        </w:rPr>
      </w:pPr>
      <w:r>
        <w:rPr>
          <w:rFonts w:hint="eastAsia" w:ascii="宋体" w:hAnsi="宋体"/>
          <w:spacing w:val="84"/>
          <w:sz w:val="32"/>
          <w:szCs w:val="32"/>
        </w:rPr>
        <w:t>合同编号</w:t>
      </w:r>
      <w:r>
        <w:rPr>
          <w:rFonts w:hint="eastAsia" w:ascii="宋体" w:hAnsi="宋体"/>
          <w:sz w:val="32"/>
          <w:szCs w:val="32"/>
        </w:rPr>
        <w:t>:</w:t>
      </w:r>
      <w:r>
        <w:rPr>
          <w:rFonts w:hint="eastAsia" w:ascii="宋体" w:hAnsi="宋体" w:eastAsiaTheme="minorEastAsia"/>
          <w:spacing w:val="57"/>
          <w:kern w:val="6"/>
          <w:sz w:val="32"/>
          <w:szCs w:val="32"/>
          <w:u w:val="single"/>
          <w:lang w:val="en-US" w:eastAsia="zh-CN"/>
        </w:rPr>
        <w:t xml:space="preserve"> </w:t>
      </w:r>
      <w:r>
        <w:rPr>
          <w:rFonts w:hint="eastAsia" w:ascii="宋体" w:hAnsi="宋体" w:eastAsiaTheme="minorEastAsia"/>
          <w:kern w:val="6"/>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6FBA45EB">
      <w:pPr>
        <w:snapToGrid w:val="0"/>
        <w:spacing w:before="156" w:beforeLines="50" w:after="156" w:afterLines="50" w:line="440" w:lineRule="exact"/>
        <w:ind w:firstLine="976" w:firstLineChars="200"/>
        <w:rPr>
          <w:rFonts w:ascii="宋体" w:hAnsi="宋体"/>
          <w:sz w:val="32"/>
          <w:szCs w:val="32"/>
          <w:u w:val="single"/>
        </w:rPr>
      </w:pPr>
      <w:r>
        <w:rPr>
          <w:rFonts w:hint="eastAsia" w:ascii="宋体" w:hAnsi="宋体"/>
          <w:spacing w:val="84"/>
          <w:sz w:val="32"/>
          <w:szCs w:val="32"/>
        </w:rPr>
        <w:t>签订地点</w:t>
      </w:r>
      <w:r>
        <w:rPr>
          <w:rFonts w:hint="eastAsia" w:ascii="宋体" w:hAnsi="宋体"/>
          <w:sz w:val="32"/>
          <w:szCs w:val="32"/>
        </w:rPr>
        <w:t>:</w:t>
      </w:r>
      <w:r>
        <w:rPr>
          <w:rFonts w:hint="eastAsia" w:ascii="宋体" w:hAnsi="宋体"/>
          <w:sz w:val="32"/>
          <w:szCs w:val="32"/>
          <w:u w:val="single"/>
        </w:rPr>
        <w:t>广西</w:t>
      </w:r>
      <w:r>
        <w:rPr>
          <w:rFonts w:hint="eastAsia" w:ascii="宋体" w:hAnsi="宋体"/>
          <w:sz w:val="32"/>
          <w:szCs w:val="32"/>
          <w:u w:val="single"/>
          <w:lang w:eastAsia="zh-CN"/>
        </w:rPr>
        <w:t>百色市</w:t>
      </w:r>
      <w:r>
        <w:rPr>
          <w:rFonts w:hint="eastAsia" w:ascii="宋体" w:hAnsi="宋体"/>
          <w:sz w:val="32"/>
          <w:szCs w:val="32"/>
          <w:u w:val="single"/>
        </w:rPr>
        <w:t>田林县旧州镇</w:t>
      </w:r>
      <w:r>
        <w:rPr>
          <w:rFonts w:hint="eastAsia" w:ascii="宋体" w:hAnsi="宋体"/>
          <w:sz w:val="32"/>
          <w:szCs w:val="32"/>
          <w:u w:val="single"/>
          <w:lang w:val="en-US" w:eastAsia="zh-CN"/>
        </w:rPr>
        <w:t xml:space="preserve">    </w:t>
      </w:r>
      <w:r>
        <w:rPr>
          <w:rFonts w:hint="eastAsia" w:ascii="宋体" w:hAnsi="宋体"/>
          <w:sz w:val="32"/>
          <w:szCs w:val="32"/>
          <w:u w:val="none"/>
        </w:rPr>
        <w:t xml:space="preserve">  </w:t>
      </w:r>
      <w:r>
        <w:rPr>
          <w:rFonts w:hint="eastAsia" w:ascii="宋体" w:hAnsi="宋体"/>
          <w:sz w:val="32"/>
          <w:szCs w:val="32"/>
          <w:u w:val="none"/>
          <w:lang w:val="en-US" w:eastAsia="zh-CN"/>
        </w:rPr>
        <w:t xml:space="preserve"> </w:t>
      </w:r>
      <w:r>
        <w:rPr>
          <w:rFonts w:hint="eastAsia" w:ascii="宋体" w:hAnsi="宋体"/>
          <w:sz w:val="32"/>
          <w:szCs w:val="32"/>
          <w:u w:val="none"/>
        </w:rPr>
        <w:t xml:space="preserve">      </w:t>
      </w:r>
      <w:r>
        <w:rPr>
          <w:rFonts w:hint="eastAsia" w:ascii="宋体" w:hAnsi="宋体"/>
          <w:sz w:val="32"/>
          <w:szCs w:val="32"/>
        </w:rPr>
        <w:t xml:space="preserve">       </w:t>
      </w:r>
      <w:r>
        <w:rPr>
          <w:rFonts w:hint="eastAsia" w:ascii="宋体" w:hAnsi="宋体"/>
          <w:sz w:val="32"/>
          <w:szCs w:val="32"/>
          <w:u w:val="single"/>
        </w:rPr>
        <w:t xml:space="preserve">        </w:t>
      </w:r>
    </w:p>
    <w:p w14:paraId="06260343">
      <w:pPr>
        <w:snapToGrid w:val="0"/>
        <w:spacing w:before="156" w:beforeLines="50" w:after="156" w:afterLines="50" w:line="440" w:lineRule="exact"/>
        <w:ind w:firstLine="976" w:firstLineChars="200"/>
        <w:rPr>
          <w:rFonts w:hint="default" w:ascii="宋体" w:hAnsi="宋体" w:eastAsiaTheme="minorEastAsia"/>
          <w:sz w:val="32"/>
          <w:szCs w:val="32"/>
          <w:u w:val="single"/>
          <w:lang w:val="en-US" w:eastAsia="zh-CN"/>
        </w:rPr>
      </w:pPr>
      <w:r>
        <w:rPr>
          <w:rFonts w:hint="eastAsia" w:ascii="宋体" w:hAnsi="宋体"/>
          <w:spacing w:val="84"/>
          <w:sz w:val="32"/>
          <w:szCs w:val="32"/>
        </w:rPr>
        <w:t>签订时间</w:t>
      </w:r>
      <w:r>
        <w:rPr>
          <w:rFonts w:hint="eastAsia" w:ascii="宋体" w:hAnsi="宋体"/>
          <w:sz w:val="32"/>
          <w:szCs w:val="32"/>
        </w:rPr>
        <w:t>:</w:t>
      </w:r>
      <w:r>
        <w:rPr>
          <w:rFonts w:hint="eastAsia" w:ascii="宋体" w:hAnsi="宋体"/>
          <w:sz w:val="32"/>
          <w:szCs w:val="32"/>
          <w:u w:val="single"/>
          <w:lang w:val="en-US" w:eastAsia="zh-CN"/>
        </w:rPr>
        <w:t xml:space="preserve">    </w:t>
      </w:r>
      <w:r>
        <w:rPr>
          <w:rFonts w:hint="eastAsia" w:ascii="宋体" w:hAnsi="宋体"/>
          <w:sz w:val="32"/>
          <w:szCs w:val="32"/>
          <w:u w:val="single"/>
        </w:rPr>
        <w:t>年</w:t>
      </w:r>
      <w:r>
        <w:rPr>
          <w:rFonts w:hint="eastAsia" w:ascii="宋体" w:hAnsi="宋体"/>
          <w:sz w:val="32"/>
          <w:szCs w:val="32"/>
          <w:u w:val="single"/>
          <w:lang w:val="en-US" w:eastAsia="zh-CN"/>
        </w:rPr>
        <w:t xml:space="preserve">    </w:t>
      </w:r>
      <w:r>
        <w:rPr>
          <w:rFonts w:hint="eastAsia" w:ascii="宋体" w:hAnsi="宋体"/>
          <w:sz w:val="32"/>
          <w:szCs w:val="32"/>
          <w:u w:val="single"/>
        </w:rPr>
        <w:t>月</w:t>
      </w:r>
      <w:r>
        <w:rPr>
          <w:rFonts w:hint="eastAsia" w:ascii="宋体" w:hAnsi="宋体"/>
          <w:sz w:val="32"/>
          <w:szCs w:val="32"/>
          <w:u w:val="single"/>
          <w:lang w:val="en-US" w:eastAsia="zh-CN"/>
        </w:rPr>
        <w:t xml:space="preserve">   </w:t>
      </w:r>
      <w:r>
        <w:rPr>
          <w:rFonts w:hint="eastAsia" w:ascii="宋体" w:hAnsi="宋体"/>
          <w:sz w:val="32"/>
          <w:szCs w:val="32"/>
          <w:u w:val="single"/>
        </w:rPr>
        <w:t>日</w:t>
      </w:r>
      <w:r>
        <w:rPr>
          <w:rFonts w:hint="eastAsia" w:ascii="宋体" w:hAnsi="宋体"/>
          <w:sz w:val="32"/>
          <w:szCs w:val="32"/>
          <w:u w:val="single"/>
          <w:lang w:val="en-US" w:eastAsia="zh-CN"/>
        </w:rPr>
        <w:t xml:space="preserve">         </w:t>
      </w:r>
    </w:p>
    <w:p w14:paraId="7808A88C">
      <w:pPr>
        <w:tabs>
          <w:tab w:val="left" w:pos="567"/>
        </w:tabs>
        <w:snapToGrid w:val="0"/>
        <w:spacing w:before="156" w:beforeLines="50" w:after="156" w:afterLines="50" w:line="440" w:lineRule="exact"/>
        <w:jc w:val="center"/>
        <w:rPr>
          <w:rFonts w:ascii="宋体" w:hAnsi="宋体"/>
          <w:spacing w:val="84"/>
          <w:sz w:val="40"/>
          <w:szCs w:val="32"/>
        </w:rPr>
      </w:pPr>
    </w:p>
    <w:p w14:paraId="016DDEF5">
      <w:pPr>
        <w:rPr>
          <w:rFonts w:ascii="宋体" w:hAnsi="宋体" w:eastAsia="宋体" w:cs="宋体"/>
          <w:sz w:val="24"/>
        </w:rPr>
      </w:pPr>
    </w:p>
    <w:p w14:paraId="3A678779">
      <w:pPr>
        <w:jc w:val="center"/>
        <w:rPr>
          <w:rFonts w:ascii="宋体" w:hAnsi="宋体" w:eastAsia="宋体" w:cs="宋体"/>
          <w:sz w:val="24"/>
        </w:rPr>
        <w:sectPr>
          <w:headerReference r:id="rId5" w:type="first"/>
          <w:headerReference r:id="rId3" w:type="default"/>
          <w:footerReference r:id="rId6" w:type="default"/>
          <w:head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6B33F4F3">
      <w:pPr>
        <w:spacing w:before="312" w:beforeLines="100" w:after="312" w:afterLines="100"/>
        <w:ind w:firstLine="883" w:firstLineChars="200"/>
        <w:jc w:val="center"/>
      </w:pPr>
      <w:r>
        <w:rPr>
          <w:rFonts w:hint="eastAsia" w:ascii="宋体" w:hAnsi="宋体" w:eastAsia="宋体" w:cs="宋体"/>
          <w:b/>
          <w:bCs/>
          <w:sz w:val="44"/>
          <w:szCs w:val="44"/>
          <w:lang w:val="en-US" w:eastAsia="zh-CN"/>
        </w:rPr>
        <w:t>煅后焦</w:t>
      </w:r>
      <w:r>
        <w:rPr>
          <w:rFonts w:hint="eastAsia" w:ascii="宋体" w:hAnsi="宋体" w:eastAsia="宋体" w:cs="宋体"/>
          <w:b/>
          <w:bCs/>
          <w:sz w:val="44"/>
          <w:szCs w:val="44"/>
        </w:rPr>
        <w:t>采购合同</w:t>
      </w:r>
    </w:p>
    <w:p w14:paraId="3B14E505">
      <w:pPr>
        <w:spacing w:before="145" w:beforeLines="50" w:after="145" w:afterLines="50" w:line="440" w:lineRule="exact"/>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甲</w:t>
      </w:r>
      <w:r>
        <w:rPr>
          <w:rFonts w:hint="eastAsia" w:ascii="宋体" w:hAnsi="宋体" w:cs="宋体"/>
          <w:b/>
          <w:sz w:val="24"/>
        </w:rPr>
        <w:t>方：</w:t>
      </w:r>
      <w:r>
        <w:rPr>
          <w:rFonts w:hint="eastAsia" w:ascii="宋体" w:hAnsi="宋体" w:cs="宋体"/>
          <w:b/>
          <w:sz w:val="24"/>
          <w:u w:val="single"/>
          <w:lang w:val="en-US" w:eastAsia="zh-CN"/>
        </w:rPr>
        <w:t>田林百矿田田碳素有限公司</w:t>
      </w:r>
    </w:p>
    <w:p w14:paraId="5A010D15">
      <w:pPr>
        <w:spacing w:before="145" w:beforeLines="50" w:after="145" w:afterLines="50" w:line="440" w:lineRule="exact"/>
        <w:ind w:firstLine="482" w:firstLineChars="200"/>
        <w:jc w:val="left"/>
        <w:rPr>
          <w:rFonts w:hint="default" w:ascii="宋体" w:hAnsi="宋体" w:cs="宋体" w:eastAsiaTheme="minorEastAsia"/>
          <w:b/>
          <w:sz w:val="24"/>
          <w:u w:val="single"/>
          <w:lang w:val="en-US" w:eastAsia="zh-CN"/>
        </w:rPr>
      </w:pPr>
      <w:r>
        <w:rPr>
          <w:rFonts w:hint="eastAsia" w:ascii="宋体" w:hAnsi="宋体" w:cs="宋体"/>
          <w:b/>
          <w:sz w:val="24"/>
        </w:rPr>
        <w:t>统一社会信用代码：</w:t>
      </w:r>
      <w:r>
        <w:rPr>
          <w:rFonts w:hint="eastAsia" w:ascii="宋体" w:hAnsi="宋体" w:eastAsia="宋体" w:cs="宋体"/>
          <w:sz w:val="24"/>
          <w:u w:val="single"/>
        </w:rPr>
        <w:t>91451029MA5LC22339</w:t>
      </w:r>
    </w:p>
    <w:p w14:paraId="47A15E9E">
      <w:pPr>
        <w:spacing w:before="145" w:beforeLines="50" w:after="145" w:afterLines="50" w:line="440" w:lineRule="exact"/>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乙方：</w:t>
      </w:r>
    </w:p>
    <w:p w14:paraId="464676C3">
      <w:pPr>
        <w:spacing w:before="145" w:beforeLines="50" w:after="145" w:afterLines="50" w:line="440" w:lineRule="exact"/>
        <w:ind w:firstLine="482" w:firstLineChars="200"/>
        <w:jc w:val="left"/>
        <w:rPr>
          <w:rFonts w:ascii="宋体" w:hAnsi="宋体" w:eastAsia="宋体" w:cs="宋体"/>
          <w:sz w:val="24"/>
          <w:highlight w:val="yellow"/>
          <w:u w:val="single"/>
        </w:rPr>
      </w:pPr>
      <w:r>
        <w:rPr>
          <w:rFonts w:hint="eastAsia" w:ascii="宋体" w:hAnsi="宋体" w:cs="宋体"/>
          <w:b/>
          <w:sz w:val="24"/>
          <w:lang w:val="en-US" w:eastAsia="zh-CN"/>
        </w:rPr>
        <w:t>统一社会信用代码：</w:t>
      </w:r>
    </w:p>
    <w:p w14:paraId="3470FA7C">
      <w:pPr>
        <w:spacing w:before="10" w:after="10"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为明确甲乙双方权利、义务和责任，根据《中华人民共和国民法典》及相关法律法规的规定，本着自愿公平、诚实信用原则，就</w:t>
      </w:r>
      <w:r>
        <w:rPr>
          <w:rFonts w:hint="eastAsia" w:ascii="宋体" w:hAnsi="宋体" w:eastAsia="宋体" w:cs="宋体"/>
          <w:sz w:val="24"/>
          <w:lang w:val="en-US" w:eastAsia="zh-CN"/>
        </w:rPr>
        <w:t>煅后焦买卖</w:t>
      </w:r>
      <w:r>
        <w:rPr>
          <w:rFonts w:hint="eastAsia" w:ascii="宋体" w:hAnsi="宋体" w:eastAsia="宋体" w:cs="宋体"/>
          <w:sz w:val="24"/>
        </w:rPr>
        <w:t>事宜，经双方充分、友好协商，特订立本合同，双方共同遵守。</w:t>
      </w:r>
      <w:r>
        <w:rPr>
          <w:rFonts w:hint="eastAsia" w:ascii="宋体" w:hAnsi="宋体" w:eastAsia="宋体" w:cs="宋体"/>
          <w:sz w:val="24"/>
          <w:lang w:val="en-US" w:eastAsia="zh-CN"/>
        </w:rPr>
        <w:t xml:space="preserve"> </w:t>
      </w:r>
    </w:p>
    <w:p w14:paraId="0EC4A5CC">
      <w:pPr>
        <w:spacing w:before="10" w:after="10" w:line="440" w:lineRule="exact"/>
        <w:rPr>
          <w:rFonts w:ascii="宋体" w:hAnsi="宋体" w:eastAsia="宋体" w:cs="宋体"/>
          <w:b/>
          <w:bCs/>
          <w:sz w:val="24"/>
        </w:rPr>
      </w:pPr>
      <w:r>
        <w:rPr>
          <w:rFonts w:hint="eastAsia" w:ascii="宋体" w:hAnsi="宋体" w:eastAsia="宋体" w:cs="宋体"/>
          <w:b/>
          <w:bCs/>
          <w:sz w:val="24"/>
        </w:rPr>
        <w:t xml:space="preserve">第一条 </w:t>
      </w:r>
      <w:r>
        <w:rPr>
          <w:rFonts w:hint="eastAsia" w:ascii="宋体" w:hAnsi="宋体" w:eastAsia="宋体" w:cs="宋体"/>
          <w:b/>
          <w:bCs/>
          <w:sz w:val="24"/>
          <w:lang w:val="en-US" w:eastAsia="zh-CN"/>
        </w:rPr>
        <w:t>煅后焦</w:t>
      </w:r>
      <w:r>
        <w:rPr>
          <w:rFonts w:hint="eastAsia" w:ascii="宋体" w:hAnsi="宋体" w:eastAsia="宋体" w:cs="宋体"/>
          <w:b/>
          <w:bCs/>
          <w:sz w:val="24"/>
        </w:rPr>
        <w:t>技术指标</w:t>
      </w:r>
    </w:p>
    <w:p w14:paraId="6AD6E46B">
      <w:pPr>
        <w:widowControl/>
        <w:spacing w:before="10" w:after="10" w:line="440" w:lineRule="exact"/>
        <w:ind w:firstLine="480" w:firstLineChars="200"/>
        <w:rPr>
          <w:rFonts w:ascii="宋体" w:hAnsi="宋体" w:eastAsia="宋体" w:cs="宋体"/>
          <w:sz w:val="24"/>
        </w:rPr>
      </w:pPr>
      <w:r>
        <w:rPr>
          <w:rFonts w:hint="eastAsia" w:ascii="宋体" w:hAnsi="宋体" w:eastAsia="宋体" w:cs="宋体"/>
          <w:sz w:val="24"/>
        </w:rPr>
        <w:t>1.1货物名称：</w:t>
      </w:r>
      <w:r>
        <w:rPr>
          <w:rFonts w:hint="eastAsia" w:ascii="宋体" w:hAnsi="宋体" w:eastAsia="宋体" w:cs="宋体"/>
          <w:sz w:val="24"/>
          <w:lang w:val="en-US" w:eastAsia="zh-CN"/>
        </w:rPr>
        <w:t>煅后焦</w:t>
      </w:r>
      <w:r>
        <w:rPr>
          <w:rFonts w:hint="eastAsia" w:ascii="宋体" w:hAnsi="宋体" w:eastAsia="宋体" w:cs="宋体"/>
          <w:sz w:val="24"/>
        </w:rPr>
        <w:t>。</w:t>
      </w:r>
    </w:p>
    <w:p w14:paraId="67AFB31F">
      <w:pPr>
        <w:spacing w:before="10" w:after="10" w:line="440" w:lineRule="exact"/>
        <w:ind w:firstLine="480" w:firstLineChars="200"/>
        <w:rPr>
          <w:rFonts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val="en-US" w:eastAsia="zh-CN"/>
        </w:rPr>
        <w:t>煅后焦</w:t>
      </w:r>
      <w:r>
        <w:rPr>
          <w:rFonts w:hint="eastAsia" w:ascii="宋体" w:hAnsi="宋体" w:eastAsia="宋体" w:cs="宋体"/>
          <w:sz w:val="24"/>
          <w:lang w:bidi="ar"/>
        </w:rPr>
        <w:t>采购技术指标（</w:t>
      </w:r>
      <w:r>
        <w:rPr>
          <w:rStyle w:val="27"/>
          <w:rFonts w:hint="eastAsia" w:eastAsia="宋体"/>
          <w:lang w:val="en-US" w:eastAsia="zh-CN" w:bidi="ar"/>
        </w:rPr>
        <w:t>YS/T 625-2012</w:t>
      </w:r>
      <w:r>
        <w:rPr>
          <w:rFonts w:hint="eastAsia" w:ascii="宋体" w:hAnsi="宋体" w:eastAsia="宋体" w:cs="宋体"/>
          <w:sz w:val="24"/>
          <w:lang w:val="en-US" w:eastAsia="zh-CN"/>
        </w:rPr>
        <w:t>)</w:t>
      </w:r>
      <w:r>
        <w:rPr>
          <w:rStyle w:val="25"/>
          <w:lang w:val="en-US" w:eastAsia="zh-CN" w:bidi="ar"/>
        </w:rPr>
        <w:t>《</w:t>
      </w:r>
      <w:r>
        <w:rPr>
          <w:rStyle w:val="25"/>
          <w:rFonts w:hint="eastAsia"/>
          <w:lang w:val="en-US" w:eastAsia="zh-CN" w:bidi="ar"/>
        </w:rPr>
        <w:t>预焙阳极用煅后石油焦</w:t>
      </w:r>
      <w:r>
        <w:rPr>
          <w:rStyle w:val="25"/>
          <w:lang w:val="en-US" w:eastAsia="zh-CN" w:bidi="ar"/>
        </w:rPr>
        <w:t>》最新标准。</w:t>
      </w:r>
    </w:p>
    <w:p w14:paraId="0F0B0ABB">
      <w:pPr>
        <w:widowControl/>
        <w:spacing w:before="10" w:after="10" w:line="440" w:lineRule="exact"/>
        <w:ind w:firstLine="480" w:firstLineChars="200"/>
        <w:rPr>
          <w:rFonts w:hint="eastAsia" w:ascii="宋体" w:hAnsi="宋体" w:eastAsia="宋体" w:cs="宋体"/>
          <w:sz w:val="24"/>
        </w:rPr>
      </w:pPr>
      <w:r>
        <w:rPr>
          <w:rFonts w:hint="eastAsia" w:ascii="宋体" w:hAnsi="宋体" w:eastAsia="宋体" w:cs="宋体"/>
          <w:sz w:val="24"/>
        </w:rPr>
        <w:t>1.3质量指标要求</w:t>
      </w:r>
    </w:p>
    <w:tbl>
      <w:tblPr>
        <w:tblStyle w:val="14"/>
        <w:tblW w:w="4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564"/>
        <w:gridCol w:w="601"/>
        <w:gridCol w:w="674"/>
        <w:gridCol w:w="700"/>
        <w:gridCol w:w="716"/>
        <w:gridCol w:w="743"/>
        <w:gridCol w:w="526"/>
        <w:gridCol w:w="538"/>
        <w:gridCol w:w="516"/>
        <w:gridCol w:w="642"/>
        <w:gridCol w:w="519"/>
        <w:gridCol w:w="517"/>
        <w:gridCol w:w="717"/>
      </w:tblGrid>
      <w:tr w14:paraId="5D31C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47FBD9E4">
            <w:pPr>
              <w:keepNext w:val="0"/>
              <w:keepLines w:val="0"/>
              <w:widowControl/>
              <w:suppressLineNumbers w:val="0"/>
              <w:jc w:val="both"/>
              <w:textAlignment w:val="center"/>
              <w:rPr>
                <w:rFonts w:hint="default" w:asciiTheme="minorEastAsia" w:hAnsiTheme="minorEastAsia" w:cstheme="minorEastAsia"/>
                <w:b w:val="0"/>
                <w:bCs w:val="0"/>
                <w:i w:val="0"/>
                <w:iCs w:val="0"/>
                <w:color w:val="4B4B4B"/>
                <w:kern w:val="0"/>
                <w:sz w:val="20"/>
                <w:szCs w:val="20"/>
                <w:u w:val="none"/>
                <w:lang w:val="en-US" w:eastAsia="zh-CN" w:bidi="ar"/>
              </w:rPr>
            </w:pPr>
            <w:r>
              <w:rPr>
                <w:rFonts w:hint="eastAsia" w:asciiTheme="minorEastAsia" w:hAnsiTheme="minorEastAsia" w:cstheme="minorEastAsia"/>
                <w:b w:val="0"/>
                <w:bCs w:val="0"/>
                <w:i w:val="0"/>
                <w:iCs w:val="0"/>
                <w:color w:val="4B4B4B"/>
                <w:kern w:val="0"/>
                <w:sz w:val="20"/>
                <w:szCs w:val="20"/>
                <w:u w:val="none"/>
                <w:lang w:val="en-US" w:eastAsia="zh-CN" w:bidi="ar"/>
              </w:rPr>
              <w:t>名称</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14:paraId="53C763E3">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cstheme="minorEastAsia"/>
                <w:b w:val="0"/>
                <w:bCs w:val="0"/>
                <w:i w:val="0"/>
                <w:iCs w:val="0"/>
                <w:color w:val="4B4B4B"/>
                <w:kern w:val="0"/>
                <w:sz w:val="20"/>
                <w:szCs w:val="20"/>
                <w:u w:val="none"/>
                <w:lang w:val="en-US" w:eastAsia="zh-CN" w:bidi="ar"/>
              </w:rPr>
              <w:t>水</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份％</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12F0D2B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灰分％</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82B43B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挥发份％</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564180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粉末比电阻</w:t>
            </w:r>
            <w:r>
              <w:rPr>
                <w:rStyle w:val="23"/>
                <w:rFonts w:hint="eastAsia" w:asciiTheme="minorEastAsia" w:hAnsiTheme="minorEastAsia" w:eastAsiaTheme="minorEastAsia" w:cstheme="minorEastAsia"/>
                <w:b w:val="0"/>
                <w:bCs w:val="0"/>
                <w:sz w:val="20"/>
                <w:szCs w:val="20"/>
                <w:lang w:val="en-US" w:eastAsia="zh-CN" w:bidi="ar"/>
              </w:rPr>
              <w:t>µQ.</w:t>
            </w:r>
            <w:r>
              <w:rPr>
                <w:rFonts w:hint="eastAsia" w:asciiTheme="minorEastAsia" w:hAnsiTheme="minorEastAsia" w:eastAsiaTheme="minorEastAsia" w:cstheme="minorEastAsia"/>
                <w:b w:val="0"/>
                <w:bCs w:val="0"/>
                <w:i w:val="0"/>
                <w:iCs w:val="0"/>
                <w:color w:val="181818"/>
                <w:kern w:val="0"/>
                <w:sz w:val="20"/>
                <w:szCs w:val="20"/>
                <w:u w:val="none"/>
                <w:lang w:val="en-US" w:eastAsia="zh-CN" w:bidi="ar"/>
              </w:rPr>
              <w:t>m</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44BE9D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真密度</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g</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cm3</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8EE2F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cstheme="minorEastAsia"/>
                <w:b w:val="0"/>
                <w:bCs w:val="0"/>
                <w:i w:val="0"/>
                <w:iCs w:val="0"/>
                <w:color w:val="4B4B4B"/>
                <w:kern w:val="0"/>
                <w:sz w:val="20"/>
                <w:szCs w:val="20"/>
                <w:u w:val="none"/>
                <w:lang w:val="en-US" w:eastAsia="zh-CN" w:bidi="ar"/>
              </w:rPr>
              <w:t>振实</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密度</w:t>
            </w:r>
          </w:p>
          <w:p w14:paraId="0F1B24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g</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c m3</w:t>
            </w: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14:paraId="3B948C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硫分％</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14:paraId="34356FE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固定碳％</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71ACB5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矾</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14:paraId="504A41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铁</w:t>
            </w:r>
          </w:p>
          <w:p w14:paraId="3C8606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100A98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硅</w:t>
            </w:r>
          </w:p>
          <w:p w14:paraId="61ED05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14FD6BE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钠</w:t>
            </w:r>
          </w:p>
          <w:p w14:paraId="2F8477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21EA3B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粒度（1mm以下）</w:t>
            </w:r>
            <w:r>
              <w:rPr>
                <w:rFonts w:hint="eastAsia" w:asciiTheme="minorEastAsia" w:hAnsiTheme="minorEastAsia" w:eastAsiaTheme="minorEastAsia" w:cstheme="minorEastAsia"/>
                <w:b w:val="0"/>
                <w:bCs w:val="0"/>
                <w:i w:val="0"/>
                <w:iCs w:val="0"/>
                <w:color w:val="181818"/>
                <w:kern w:val="0"/>
                <w:sz w:val="20"/>
                <w:szCs w:val="20"/>
                <w:u w:val="none"/>
                <w:lang w:val="en-US" w:eastAsia="zh-CN" w:bidi="ar"/>
              </w:rPr>
              <w:t>％</w:t>
            </w:r>
          </w:p>
        </w:tc>
      </w:tr>
      <w:tr w14:paraId="6E490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3A11B836">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煅后焦</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14:paraId="2FF97C1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14:paraId="3A8ABFD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E905AB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6D1BDC0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71A05C7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Style w:val="24"/>
                <w:b/>
                <w:bCs/>
                <w:lang w:val="en-US" w:eastAsia="zh-CN" w:bidi="ar"/>
              </w:rPr>
              <w:t>≥</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D37BF5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14:paraId="51556BD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14:paraId="2215A12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3E76E70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14:paraId="23C1906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14:paraId="0776CB0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57BDAB4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14:paraId="41F8EFE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r>
    </w:tbl>
    <w:p w14:paraId="40A5B095">
      <w:pPr>
        <w:pStyle w:val="2"/>
      </w:pPr>
    </w:p>
    <w:p w14:paraId="6AFA18DC">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sz w:val="24"/>
        </w:rPr>
      </w:pPr>
      <w:r>
        <w:rPr>
          <w:rFonts w:hint="eastAsia" w:ascii="宋体" w:hAnsi="宋体" w:eastAsia="宋体" w:cs="宋体"/>
          <w:b/>
          <w:bCs/>
          <w:sz w:val="24"/>
        </w:rPr>
        <w:t>注明：</w:t>
      </w:r>
    </w:p>
    <w:p w14:paraId="6B23D9AD">
      <w:pPr>
        <w:widowControl/>
        <w:spacing w:before="145" w:beforeLines="50" w:after="145" w:afterLines="50"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煅后焦。</w:t>
      </w:r>
    </w:p>
    <w:p w14:paraId="620CDC52">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)供货前，乙方需按甲方要求提供</w:t>
      </w:r>
      <w:r>
        <w:rPr>
          <w:rFonts w:hint="eastAsia" w:ascii="宋体" w:hAnsi="宋体" w:eastAsia="宋体" w:cs="宋体"/>
          <w:sz w:val="24"/>
          <w:lang w:val="en-US" w:eastAsia="zh-CN"/>
        </w:rPr>
        <w:t>煅后</w:t>
      </w:r>
      <w:r>
        <w:rPr>
          <w:rFonts w:hint="eastAsia" w:ascii="宋体" w:hAnsi="宋体" w:eastAsia="宋体" w:cs="宋体"/>
          <w:sz w:val="24"/>
        </w:rPr>
        <w:t>焦</w:t>
      </w:r>
      <w:r>
        <w:rPr>
          <w:rFonts w:hint="eastAsia" w:ascii="宋体" w:hAnsi="宋体" w:eastAsia="宋体" w:cs="宋体"/>
          <w:sz w:val="24"/>
          <w:lang w:eastAsia="zh-CN"/>
        </w:rPr>
        <w:t>的</w:t>
      </w:r>
      <w:r>
        <w:rPr>
          <w:rFonts w:hint="eastAsia" w:ascii="宋体" w:hAnsi="宋体" w:eastAsia="宋体" w:cs="宋体"/>
          <w:sz w:val="24"/>
        </w:rPr>
        <w:t>硫分、</w:t>
      </w:r>
      <w:r>
        <w:rPr>
          <w:rFonts w:hint="eastAsia" w:ascii="宋体" w:hAnsi="宋体" w:eastAsia="宋体" w:cs="宋体"/>
          <w:sz w:val="24"/>
          <w:lang w:val="en-US" w:eastAsia="zh-CN"/>
        </w:rPr>
        <w:t>灰分、水分</w:t>
      </w:r>
      <w:r>
        <w:rPr>
          <w:rFonts w:hint="eastAsia" w:ascii="宋体" w:hAnsi="宋体" w:eastAsia="宋体" w:cs="宋体"/>
          <w:sz w:val="24"/>
        </w:rPr>
        <w:t>、</w:t>
      </w:r>
      <w:r>
        <w:rPr>
          <w:rFonts w:hint="eastAsia" w:ascii="宋体" w:hAnsi="宋体" w:eastAsia="宋体" w:cs="宋体"/>
          <w:sz w:val="24"/>
          <w:lang w:val="en-US" w:eastAsia="zh-CN"/>
        </w:rPr>
        <w:t>振实密度</w:t>
      </w:r>
      <w:r>
        <w:rPr>
          <w:rFonts w:hint="eastAsia" w:ascii="宋体" w:hAnsi="宋体" w:eastAsia="宋体" w:cs="宋体"/>
          <w:sz w:val="24"/>
        </w:rPr>
        <w:t>、</w:t>
      </w:r>
      <w:r>
        <w:rPr>
          <w:rFonts w:hint="eastAsia" w:ascii="宋体" w:hAnsi="宋体" w:eastAsia="宋体" w:cs="宋体"/>
          <w:sz w:val="24"/>
          <w:lang w:val="en-US" w:eastAsia="zh-CN"/>
        </w:rPr>
        <w:t>真密度</w:t>
      </w:r>
      <w:r>
        <w:rPr>
          <w:rFonts w:hint="eastAsia" w:ascii="宋体" w:hAnsi="宋体" w:eastAsia="宋体" w:cs="宋体"/>
          <w:sz w:val="24"/>
        </w:rPr>
        <w:t>、</w:t>
      </w:r>
      <w:r>
        <w:rPr>
          <w:rFonts w:hint="eastAsia" w:ascii="宋体" w:hAnsi="宋体" w:eastAsia="宋体" w:cs="宋体"/>
          <w:sz w:val="24"/>
          <w:lang w:val="en-US" w:eastAsia="zh-CN"/>
        </w:rPr>
        <w:t>粉末比电阻、固定碳、矾、粒度</w:t>
      </w:r>
      <w:r>
        <w:rPr>
          <w:rFonts w:hint="eastAsia" w:ascii="宋体" w:hAnsi="宋体" w:eastAsia="宋体" w:cs="宋体"/>
          <w:sz w:val="24"/>
        </w:rPr>
        <w:t>报告及相应产品资料，甲方根据乙方提供的</w:t>
      </w:r>
      <w:r>
        <w:rPr>
          <w:rFonts w:hint="eastAsia" w:ascii="宋体" w:hAnsi="宋体" w:eastAsia="宋体" w:cs="宋体"/>
          <w:sz w:val="24"/>
          <w:lang w:val="en-US" w:eastAsia="zh-CN"/>
        </w:rPr>
        <w:t>煅后</w:t>
      </w:r>
      <w:r>
        <w:rPr>
          <w:rFonts w:hint="eastAsia" w:ascii="宋体" w:hAnsi="宋体" w:eastAsia="宋体" w:cs="宋体"/>
          <w:sz w:val="24"/>
        </w:rPr>
        <w:t>焦按合同附件2</w:t>
      </w:r>
      <w:r>
        <w:rPr>
          <w:rFonts w:hint="eastAsia" w:ascii="宋体" w:hAnsi="宋体" w:eastAsia="宋体" w:cs="宋体"/>
          <w:sz w:val="24"/>
          <w:lang w:val="en-US" w:eastAsia="zh-CN"/>
        </w:rPr>
        <w:t>《煅后焦质量协议》</w:t>
      </w:r>
      <w:r>
        <w:rPr>
          <w:rFonts w:hint="eastAsia" w:ascii="宋体" w:hAnsi="宋体" w:eastAsia="宋体" w:cs="宋体"/>
          <w:sz w:val="24"/>
        </w:rPr>
        <w:t>进行验收并作相应处理措施及扣款。</w:t>
      </w:r>
    </w:p>
    <w:p w14:paraId="22B78895">
      <w:pPr>
        <w:spacing w:before="145" w:beforeLines="50" w:after="145" w:afterLines="50" w:line="440" w:lineRule="exact"/>
        <w:rPr>
          <w:rFonts w:ascii="宋体" w:hAnsi="宋体" w:eastAsia="宋体" w:cs="宋体"/>
          <w:b/>
          <w:bCs/>
          <w:sz w:val="24"/>
        </w:rPr>
      </w:pPr>
      <w:r>
        <w:rPr>
          <w:rFonts w:hint="eastAsia" w:ascii="宋体" w:hAnsi="宋体" w:eastAsia="宋体" w:cs="宋体"/>
          <w:b/>
          <w:bCs/>
          <w:sz w:val="24"/>
        </w:rPr>
        <w:t>第二条 数量、重量及交货期限</w:t>
      </w:r>
    </w:p>
    <w:p w14:paraId="1452A7DD">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2.1 </w:t>
      </w:r>
      <w:r>
        <w:rPr>
          <w:rFonts w:hint="eastAsia" w:ascii="宋体" w:hAnsi="宋体" w:eastAsia="宋体" w:cs="宋体"/>
          <w:sz w:val="24"/>
          <w:lang w:val="en-US" w:eastAsia="zh-CN"/>
        </w:rPr>
        <w:t>供货</w:t>
      </w:r>
      <w:r>
        <w:rPr>
          <w:rFonts w:hint="eastAsia" w:ascii="宋体" w:hAnsi="宋体" w:eastAsia="宋体" w:cs="宋体"/>
          <w:sz w:val="24"/>
        </w:rPr>
        <w:t>数量：</w:t>
      </w:r>
      <w:r>
        <w:rPr>
          <w:rFonts w:hint="eastAsia" w:ascii="宋体" w:hAnsi="宋体" w:eastAsia="宋体" w:cs="宋体"/>
          <w:sz w:val="24"/>
          <w:u w:val="single"/>
          <w:lang w:val="en-US" w:eastAsia="zh-CN"/>
        </w:rPr>
        <w:t>xxxx</w:t>
      </w:r>
      <w:r>
        <w:rPr>
          <w:rFonts w:hint="eastAsia" w:ascii="宋体" w:hAnsi="宋体" w:eastAsia="宋体" w:cs="宋体"/>
          <w:sz w:val="24"/>
        </w:rPr>
        <w:t>吨（上下浮动</w:t>
      </w:r>
      <w:r>
        <w:rPr>
          <w:rFonts w:hint="eastAsia" w:ascii="宋体" w:hAnsi="宋体" w:eastAsia="宋体" w:cs="宋体"/>
          <w:sz w:val="24"/>
          <w:lang w:val="en-US" w:eastAsia="zh-CN"/>
        </w:rPr>
        <w:t>5%</w:t>
      </w:r>
      <w:r>
        <w:rPr>
          <w:rFonts w:hint="eastAsia" w:ascii="宋体" w:hAnsi="宋体" w:eastAsia="宋体" w:cs="宋体"/>
          <w:sz w:val="24"/>
        </w:rPr>
        <w:t>）。甲方实际采购量以甲方汽车衡计量数据为准。</w:t>
      </w:r>
    </w:p>
    <w:p w14:paraId="63E516D0">
      <w:pPr>
        <w:spacing w:before="145" w:beforeLines="50" w:after="145" w:afterLines="5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rPr>
        <w:t>2.2 交货期限</w:t>
      </w:r>
      <w:r>
        <w:rPr>
          <w:rFonts w:hint="eastAsia" w:ascii="宋体" w:hAnsi="宋体" w:eastAsia="宋体" w:cs="宋体"/>
          <w:sz w:val="24"/>
          <w:highlight w:val="none"/>
          <w:lang w:eastAsia="zh-CN"/>
        </w:rPr>
        <w:t>：</w:t>
      </w:r>
      <w:r>
        <w:rPr>
          <w:rFonts w:hint="eastAsia" w:ascii="宋体" w:hAnsi="宋体" w:eastAsia="宋体" w:cs="宋体"/>
          <w:color w:val="auto"/>
          <w:sz w:val="24"/>
          <w:highlight w:val="none"/>
          <w:lang w:val="en-US" w:eastAsia="zh-CN"/>
        </w:rPr>
        <w:t>2025年 xx月xx日至2025年xx月xx日</w:t>
      </w:r>
      <w:r>
        <w:rPr>
          <w:rFonts w:hint="eastAsia" w:ascii="宋体" w:hAnsi="宋体" w:eastAsia="宋体" w:cs="宋体"/>
          <w:color w:val="auto"/>
          <w:sz w:val="24"/>
          <w:highlight w:val="none"/>
        </w:rPr>
        <w:t>止。</w:t>
      </w:r>
    </w:p>
    <w:p w14:paraId="4AAB8073">
      <w:pPr>
        <w:pStyle w:val="2"/>
        <w:ind w:firstLine="480" w:firstLineChars="200"/>
        <w:rPr>
          <w:rFonts w:hint="default"/>
          <w:highlight w:val="none"/>
          <w:lang w:val="en-US" w:eastAsia="zh-CN"/>
        </w:rPr>
      </w:pPr>
      <w:r>
        <w:rPr>
          <w:rFonts w:hint="eastAsia" w:ascii="宋体" w:hAnsi="宋体" w:cs="宋体"/>
          <w:color w:val="auto"/>
          <w:sz w:val="24"/>
          <w:highlight w:val="none"/>
          <w:lang w:val="en-US" w:eastAsia="zh-CN"/>
        </w:rPr>
        <w:t xml:space="preserve">2.3 </w:t>
      </w:r>
      <w:bookmarkStart w:id="0" w:name="OLE_LINK1"/>
      <w:r>
        <w:rPr>
          <w:rFonts w:hint="eastAsia" w:ascii="宋体" w:hAnsi="宋体" w:cs="宋体"/>
          <w:color w:val="auto"/>
          <w:sz w:val="24"/>
          <w:highlight w:val="none"/>
          <w:lang w:val="en-US" w:eastAsia="zh-CN"/>
        </w:rPr>
        <w:t>交货期限内供货计划如下</w:t>
      </w:r>
      <w:bookmarkEnd w:id="0"/>
      <w:r>
        <w:rPr>
          <w:rFonts w:hint="eastAsia" w:ascii="宋体" w:hAnsi="宋体" w:cs="宋体"/>
          <w:color w:val="auto"/>
          <w:sz w:val="24"/>
          <w:highlight w:val="none"/>
          <w:lang w:val="en-US" w:eastAsia="zh-CN"/>
        </w:rPr>
        <w:t>：</w:t>
      </w:r>
    </w:p>
    <w:tbl>
      <w:tblPr>
        <w:tblStyle w:val="14"/>
        <w:tblpPr w:leftFromText="180" w:rightFromText="180" w:vertAnchor="text" w:horzAnchor="page" w:tblpXSpec="center" w:tblpY="342"/>
        <w:tblOverlap w:val="never"/>
        <w:tblW w:w="8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316"/>
        <w:gridCol w:w="1465"/>
        <w:gridCol w:w="1588"/>
      </w:tblGrid>
      <w:tr w14:paraId="431E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8" w:type="dxa"/>
            <w:vAlign w:val="center"/>
          </w:tcPr>
          <w:p w14:paraId="6D6B3089">
            <w:pPr>
              <w:pStyle w:val="4"/>
              <w:jc w:val="both"/>
              <w:rPr>
                <w:rFonts w:hint="default" w:hAnsi="宋体" w:eastAsia="宋体" w:cs="宋体"/>
                <w:highlight w:val="none"/>
                <w:lang w:val="en-US" w:eastAsia="zh-CN"/>
              </w:rPr>
            </w:pPr>
            <w:r>
              <w:rPr>
                <w:rFonts w:hint="eastAsia" w:hAnsi="宋体" w:eastAsia="宋体" w:cs="宋体"/>
                <w:highlight w:val="none"/>
                <w:lang w:val="en-US" w:eastAsia="zh-CN"/>
              </w:rPr>
              <w:t>序号</w:t>
            </w:r>
          </w:p>
        </w:tc>
        <w:tc>
          <w:tcPr>
            <w:tcW w:w="4316" w:type="dxa"/>
            <w:vAlign w:val="center"/>
          </w:tcPr>
          <w:p w14:paraId="468B0AC5">
            <w:pPr>
              <w:pStyle w:val="4"/>
              <w:jc w:val="center"/>
              <w:rPr>
                <w:rFonts w:hAnsi="宋体" w:eastAsia="宋体" w:cs="宋体"/>
                <w:highlight w:val="none"/>
              </w:rPr>
            </w:pPr>
            <w:r>
              <w:rPr>
                <w:rFonts w:hint="eastAsia" w:hAnsi="宋体" w:eastAsia="宋体" w:cs="宋体"/>
                <w:highlight w:val="none"/>
              </w:rPr>
              <w:t>供货时间</w:t>
            </w:r>
          </w:p>
        </w:tc>
        <w:tc>
          <w:tcPr>
            <w:tcW w:w="1465" w:type="dxa"/>
            <w:vAlign w:val="center"/>
          </w:tcPr>
          <w:p w14:paraId="2E01BAF3">
            <w:pPr>
              <w:pStyle w:val="4"/>
              <w:jc w:val="center"/>
              <w:rPr>
                <w:rFonts w:hint="eastAsia" w:hAnsi="宋体" w:eastAsia="宋体" w:cs="宋体"/>
                <w:highlight w:val="none"/>
              </w:rPr>
            </w:pPr>
            <w:r>
              <w:rPr>
                <w:rFonts w:hint="eastAsia" w:hAnsi="宋体" w:eastAsia="宋体" w:cs="宋体"/>
                <w:highlight w:val="none"/>
                <w:lang w:val="en-US" w:eastAsia="zh-CN"/>
              </w:rPr>
              <w:t>数</w:t>
            </w:r>
            <w:r>
              <w:rPr>
                <w:rFonts w:hint="eastAsia" w:hAnsi="宋体" w:eastAsia="宋体" w:cs="宋体"/>
                <w:highlight w:val="none"/>
              </w:rPr>
              <w:t>量（吨）</w:t>
            </w:r>
          </w:p>
          <w:p w14:paraId="373100FA">
            <w:pPr>
              <w:pStyle w:val="4"/>
              <w:jc w:val="center"/>
              <w:rPr>
                <w:rFonts w:hAnsi="宋体" w:eastAsia="宋体" w:cs="宋体"/>
                <w:highlight w:val="none"/>
              </w:rPr>
            </w:pPr>
            <w:r>
              <w:rPr>
                <w:rFonts w:hint="eastAsia" w:hAnsi="宋体" w:eastAsia="宋体" w:cs="宋体"/>
                <w:highlight w:val="none"/>
              </w:rPr>
              <w:t>（±</w:t>
            </w:r>
            <w:r>
              <w:rPr>
                <w:rFonts w:hint="eastAsia" w:ascii="Times New Roman" w:hAnsi="Times New Roman" w:eastAsia="宋体" w:cs="Times New Roman"/>
                <w:highlight w:val="none"/>
                <w:lang w:val="en-US" w:eastAsia="zh-CN"/>
              </w:rPr>
              <w:t>5%</w:t>
            </w:r>
            <w:r>
              <w:rPr>
                <w:rFonts w:hint="eastAsia" w:hAnsi="宋体" w:eastAsia="宋体" w:cs="宋体"/>
                <w:highlight w:val="none"/>
              </w:rPr>
              <w:t>）</w:t>
            </w:r>
          </w:p>
        </w:tc>
        <w:tc>
          <w:tcPr>
            <w:tcW w:w="1588" w:type="dxa"/>
            <w:vAlign w:val="center"/>
          </w:tcPr>
          <w:p w14:paraId="24F5FBB0">
            <w:pPr>
              <w:pStyle w:val="4"/>
              <w:jc w:val="center"/>
              <w:rPr>
                <w:rFonts w:hAnsi="宋体" w:eastAsia="宋体" w:cs="宋体"/>
                <w:highlight w:val="none"/>
              </w:rPr>
            </w:pPr>
            <w:r>
              <w:rPr>
                <w:rFonts w:hint="eastAsia" w:hAnsi="宋体" w:eastAsia="宋体" w:cs="宋体"/>
                <w:highlight w:val="none"/>
              </w:rPr>
              <w:t>备注</w:t>
            </w:r>
          </w:p>
        </w:tc>
      </w:tr>
      <w:tr w14:paraId="542E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8" w:type="dxa"/>
            <w:vAlign w:val="center"/>
          </w:tcPr>
          <w:p w14:paraId="07488247">
            <w:pPr>
              <w:pStyle w:val="4"/>
              <w:jc w:val="center"/>
              <w:rPr>
                <w:rFonts w:hint="default" w:ascii="宋体" w:hAnsi="宋体" w:eastAsia="宋体" w:cs="宋体"/>
                <w:color w:val="auto"/>
                <w:sz w:val="24"/>
                <w:highlight w:val="none"/>
                <w:lang w:val="en-US" w:eastAsia="zh-CN"/>
              </w:rPr>
            </w:pPr>
            <w:r>
              <w:rPr>
                <w:rFonts w:hint="eastAsia" w:hAnsi="宋体" w:eastAsia="宋体" w:cs="宋体"/>
                <w:color w:val="auto"/>
                <w:sz w:val="24"/>
                <w:highlight w:val="none"/>
                <w:lang w:val="en-US" w:eastAsia="zh-CN"/>
              </w:rPr>
              <w:t>1</w:t>
            </w:r>
          </w:p>
        </w:tc>
        <w:tc>
          <w:tcPr>
            <w:tcW w:w="4316" w:type="dxa"/>
            <w:vAlign w:val="center"/>
          </w:tcPr>
          <w:p w14:paraId="41C1177F">
            <w:pPr>
              <w:pStyle w:val="2"/>
              <w:spacing w:line="480" w:lineRule="exact"/>
              <w:ind w:firstLine="480"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日至202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日</w:t>
            </w:r>
          </w:p>
        </w:tc>
        <w:tc>
          <w:tcPr>
            <w:tcW w:w="1465" w:type="dxa"/>
            <w:vAlign w:val="center"/>
          </w:tcPr>
          <w:p w14:paraId="5B29A072">
            <w:pPr>
              <w:pStyle w:val="4"/>
              <w:jc w:val="center"/>
              <w:rPr>
                <w:rFonts w:hint="default"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xxxx</w:t>
            </w:r>
          </w:p>
        </w:tc>
        <w:tc>
          <w:tcPr>
            <w:tcW w:w="1588" w:type="dxa"/>
            <w:vAlign w:val="center"/>
          </w:tcPr>
          <w:p w14:paraId="4B6DE839">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1354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8" w:type="dxa"/>
            <w:vAlign w:val="center"/>
          </w:tcPr>
          <w:p w14:paraId="71655402">
            <w:pPr>
              <w:pStyle w:val="4"/>
              <w:jc w:val="center"/>
              <w:rPr>
                <w:rFonts w:hint="default" w:hAnsi="宋体" w:eastAsia="宋体" w:cs="宋体"/>
                <w:color w:val="auto"/>
                <w:sz w:val="24"/>
                <w:highlight w:val="none"/>
                <w:lang w:val="en-US" w:eastAsia="zh-CN"/>
              </w:rPr>
            </w:pPr>
            <w:r>
              <w:rPr>
                <w:rFonts w:hint="eastAsia" w:hAnsi="宋体" w:eastAsia="宋体" w:cs="宋体"/>
                <w:color w:val="auto"/>
                <w:sz w:val="24"/>
                <w:highlight w:val="none"/>
                <w:lang w:val="en-US" w:eastAsia="zh-CN"/>
              </w:rPr>
              <w:t>2</w:t>
            </w:r>
          </w:p>
        </w:tc>
        <w:tc>
          <w:tcPr>
            <w:tcW w:w="4316" w:type="dxa"/>
            <w:vAlign w:val="center"/>
          </w:tcPr>
          <w:p w14:paraId="5AF26DA7">
            <w:pPr>
              <w:pStyle w:val="2"/>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合计</w:t>
            </w:r>
          </w:p>
        </w:tc>
        <w:tc>
          <w:tcPr>
            <w:tcW w:w="1465" w:type="dxa"/>
            <w:vAlign w:val="center"/>
          </w:tcPr>
          <w:p w14:paraId="47F818F8">
            <w:pPr>
              <w:pStyle w:val="4"/>
              <w:jc w:val="center"/>
              <w:rPr>
                <w:rFonts w:hint="default"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xxxx</w:t>
            </w:r>
          </w:p>
        </w:tc>
        <w:tc>
          <w:tcPr>
            <w:tcW w:w="1588" w:type="dxa"/>
            <w:vAlign w:val="center"/>
          </w:tcPr>
          <w:p w14:paraId="77C19D18">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7546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77" w:type="dxa"/>
            <w:gridSpan w:val="4"/>
            <w:vAlign w:val="center"/>
          </w:tcPr>
          <w:p w14:paraId="1E09F1A6">
            <w:pPr>
              <w:jc w:val="both"/>
              <w:rPr>
                <w:rFonts w:hint="default" w:hAnsi="宋体" w:eastAsia="宋体" w:cs="宋体"/>
                <w:highlight w:val="none"/>
                <w:lang w:val="en-US" w:eastAsia="zh-CN"/>
              </w:rPr>
            </w:pPr>
            <w:r>
              <w:rPr>
                <w:rFonts w:hint="eastAsia" w:ascii="宋体" w:hAnsi="宋体" w:eastAsia="宋体" w:cs="宋体"/>
                <w:sz w:val="24"/>
                <w:highlight w:val="none"/>
                <w:lang w:val="en-US" w:eastAsia="zh-CN"/>
              </w:rPr>
              <w:t>备注：根据买方生产需要，买方有权调整发货计划，经买方同意，卖方为保供可提前发货，提前发货的数量经双方确认后办理结算。</w:t>
            </w:r>
          </w:p>
        </w:tc>
      </w:tr>
    </w:tbl>
    <w:p w14:paraId="357A26F7">
      <w:pPr>
        <w:pStyle w:val="2"/>
        <w:jc w:val="left"/>
        <w:rPr>
          <w:rFonts w:hint="default"/>
          <w:highlight w:val="none"/>
          <w:lang w:val="en-US" w:eastAsia="zh-CN"/>
        </w:rPr>
      </w:pPr>
    </w:p>
    <w:p w14:paraId="59993DD2">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 xml:space="preserve"> 本合同是甲乙双方承担</w:t>
      </w:r>
      <w:r>
        <w:rPr>
          <w:rFonts w:hint="eastAsia" w:ascii="宋体" w:hAnsi="宋体" w:eastAsia="宋体" w:cs="宋体"/>
          <w:sz w:val="24"/>
          <w:highlight w:val="none"/>
          <w:lang w:val="en-US" w:eastAsia="zh-CN"/>
        </w:rPr>
        <w:t>买卖</w:t>
      </w:r>
      <w:r>
        <w:rPr>
          <w:rFonts w:hint="eastAsia" w:ascii="宋体" w:hAnsi="宋体" w:eastAsia="宋体" w:cs="宋体"/>
          <w:sz w:val="24"/>
          <w:highlight w:val="none"/>
        </w:rPr>
        <w:t>双方权利义务的基本依据，重量为预估重量。</w:t>
      </w:r>
      <w:r>
        <w:rPr>
          <w:rFonts w:hint="eastAsia" w:ascii="宋体" w:hAnsi="宋体" w:eastAsia="宋体" w:cs="宋体"/>
          <w:sz w:val="24"/>
        </w:rPr>
        <w:t>实际交货量以甲方称重实际到货量为准。乙方按甲方要求数量交货，如乙方需改变交货差额，乙方应提前15天通过书面形式向甲方告知，正负差额由甲方书面同意。</w:t>
      </w:r>
    </w:p>
    <w:p w14:paraId="132C2496">
      <w:pPr>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bCs/>
          <w:color w:val="auto"/>
          <w:sz w:val="24"/>
        </w:rPr>
        <w:t>2.</w:t>
      </w:r>
      <w:r>
        <w:rPr>
          <w:rFonts w:hint="eastAsia" w:ascii="宋体" w:hAnsi="宋体" w:eastAsia="宋体" w:cs="宋体"/>
          <w:bCs/>
          <w:color w:val="auto"/>
          <w:sz w:val="24"/>
          <w:lang w:val="en-US" w:eastAsia="zh-CN"/>
        </w:rPr>
        <w:t xml:space="preserve">5 </w:t>
      </w:r>
      <w:r>
        <w:rPr>
          <w:rFonts w:hint="eastAsia" w:ascii="宋体" w:hAnsi="宋体" w:eastAsia="宋体" w:cs="宋体"/>
          <w:bCs/>
          <w:color w:val="auto"/>
          <w:sz w:val="24"/>
        </w:rPr>
        <w:t>乙方可以于发货前过磅确认交货量，双方同意以甲方指定收货地磅单的实际重量为结算依据。</w:t>
      </w:r>
    </w:p>
    <w:p w14:paraId="07935BA6">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 xml:space="preserve"> 乙方应满足甲方确定的需求量，每月足额交付合同项下标的物。如因自身问题不能满足需求时，乙方应提前</w:t>
      </w:r>
      <w:r>
        <w:rPr>
          <w:rFonts w:hint="eastAsia" w:ascii="Times New Roman" w:hAnsi="Times New Roman" w:eastAsia="宋体" w:cs="Times New Roman"/>
          <w:sz w:val="24"/>
          <w:lang w:val="en-US" w:eastAsia="zh-CN"/>
        </w:rPr>
        <w:t>7</w:t>
      </w:r>
      <w:r>
        <w:rPr>
          <w:rFonts w:hint="eastAsia" w:ascii="宋体" w:hAnsi="宋体" w:eastAsia="宋体" w:cs="宋体"/>
          <w:sz w:val="24"/>
        </w:rPr>
        <w:t>天以书面方式通知甲方并取得书面同意；如因甲方自身问题减少需求量时，甲方应提前</w:t>
      </w:r>
      <w:r>
        <w:rPr>
          <w:rFonts w:hint="eastAsia" w:ascii="Times New Roman" w:hAnsi="Times New Roman" w:eastAsia="宋体" w:cs="Times New Roman"/>
          <w:sz w:val="24"/>
          <w:lang w:val="en-US" w:eastAsia="zh-CN"/>
        </w:rPr>
        <w:t>3</w:t>
      </w:r>
      <w:r>
        <w:rPr>
          <w:rFonts w:hint="eastAsia" w:ascii="宋体" w:hAnsi="宋体" w:eastAsia="宋体" w:cs="宋体"/>
          <w:sz w:val="24"/>
        </w:rPr>
        <w:t>天以书面方式通知乙方。</w:t>
      </w:r>
    </w:p>
    <w:p w14:paraId="056FCCEA">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第三条 运输方式及目的地</w:t>
      </w:r>
    </w:p>
    <w:p w14:paraId="756BAF7F">
      <w:pPr>
        <w:spacing w:before="145" w:beforeLines="50" w:after="145" w:afterLines="50"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rPr>
        <w:t xml:space="preserve">3.1 </w:t>
      </w:r>
      <w:r>
        <w:rPr>
          <w:rFonts w:hint="eastAsia" w:ascii="宋体" w:hAnsi="宋体" w:eastAsia="宋体" w:cs="宋体"/>
          <w:sz w:val="24"/>
          <w:lang w:val="en-US" w:eastAsia="zh-CN"/>
        </w:rPr>
        <w:t>包装</w:t>
      </w:r>
      <w:r>
        <w:rPr>
          <w:rFonts w:hint="eastAsia" w:ascii="宋体" w:hAnsi="宋体" w:eastAsia="宋体" w:cs="宋体"/>
          <w:bCs/>
          <w:sz w:val="24"/>
        </w:rPr>
        <w:t>方式：</w:t>
      </w:r>
      <w:r>
        <w:rPr>
          <w:rFonts w:hint="eastAsia" w:ascii="宋体" w:hAnsi="宋体" w:eastAsia="宋体" w:cs="宋体"/>
          <w:bCs/>
          <w:sz w:val="24"/>
          <w:lang w:val="en-US" w:eastAsia="zh-CN"/>
        </w:rPr>
        <w:t>吨袋包装（上下开口）</w:t>
      </w:r>
      <w:r>
        <w:rPr>
          <w:rFonts w:hint="eastAsia" w:ascii="宋体" w:hAnsi="宋体" w:eastAsia="宋体" w:cs="宋体"/>
          <w:sz w:val="24"/>
          <w:szCs w:val="24"/>
          <w:lang w:eastAsia="zh-CN"/>
        </w:rPr>
        <w:t>，</w:t>
      </w:r>
      <w:r>
        <w:rPr>
          <w:rFonts w:ascii="宋体" w:hAnsi="宋体" w:eastAsia="宋体" w:cs="宋体"/>
          <w:sz w:val="24"/>
          <w:szCs w:val="24"/>
        </w:rPr>
        <w:t>包装物不回收</w:t>
      </w:r>
      <w:r>
        <w:rPr>
          <w:rFonts w:hint="eastAsia" w:ascii="宋体" w:hAnsi="宋体" w:eastAsia="宋体" w:cs="宋体"/>
          <w:sz w:val="24"/>
          <w:szCs w:val="24"/>
          <w:lang w:eastAsia="zh-CN"/>
        </w:rPr>
        <w:t>。</w:t>
      </w:r>
    </w:p>
    <w:p w14:paraId="045E84C7">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bCs/>
          <w:sz w:val="24"/>
          <w:lang w:val="en-US" w:eastAsia="zh-CN"/>
        </w:rPr>
        <w:t>3.2运输方式</w:t>
      </w:r>
      <w:r>
        <w:rPr>
          <w:rFonts w:hint="eastAsia" w:ascii="宋体" w:hAnsi="宋体" w:eastAsia="宋体" w:cs="宋体"/>
          <w:bCs/>
          <w:sz w:val="24"/>
        </w:rPr>
        <w:t>产品运输由乙方负责，费用由乙方承担。</w:t>
      </w:r>
      <w:r>
        <w:rPr>
          <w:rFonts w:hint="eastAsia" w:ascii="宋体" w:hAnsi="宋体" w:eastAsia="宋体" w:cs="宋体"/>
          <w:sz w:val="24"/>
        </w:rPr>
        <w:t>但运输工具必须符合国家法定要求。</w:t>
      </w:r>
    </w:p>
    <w:p w14:paraId="739BE13A">
      <w:pPr>
        <w:pStyle w:val="2"/>
        <w:spacing w:before="145" w:beforeLines="50" w:after="145" w:afterLines="50" w:line="440" w:lineRule="exact"/>
        <w:ind w:firstLine="480" w:firstLineChars="200"/>
        <w:jc w:val="both"/>
        <w:rPr>
          <w:rFonts w:ascii="宋体" w:hAnsi="宋体" w:cs="宋体"/>
          <w:color w:val="auto"/>
          <w:kern w:val="2"/>
        </w:rPr>
      </w:pPr>
      <w:r>
        <w:rPr>
          <w:rFonts w:hint="eastAsia" w:ascii="宋体" w:hAnsi="宋体" w:cs="宋体"/>
          <w:color w:val="auto"/>
          <w:kern w:val="2"/>
        </w:rPr>
        <w:t>3.</w:t>
      </w:r>
      <w:r>
        <w:rPr>
          <w:rFonts w:hint="eastAsia" w:ascii="宋体" w:hAnsi="宋体" w:cs="宋体"/>
          <w:color w:val="auto"/>
          <w:kern w:val="2"/>
          <w:lang w:val="en-US" w:eastAsia="zh-CN"/>
        </w:rPr>
        <w:t>3</w:t>
      </w:r>
      <w:r>
        <w:rPr>
          <w:rFonts w:hint="eastAsia" w:ascii="宋体" w:hAnsi="宋体" w:cs="宋体"/>
          <w:color w:val="auto"/>
          <w:kern w:val="2"/>
        </w:rPr>
        <w:t xml:space="preserve"> 乙方应当遵守国家有关规定运输货物，采取必要且良好的防潮、防散落、防污染、防冻等安全保护措施确保运输过程安全。危险物品应当依据《道路危险货物运输管理规定》以及国家有关规定运输，采取必要的安全措施确保运输过程中的安全，乙方对运输过程中发生的一切财产损失、人身损害、安全事故等承担责任。</w:t>
      </w:r>
    </w:p>
    <w:p w14:paraId="24DFC257">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szCs w:val="24"/>
        </w:rPr>
        <w:t>货物的装运工具(火车、汽车、轮船等)，必须在装运前清扫干净，不得使油类或其它杂质等污染</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。运输过程中必须有防雨措施，务使货物在运输途中不受雨淋水浸。</w:t>
      </w:r>
    </w:p>
    <w:p w14:paraId="0204BCDB">
      <w:pPr>
        <w:keepNext w:val="0"/>
        <w:keepLines w:val="0"/>
        <w:pageBreakBefore w:val="0"/>
        <w:tabs>
          <w:tab w:val="left" w:pos="567"/>
        </w:tabs>
        <w:kinsoku/>
        <w:wordWrap/>
        <w:overflowPunct/>
        <w:topLinePunct w:val="0"/>
        <w:bidi w:val="0"/>
        <w:snapToGrid w:val="0"/>
        <w:spacing w:line="49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5</w:t>
      </w:r>
      <w:r>
        <w:rPr>
          <w:rFonts w:hint="eastAsia" w:ascii="宋体" w:hAnsi="宋体" w:eastAsia="宋体" w:cs="宋体"/>
          <w:sz w:val="24"/>
        </w:rPr>
        <w:t>交付地点：乙方将货物运至甲方指定地点：广西田林县旧州镇板坚村桂黔（田林）经济合作产业园区田林百矿田田碳素有限公司煅烧车间生产现场。</w:t>
      </w:r>
    </w:p>
    <w:p w14:paraId="2D1DEB1D">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6</w:t>
      </w:r>
      <w:r>
        <w:rPr>
          <w:rFonts w:hint="eastAsia" w:ascii="宋体" w:hAnsi="宋体" w:eastAsia="宋体" w:cs="宋体"/>
          <w:sz w:val="24"/>
        </w:rPr>
        <w:t xml:space="preserve"> 交货方式：由乙方配送到甲方生产现场，并根据本技术任务书规定的标准、规程、规范进行验收，验收合格后货物的所有权及货物损毁灭失风险才转移给甲方，在货物交付完成前，货物的损毁灭失风险由乙方自行承担。</w:t>
      </w:r>
    </w:p>
    <w:p w14:paraId="42B9B245">
      <w:pPr>
        <w:spacing w:before="145" w:beforeLines="50" w:after="145" w:afterLines="50" w:line="440" w:lineRule="exact"/>
        <w:ind w:firstLine="200"/>
        <w:rPr>
          <w:rFonts w:ascii="宋体" w:hAnsi="宋体" w:eastAsia="宋体" w:cs="宋体"/>
          <w:sz w:val="24"/>
        </w:rPr>
      </w:pPr>
      <w:r>
        <w:rPr>
          <w:rFonts w:hint="eastAsia" w:ascii="宋体" w:hAnsi="宋体" w:eastAsia="宋体" w:cs="宋体"/>
          <w:b/>
          <w:bCs/>
          <w:sz w:val="24"/>
        </w:rPr>
        <w:t>第四条 价格</w:t>
      </w:r>
    </w:p>
    <w:p w14:paraId="16E001CA">
      <w:pPr>
        <w:numPr>
          <w:ilvl w:val="12"/>
          <w:numId w:val="0"/>
        </w:numPr>
        <w:adjustRightInd w:val="0"/>
        <w:snapToGrid w:val="0"/>
        <w:spacing w:before="145" w:beforeLines="50" w:after="145" w:afterLines="50" w:line="440" w:lineRule="exact"/>
        <w:ind w:firstLine="480" w:firstLineChars="200"/>
        <w:rPr>
          <w:rFonts w:hint="default" w:ascii="宋体" w:hAnsi="宋体" w:eastAsia="宋体" w:cs="宋体"/>
          <w:sz w:val="24"/>
          <w:lang w:val="en-US" w:eastAsia="zh-CN"/>
        </w:rPr>
      </w:pPr>
      <w:r>
        <w:rPr>
          <w:rFonts w:hint="eastAsia" w:ascii="宋体" w:hAnsi="宋体" w:eastAsia="宋体" w:cs="宋体"/>
          <w:bCs/>
          <w:color w:val="auto"/>
          <w:sz w:val="24"/>
        </w:rPr>
        <w:t>4.1</w:t>
      </w:r>
      <w:r>
        <w:rPr>
          <w:rFonts w:hint="eastAsia" w:ascii="宋体" w:hAnsi="宋体" w:eastAsia="宋体" w:cs="宋体"/>
          <w:bCs/>
          <w:color w:val="auto"/>
          <w:sz w:val="24"/>
          <w:lang w:val="en-US" w:eastAsia="zh-CN"/>
        </w:rPr>
        <w:t>到厂含税价格为</w:t>
      </w:r>
      <w:r>
        <w:rPr>
          <w:rFonts w:hint="eastAsia" w:ascii="宋体" w:hAnsi="宋体" w:eastAsia="宋体" w:cs="宋体"/>
          <w:bCs/>
          <w:color w:val="auto"/>
          <w:sz w:val="24"/>
          <w:u w:val="single"/>
          <w:lang w:val="en-US" w:eastAsia="zh-CN"/>
        </w:rPr>
        <w:t>xxxx</w:t>
      </w:r>
      <w:r>
        <w:rPr>
          <w:rFonts w:hint="eastAsia" w:ascii="宋体" w:hAnsi="宋体" w:eastAsia="宋体" w:cs="宋体"/>
          <w:bCs/>
          <w:color w:val="auto"/>
          <w:sz w:val="24"/>
          <w:lang w:val="en-US" w:eastAsia="zh-CN"/>
        </w:rPr>
        <w:t>元/吨，其中不含税价格</w:t>
      </w:r>
      <w:r>
        <w:rPr>
          <w:rFonts w:hint="eastAsia" w:ascii="宋体" w:hAnsi="宋体" w:eastAsia="宋体" w:cs="宋体"/>
          <w:bCs/>
          <w:color w:val="auto"/>
          <w:sz w:val="24"/>
          <w:u w:val="single"/>
          <w:lang w:val="en-US" w:eastAsia="zh-CN"/>
        </w:rPr>
        <w:t>xxxx</w:t>
      </w:r>
      <w:r>
        <w:rPr>
          <w:rFonts w:hint="eastAsia" w:ascii="宋体" w:hAnsi="宋体" w:eastAsia="宋体" w:cs="宋体"/>
          <w:bCs/>
          <w:color w:val="auto"/>
          <w:sz w:val="24"/>
          <w:lang w:val="en-US" w:eastAsia="zh-CN"/>
        </w:rPr>
        <w:t>元/吨，增值税价格</w:t>
      </w:r>
      <w:r>
        <w:rPr>
          <w:rFonts w:hint="eastAsia" w:ascii="宋体" w:hAnsi="宋体" w:eastAsia="宋体" w:cs="宋体"/>
          <w:bCs/>
          <w:color w:val="auto"/>
          <w:sz w:val="24"/>
          <w:u w:val="single"/>
          <w:lang w:val="en-US" w:eastAsia="zh-CN"/>
        </w:rPr>
        <w:t>xxxx</w:t>
      </w:r>
      <w:r>
        <w:rPr>
          <w:rFonts w:hint="eastAsia" w:ascii="宋体" w:hAnsi="宋体" w:eastAsia="宋体" w:cs="宋体"/>
          <w:bCs/>
          <w:color w:val="auto"/>
          <w:sz w:val="24"/>
          <w:lang w:val="en-US" w:eastAsia="zh-CN"/>
        </w:rPr>
        <w:t>元/吨。</w:t>
      </w:r>
    </w:p>
    <w:p w14:paraId="24835EDF">
      <w:pPr>
        <w:tabs>
          <w:tab w:val="left" w:pos="567"/>
        </w:tabs>
        <w:snapToGrid w:val="0"/>
        <w:spacing w:before="145" w:beforeLines="50" w:after="145" w:afterLines="50" w:line="440" w:lineRule="exact"/>
        <w:ind w:firstLine="480" w:firstLineChars="200"/>
        <w:rPr>
          <w:rFonts w:ascii="宋体" w:hAnsi="宋体" w:eastAsia="宋体" w:cs="宋体"/>
          <w:bCs/>
          <w:sz w:val="24"/>
        </w:rPr>
      </w:pPr>
      <w:r>
        <w:rPr>
          <w:rFonts w:hint="eastAsia" w:ascii="宋体" w:hAnsi="宋体" w:eastAsia="宋体" w:cs="宋体"/>
          <w:bCs/>
          <w:color w:val="auto"/>
          <w:kern w:val="2"/>
          <w:sz w:val="24"/>
          <w:szCs w:val="24"/>
          <w:lang w:val="en-US" w:eastAsia="zh-CN" w:bidi="ar-SA"/>
        </w:rPr>
        <w:t xml:space="preserve">4.2 </w:t>
      </w:r>
      <w:r>
        <w:rPr>
          <w:rFonts w:hint="eastAsia" w:ascii="宋体" w:hAnsi="宋体" w:eastAsia="宋体" w:cs="宋体"/>
          <w:bCs/>
          <w:sz w:val="24"/>
        </w:rPr>
        <w:t>本价格包含13%的增值税，若遇国家税率调整，应按调整后的最新税率计付合同款项，即合同不含税价格不受国家税率调整的影响。</w:t>
      </w:r>
    </w:p>
    <w:p w14:paraId="6837FBBA">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第五条 结算与付款</w:t>
      </w:r>
    </w:p>
    <w:p w14:paraId="0E26165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5.1结算方式：先货后款，签订合同后按约定的月交货量开始供货，最终结算量按当月验收合格的实际交货量及考核指标化验结果进行结算。乙方按约定时间交货后，甲方应于5个工作日内核定该批数量</w:t>
      </w:r>
      <w:r>
        <w:rPr>
          <w:rFonts w:hint="eastAsia" w:ascii="宋体" w:hAnsi="宋体" w:eastAsia="宋体" w:cs="宋体"/>
          <w:sz w:val="24"/>
          <w:lang w:eastAsia="zh-CN"/>
        </w:rPr>
        <w:t>（</w:t>
      </w:r>
      <w:r>
        <w:rPr>
          <w:rFonts w:hint="eastAsia" w:ascii="宋体" w:hAnsi="宋体" w:eastAsia="宋体" w:cs="宋体"/>
          <w:b w:val="0"/>
          <w:bCs w:val="0"/>
          <w:color w:val="auto"/>
          <w:kern w:val="2"/>
          <w:sz w:val="24"/>
          <w:szCs w:val="24"/>
          <w:highlight w:val="none"/>
          <w:lang w:val="en-US" w:eastAsia="zh-CN"/>
        </w:rPr>
        <w:t>按10个称重后的平均值*吨袋数量来扣除吨袋重量</w:t>
      </w:r>
      <w:r>
        <w:rPr>
          <w:rFonts w:hint="eastAsia" w:ascii="宋体" w:hAnsi="宋体" w:eastAsia="宋体" w:cs="宋体"/>
          <w:sz w:val="24"/>
          <w:lang w:eastAsia="zh-CN"/>
        </w:rPr>
        <w:t>）</w:t>
      </w:r>
      <w:r>
        <w:rPr>
          <w:rFonts w:hint="eastAsia" w:ascii="宋体" w:hAnsi="宋体" w:eastAsia="宋体" w:cs="宋体"/>
          <w:sz w:val="24"/>
        </w:rPr>
        <w:t>、价格及质量并确认（存在质量异议除外），以甲方化验结果及甲方磅单的实际收货重量作为结算依据办理结算，实际交货量中化验结果为不合格的部分将不计入结算重量。</w:t>
      </w:r>
    </w:p>
    <w:p w14:paraId="3297547C">
      <w:pPr>
        <w:pStyle w:val="17"/>
        <w:spacing w:before="145" w:beforeLines="50" w:after="145" w:afterLines="50"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每</w:t>
      </w:r>
      <w:r>
        <w:rPr>
          <w:rFonts w:hint="eastAsia" w:ascii="宋体" w:hAnsi="宋体" w:eastAsia="宋体" w:cs="宋体"/>
          <w:color w:val="auto"/>
          <w:sz w:val="24"/>
          <w:szCs w:val="24"/>
          <w:u w:val="single"/>
          <w:lang w:val="en-US" w:eastAsia="zh-CN"/>
        </w:rPr>
        <w:t>XXXX吨</w:t>
      </w:r>
      <w:r>
        <w:rPr>
          <w:rFonts w:hint="eastAsia" w:ascii="宋体" w:hAnsi="宋体" w:eastAsia="宋体" w:cs="宋体"/>
          <w:color w:val="auto"/>
          <w:sz w:val="24"/>
          <w:szCs w:val="24"/>
          <w:lang w:val="en-US" w:eastAsia="zh-CN"/>
        </w:rPr>
        <w:t>结算一次</w:t>
      </w:r>
      <w:r>
        <w:rPr>
          <w:rFonts w:hint="eastAsia" w:ascii="宋体" w:hAnsi="宋体" w:eastAsia="宋体" w:cs="宋体"/>
          <w:color w:val="auto"/>
          <w:sz w:val="24"/>
          <w:szCs w:val="24"/>
        </w:rPr>
        <w:t>。乙方按双方确认的结算金额向甲方开具增值税专用发票，甲方在收到增值税专用发票后</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rPr>
        <w:t>天内付款，如遇节假日相应顺延。</w:t>
      </w:r>
    </w:p>
    <w:p w14:paraId="195EC512">
      <w:pPr>
        <w:pStyle w:val="17"/>
        <w:spacing w:before="145" w:beforeLines="50" w:after="145" w:afterLines="5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en-US" w:eastAsia="zh-CN"/>
        </w:rPr>
        <w:t>付款方式：银行承兑汇票支付，甲方每次付款前，乙方均应向甲方开具13%增值税专用发票，否则甲方有权拒绝付款，并不承担逾期付款的责任。若因发票不合法产生的一切税款、费用、损失由乙方全额承担。</w:t>
      </w:r>
    </w:p>
    <w:p w14:paraId="5B8FAF4C">
      <w:pPr>
        <w:pStyle w:val="17"/>
        <w:spacing w:before="145" w:beforeLines="50" w:after="145" w:afterLines="5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合同生效后三个工作</w:t>
      </w:r>
      <w:bookmarkStart w:id="7" w:name="_GoBack"/>
      <w:bookmarkEnd w:id="7"/>
      <w:r>
        <w:rPr>
          <w:rFonts w:hint="eastAsia" w:ascii="宋体" w:hAnsi="宋体" w:eastAsia="宋体" w:cs="宋体"/>
          <w:color w:val="auto"/>
          <w:sz w:val="24"/>
          <w:szCs w:val="24"/>
          <w:lang w:val="en-US" w:eastAsia="zh-CN"/>
        </w:rPr>
        <w:t>日内，乙方应以现汇形式向买方支付相当于本合同总货款5%基准货款作为履约保证金，共计人民币(大写)xxxx元整(¥xxxx)汇至此账户(单位全称:田林百矿田田碳素有限公司，账号:554010100100387693，开户行:兴业银行股份有限公司钦州支行)。</w:t>
      </w:r>
      <w:r>
        <w:rPr>
          <w:rFonts w:ascii="宋体" w:hAnsi="宋体" w:eastAsia="宋体" w:cs="宋体"/>
          <w:sz w:val="24"/>
          <w:szCs w:val="24"/>
        </w:rPr>
        <w:t>乙方逾期缴纳或补足履约保证金的，应每日按照逾期金额的万分之五向甲方支付违约金，并且甲方有权按照逾期金额从甲方及其相关公司的所有应付款项中暂扣对应金额的合同应付款项作为履约保证金。</w:t>
      </w:r>
    </w:p>
    <w:p w14:paraId="256E0B60">
      <w:pPr>
        <w:pStyle w:val="17"/>
        <w:spacing w:before="145" w:beforeLines="50" w:after="145" w:afterLines="50"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 履约保证金退还:待合同约定全部标的物供货完成后，甲乙双方均对合同执行过程及结算无异议情况下予以退还。</w:t>
      </w:r>
    </w:p>
    <w:p w14:paraId="0D9B2DF9">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第六条 质量要求</w:t>
      </w:r>
    </w:p>
    <w:p w14:paraId="67032B2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6.1</w:t>
      </w:r>
      <w:r>
        <w:rPr>
          <w:rFonts w:hint="eastAsia" w:ascii="宋体" w:hAnsi="宋体" w:eastAsia="宋体" w:cs="宋体"/>
          <w:sz w:val="24"/>
          <w:lang w:val="en-US" w:eastAsia="zh-CN"/>
        </w:rPr>
        <w:t>煅后焦</w:t>
      </w:r>
      <w:r>
        <w:rPr>
          <w:rFonts w:hint="eastAsia" w:ascii="宋体" w:hAnsi="宋体" w:eastAsia="宋体" w:cs="宋体"/>
          <w:sz w:val="24"/>
        </w:rPr>
        <w:t>的质量要求以第1.3条为准。</w:t>
      </w:r>
    </w:p>
    <w:p w14:paraId="591C26A6">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6.2乙方所供产品不符合第1.3条质量要求时甲方可选择以下任一办法执行：</w:t>
      </w:r>
    </w:p>
    <w:p w14:paraId="5FB5E09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（1）甲方同意降低标准让步接收使用，但应按照附件2</w:t>
      </w:r>
      <w:r>
        <w:rPr>
          <w:rFonts w:hint="eastAsia" w:ascii="宋体" w:hAnsi="宋体" w:eastAsia="宋体" w:cs="宋体"/>
          <w:sz w:val="24"/>
          <w:lang w:val="en-US" w:eastAsia="zh-CN"/>
        </w:rPr>
        <w:t>《煅后焦质量协议》</w:t>
      </w:r>
      <w:r>
        <w:rPr>
          <w:rFonts w:hint="eastAsia" w:ascii="宋体" w:hAnsi="宋体" w:eastAsia="宋体" w:cs="宋体"/>
          <w:sz w:val="24"/>
        </w:rPr>
        <w:t>规定进行扣款。</w:t>
      </w:r>
    </w:p>
    <w:p w14:paraId="633D2913">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（2）若某一批产品化验结果有一项指标达到退货标准的，</w:t>
      </w:r>
      <w:r>
        <w:rPr>
          <w:rFonts w:hint="eastAsia" w:ascii="宋体" w:hAnsi="宋体" w:eastAsia="宋体" w:cs="宋体"/>
          <w:sz w:val="24"/>
          <w:lang w:val="en-US" w:eastAsia="zh-CN"/>
        </w:rPr>
        <w:t>甲方同意退货的，</w:t>
      </w:r>
      <w:r>
        <w:rPr>
          <w:rFonts w:hint="eastAsia" w:ascii="宋体" w:hAnsi="宋体" w:eastAsia="宋体" w:cs="宋体"/>
          <w:sz w:val="24"/>
        </w:rPr>
        <w:t>该批产品按退货处理，由乙方承担退货费用。（详见</w:t>
      </w:r>
      <w:r>
        <w:rPr>
          <w:rFonts w:hint="eastAsia" w:ascii="宋体" w:hAnsi="宋体" w:eastAsia="宋体" w:cs="宋体"/>
          <w:sz w:val="24"/>
          <w:lang w:val="en-US" w:eastAsia="zh-CN"/>
        </w:rPr>
        <w:t>煅后焦质量协议</w:t>
      </w:r>
      <w:r>
        <w:rPr>
          <w:rFonts w:hint="eastAsia" w:ascii="宋体" w:hAnsi="宋体" w:eastAsia="宋体" w:cs="宋体"/>
          <w:sz w:val="24"/>
        </w:rPr>
        <w:t>）</w:t>
      </w:r>
    </w:p>
    <w:p w14:paraId="4CC31359">
      <w:pPr>
        <w:widowControl/>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第七条 质量验收及异议期限</w:t>
      </w:r>
    </w:p>
    <w:p w14:paraId="2074D842">
      <w:pPr>
        <w:spacing w:before="145" w:beforeLines="50" w:after="145" w:afterLines="50"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7.1</w:t>
      </w:r>
      <w:r>
        <w:rPr>
          <w:rFonts w:hint="eastAsia" w:ascii="宋体" w:hAnsi="宋体" w:eastAsia="宋体" w:cs="宋体"/>
          <w:sz w:val="24"/>
          <w:lang w:val="en-US" w:eastAsia="zh-CN"/>
        </w:rPr>
        <w:t>煅后焦</w:t>
      </w:r>
      <w:r>
        <w:rPr>
          <w:rFonts w:hint="eastAsia" w:ascii="宋体" w:hAnsi="宋体" w:eastAsia="宋体" w:cs="宋体"/>
          <w:sz w:val="24"/>
        </w:rPr>
        <w:t>由</w:t>
      </w:r>
      <w:r>
        <w:rPr>
          <w:rFonts w:hint="eastAsia" w:ascii="宋体" w:hAnsi="宋体" w:eastAsia="宋体" w:cs="宋体"/>
          <w:sz w:val="24"/>
          <w:lang w:val="en-US" w:eastAsia="zh-CN"/>
        </w:rPr>
        <w:t>甲</w:t>
      </w:r>
      <w:r>
        <w:rPr>
          <w:rFonts w:hint="eastAsia" w:ascii="宋体" w:hAnsi="宋体" w:eastAsia="宋体" w:cs="宋体"/>
          <w:sz w:val="24"/>
        </w:rPr>
        <w:t>方在</w:t>
      </w:r>
      <w:r>
        <w:rPr>
          <w:rFonts w:hint="eastAsia" w:ascii="宋体" w:hAnsi="宋体" w:eastAsia="宋体" w:cs="宋体"/>
          <w:sz w:val="24"/>
          <w:lang w:val="en-US" w:eastAsia="zh-CN"/>
        </w:rPr>
        <w:t>甲</w:t>
      </w:r>
      <w:r>
        <w:rPr>
          <w:rFonts w:hint="eastAsia" w:ascii="宋体" w:hAnsi="宋体" w:eastAsia="宋体" w:cs="宋体"/>
          <w:sz w:val="24"/>
        </w:rPr>
        <w:t>方仓库内进行抽样检验。如检验结果与本合同的规定不符时，应及时向</w:t>
      </w:r>
      <w:r>
        <w:rPr>
          <w:rFonts w:hint="eastAsia" w:ascii="宋体" w:hAnsi="宋体" w:eastAsia="宋体" w:cs="宋体"/>
          <w:sz w:val="24"/>
          <w:lang w:val="en-US" w:eastAsia="zh-CN"/>
        </w:rPr>
        <w:t>乙</w:t>
      </w:r>
      <w:r>
        <w:rPr>
          <w:rFonts w:hint="eastAsia" w:ascii="宋体" w:hAnsi="宋体" w:eastAsia="宋体" w:cs="宋体"/>
          <w:sz w:val="24"/>
        </w:rPr>
        <w:t>方提出，</w:t>
      </w:r>
      <w:r>
        <w:rPr>
          <w:rFonts w:hint="eastAsia" w:ascii="宋体" w:hAnsi="宋体" w:eastAsia="宋体" w:cs="宋体"/>
          <w:sz w:val="24"/>
          <w:lang w:val="en-US" w:eastAsia="zh-CN"/>
        </w:rPr>
        <w:t>乙</w:t>
      </w:r>
      <w:r>
        <w:rPr>
          <w:rFonts w:hint="eastAsia" w:ascii="宋体" w:hAnsi="宋体" w:eastAsia="宋体" w:cs="宋体"/>
          <w:sz w:val="24"/>
        </w:rPr>
        <w:t>方收到</w:t>
      </w:r>
      <w:r>
        <w:rPr>
          <w:rFonts w:hint="eastAsia" w:ascii="宋体" w:hAnsi="宋体" w:eastAsia="宋体" w:cs="宋体"/>
          <w:sz w:val="24"/>
          <w:lang w:val="en-US" w:eastAsia="zh-CN"/>
        </w:rPr>
        <w:t>甲</w:t>
      </w:r>
      <w:r>
        <w:rPr>
          <w:rFonts w:hint="eastAsia" w:ascii="宋体" w:hAnsi="宋体" w:eastAsia="宋体" w:cs="宋体"/>
          <w:sz w:val="24"/>
        </w:rPr>
        <w:t>方质量异常反馈后，应在3个工作日内处理，否则视为默认</w:t>
      </w:r>
      <w:r>
        <w:rPr>
          <w:rFonts w:hint="eastAsia" w:ascii="宋体" w:hAnsi="宋体" w:eastAsia="宋体" w:cs="宋体"/>
          <w:sz w:val="24"/>
          <w:lang w:val="en-US" w:eastAsia="zh-CN"/>
        </w:rPr>
        <w:t>甲</w:t>
      </w:r>
      <w:r>
        <w:rPr>
          <w:rFonts w:hint="eastAsia" w:ascii="宋体" w:hAnsi="宋体" w:eastAsia="宋体" w:cs="宋体"/>
          <w:sz w:val="24"/>
        </w:rPr>
        <w:t>方提出的异议和处理意见</w:t>
      </w:r>
      <w:r>
        <w:rPr>
          <w:rFonts w:hint="eastAsia" w:ascii="宋体" w:hAnsi="宋体" w:eastAsia="宋体" w:cs="宋体"/>
          <w:sz w:val="24"/>
          <w:lang w:eastAsia="zh-CN"/>
        </w:rPr>
        <w:t>。</w:t>
      </w:r>
    </w:p>
    <w:p w14:paraId="67781C04">
      <w:pPr>
        <w:spacing w:before="145" w:beforeLines="50" w:after="145" w:afterLines="50" w:line="440" w:lineRule="exact"/>
        <w:ind w:firstLine="480" w:firstLineChars="200"/>
        <w:rPr>
          <w:rFonts w:hint="eastAsia" w:ascii="宋体" w:hAnsi="宋体" w:eastAsia="宋体" w:cs="宋体"/>
          <w:sz w:val="24"/>
          <w:highlight w:val="none"/>
        </w:rPr>
      </w:pPr>
      <w:r>
        <w:rPr>
          <w:rFonts w:hint="eastAsia" w:ascii="宋体" w:hAnsi="宋体" w:eastAsia="宋体" w:cs="宋体"/>
          <w:sz w:val="24"/>
        </w:rPr>
        <w:t>7.2</w:t>
      </w:r>
      <w:r>
        <w:rPr>
          <w:rFonts w:hint="eastAsia" w:ascii="宋体" w:hAnsi="宋体" w:eastAsia="宋体" w:cs="宋体"/>
          <w:sz w:val="24"/>
          <w:lang w:val="en-US" w:eastAsia="zh-CN"/>
        </w:rPr>
        <w:t>复检样品：</w:t>
      </w:r>
      <w:r>
        <w:rPr>
          <w:rFonts w:hint="eastAsia" w:ascii="宋体" w:hAnsi="宋体" w:eastAsia="宋体" w:cs="宋体"/>
          <w:sz w:val="24"/>
          <w:highlight w:val="none"/>
          <w:lang w:val="en-US" w:eastAsia="zh-CN"/>
        </w:rPr>
        <w:t>采用甲方到货验收时的封存样品进行复检，</w:t>
      </w:r>
      <w:r>
        <w:rPr>
          <w:rFonts w:hint="eastAsia" w:ascii="宋体" w:hAnsi="宋体" w:eastAsia="宋体" w:cs="宋体"/>
          <w:sz w:val="24"/>
          <w:highlight w:val="none"/>
        </w:rPr>
        <w:t>以复检结果为结算依据。</w:t>
      </w:r>
    </w:p>
    <w:p w14:paraId="06DBBCD8">
      <w:pPr>
        <w:spacing w:before="145" w:beforeLines="50" w:after="145" w:afterLines="50"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7.3每批次产品出厂前乙方应取样自检，检验报告随货发出。</w:t>
      </w:r>
    </w:p>
    <w:p w14:paraId="13C3885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7.4复检费用</w:t>
      </w:r>
      <w:r>
        <w:rPr>
          <w:rFonts w:hint="eastAsia" w:ascii="宋体" w:hAnsi="宋体" w:eastAsia="宋体" w:cs="宋体"/>
          <w:sz w:val="24"/>
          <w:lang w:eastAsia="zh-CN"/>
        </w:rPr>
        <w:t>：</w:t>
      </w:r>
      <w:r>
        <w:rPr>
          <w:rFonts w:hint="eastAsia" w:ascii="宋体" w:hAnsi="宋体" w:eastAsia="宋体" w:cs="宋体"/>
          <w:sz w:val="24"/>
        </w:rPr>
        <w:t>在</w:t>
      </w:r>
      <w:r>
        <w:rPr>
          <w:rFonts w:hint="eastAsia" w:ascii="宋体" w:hAnsi="宋体" w:eastAsia="宋体" w:cs="宋体"/>
          <w:sz w:val="24"/>
          <w:lang w:val="en-US" w:eastAsia="zh-CN"/>
        </w:rPr>
        <w:t>甲</w:t>
      </w:r>
      <w:r>
        <w:rPr>
          <w:rFonts w:hint="eastAsia" w:ascii="宋体" w:hAnsi="宋体" w:eastAsia="宋体" w:cs="宋体"/>
          <w:sz w:val="24"/>
        </w:rPr>
        <w:t>方实验室进行复检的，复检费用由需方承担；由具有资质的第三方实验室复检的，复检费用由提出异议方承担。</w:t>
      </w:r>
    </w:p>
    <w:p w14:paraId="08BB47E6">
      <w:pPr>
        <w:pStyle w:val="2"/>
        <w:spacing w:before="145" w:beforeLines="50" w:after="145" w:afterLines="50" w:line="440" w:lineRule="exact"/>
        <w:ind w:firstLine="480" w:firstLineChars="200"/>
        <w:jc w:val="both"/>
        <w:rPr>
          <w:rFonts w:ascii="宋体" w:hAnsi="宋体" w:cs="宋体"/>
          <w:color w:val="auto"/>
          <w:kern w:val="2"/>
          <w:highlight w:val="none"/>
          <w:lang w:val="zh-CN"/>
        </w:rPr>
      </w:pPr>
      <w:r>
        <w:rPr>
          <w:rFonts w:hint="eastAsia" w:ascii="宋体" w:hAnsi="宋体" w:cs="宋体"/>
          <w:color w:val="auto"/>
          <w:kern w:val="2"/>
        </w:rPr>
        <w:t>7</w:t>
      </w:r>
      <w:r>
        <w:rPr>
          <w:rFonts w:hint="eastAsia" w:ascii="宋体" w:hAnsi="宋体" w:cs="宋体"/>
          <w:color w:val="auto"/>
          <w:kern w:val="2"/>
          <w:lang w:val="zh-CN"/>
        </w:rPr>
        <w:t>.</w:t>
      </w:r>
      <w:r>
        <w:rPr>
          <w:rFonts w:hint="eastAsia" w:ascii="宋体" w:hAnsi="宋体" w:cs="宋体"/>
          <w:color w:val="auto"/>
          <w:kern w:val="2"/>
        </w:rPr>
        <w:t>5</w:t>
      </w:r>
      <w:r>
        <w:rPr>
          <w:rFonts w:hint="eastAsia" w:ascii="宋体" w:hAnsi="宋体" w:cs="宋体"/>
          <w:color w:val="auto"/>
          <w:kern w:val="2"/>
          <w:highlight w:val="none"/>
          <w:lang w:val="zh-CN"/>
        </w:rPr>
        <w:t xml:space="preserve"> </w:t>
      </w:r>
      <w:r>
        <w:rPr>
          <w:rFonts w:hint="eastAsia" w:ascii="宋体" w:hAnsi="宋体" w:cs="宋体"/>
          <w:color w:val="auto"/>
          <w:kern w:val="2"/>
          <w:highlight w:val="none"/>
          <w:lang w:val="en-US" w:eastAsia="zh-CN"/>
        </w:rPr>
        <w:t>煅后焦</w:t>
      </w:r>
      <w:r>
        <w:rPr>
          <w:rFonts w:hint="eastAsia" w:ascii="宋体" w:hAnsi="宋体" w:cs="宋体"/>
          <w:color w:val="auto"/>
          <w:kern w:val="2"/>
          <w:highlight w:val="none"/>
          <w:lang w:val="zh-CN"/>
        </w:rPr>
        <w:t>的取样检验</w:t>
      </w:r>
    </w:p>
    <w:p w14:paraId="0D072C89">
      <w:pPr>
        <w:tabs>
          <w:tab w:val="left" w:pos="567"/>
        </w:tabs>
        <w:snapToGrid w:val="0"/>
        <w:spacing w:before="145" w:beforeLines="50" w:after="145" w:afterLines="50"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7.5.1  取样方法:</w:t>
      </w:r>
      <w:r>
        <w:rPr>
          <w:rFonts w:hint="eastAsia" w:ascii="宋体" w:hAnsi="宋体" w:eastAsia="宋体" w:cs="宋体"/>
          <w:sz w:val="24"/>
          <w:highlight w:val="none"/>
          <w:lang w:val="en-US" w:eastAsia="zh-CN"/>
        </w:rPr>
        <w:t>同一供应商，每车到货煅后焦均需采样，到货为吨袋包装的每车随机抽取3袋使用取样器每袋取1kg，到货为散装的卸车后使用取样铲在物料的上中下位置对角取5点约3kg样品，每10车组批检测</w:t>
      </w:r>
      <w:r>
        <w:rPr>
          <w:rFonts w:hint="eastAsia"/>
          <w:highlight w:val="none"/>
        </w:rPr>
        <w:t>水份</w:t>
      </w:r>
      <w:r>
        <w:rPr>
          <w:rFonts w:hint="eastAsia"/>
          <w:highlight w:val="none"/>
        </w:rPr>
        <w:tab/>
      </w:r>
      <w:r>
        <w:rPr>
          <w:rFonts w:hint="eastAsia"/>
          <w:highlight w:val="none"/>
          <w:lang w:eastAsia="zh-CN"/>
        </w:rPr>
        <w:t>、</w:t>
      </w:r>
      <w:r>
        <w:rPr>
          <w:rFonts w:hint="eastAsia"/>
          <w:highlight w:val="none"/>
        </w:rPr>
        <w:t>灰分</w:t>
      </w:r>
      <w:r>
        <w:rPr>
          <w:rFonts w:hint="eastAsia"/>
          <w:highlight w:val="none"/>
          <w:lang w:eastAsia="zh-CN"/>
        </w:rPr>
        <w:t>、</w:t>
      </w:r>
      <w:r>
        <w:rPr>
          <w:rFonts w:hint="eastAsia"/>
          <w:highlight w:val="none"/>
        </w:rPr>
        <w:t>挥发份</w:t>
      </w:r>
      <w:r>
        <w:rPr>
          <w:rFonts w:hint="eastAsia"/>
          <w:highlight w:val="none"/>
          <w:lang w:eastAsia="zh-CN"/>
        </w:rPr>
        <w:t>、</w:t>
      </w:r>
      <w:r>
        <w:rPr>
          <w:rFonts w:hint="eastAsia"/>
          <w:highlight w:val="none"/>
        </w:rPr>
        <w:t>粉末比电阻</w:t>
      </w:r>
      <w:r>
        <w:rPr>
          <w:rFonts w:hint="eastAsia"/>
          <w:highlight w:val="none"/>
          <w:lang w:eastAsia="zh-CN"/>
        </w:rPr>
        <w:t>、</w:t>
      </w:r>
      <w:r>
        <w:rPr>
          <w:rFonts w:hint="eastAsia"/>
          <w:highlight w:val="none"/>
        </w:rPr>
        <w:t>真密度</w:t>
      </w:r>
      <w:r>
        <w:rPr>
          <w:rFonts w:hint="eastAsia"/>
          <w:highlight w:val="none"/>
          <w:lang w:eastAsia="zh-CN"/>
        </w:rPr>
        <w:t>、</w:t>
      </w:r>
      <w:r>
        <w:rPr>
          <w:rFonts w:hint="eastAsia"/>
          <w:highlight w:val="none"/>
        </w:rPr>
        <w:t>振实密度</w:t>
      </w:r>
      <w:r>
        <w:rPr>
          <w:rFonts w:hint="eastAsia"/>
          <w:highlight w:val="none"/>
          <w:lang w:eastAsia="zh-CN"/>
        </w:rPr>
        <w:t>、</w:t>
      </w:r>
      <w:r>
        <w:rPr>
          <w:rFonts w:hint="eastAsia"/>
          <w:highlight w:val="none"/>
        </w:rPr>
        <w:t>硫分</w:t>
      </w:r>
      <w:r>
        <w:rPr>
          <w:rFonts w:hint="eastAsia"/>
          <w:highlight w:val="none"/>
          <w:lang w:eastAsia="zh-CN"/>
        </w:rPr>
        <w:t>、</w:t>
      </w:r>
      <w:r>
        <w:rPr>
          <w:rFonts w:hint="eastAsia"/>
          <w:highlight w:val="none"/>
        </w:rPr>
        <w:t>固定碳</w:t>
      </w:r>
      <w:r>
        <w:rPr>
          <w:rFonts w:hint="eastAsia"/>
          <w:highlight w:val="none"/>
          <w:lang w:eastAsia="zh-CN"/>
        </w:rPr>
        <w:t>、</w:t>
      </w:r>
      <w:r>
        <w:rPr>
          <w:rFonts w:hint="eastAsia"/>
          <w:highlight w:val="none"/>
        </w:rPr>
        <w:t>矾</w:t>
      </w:r>
      <w:r>
        <w:rPr>
          <w:rFonts w:hint="eastAsia"/>
          <w:highlight w:val="none"/>
          <w:lang w:eastAsia="zh-CN"/>
        </w:rPr>
        <w:t>、</w:t>
      </w:r>
      <w:r>
        <w:rPr>
          <w:rFonts w:hint="eastAsia"/>
          <w:highlight w:val="none"/>
        </w:rPr>
        <w:t>铁</w:t>
      </w:r>
      <w:r>
        <w:rPr>
          <w:rFonts w:hint="eastAsia"/>
          <w:highlight w:val="none"/>
          <w:lang w:eastAsia="zh-CN"/>
        </w:rPr>
        <w:t>、</w:t>
      </w:r>
      <w:r>
        <w:rPr>
          <w:rFonts w:hint="eastAsia"/>
          <w:highlight w:val="none"/>
        </w:rPr>
        <w:t>硅</w:t>
      </w:r>
      <w:r>
        <w:rPr>
          <w:rFonts w:hint="eastAsia"/>
          <w:highlight w:val="none"/>
          <w:lang w:eastAsia="zh-CN"/>
        </w:rPr>
        <w:t>、</w:t>
      </w:r>
      <w:r>
        <w:rPr>
          <w:rFonts w:hint="eastAsia"/>
          <w:highlight w:val="none"/>
        </w:rPr>
        <w:t>钠</w:t>
      </w:r>
      <w:r>
        <w:rPr>
          <w:rFonts w:hint="eastAsia"/>
          <w:highlight w:val="none"/>
          <w:lang w:eastAsia="zh-CN"/>
        </w:rPr>
        <w:t>、</w:t>
      </w:r>
      <w:r>
        <w:rPr>
          <w:rFonts w:hint="eastAsia"/>
          <w:highlight w:val="none"/>
        </w:rPr>
        <w:t>粒度</w:t>
      </w:r>
      <w:r>
        <w:rPr>
          <w:rFonts w:hint="eastAsia" w:ascii="宋体" w:hAnsi="宋体" w:eastAsia="宋体" w:cs="宋体"/>
          <w:sz w:val="24"/>
          <w:highlight w:val="none"/>
          <w:lang w:val="en-US" w:eastAsia="zh-CN"/>
        </w:rPr>
        <w:t>（连续两日内到货量不足10车的同样组批检测）。</w:t>
      </w:r>
      <w:r>
        <w:rPr>
          <w:rFonts w:hint="eastAsia" w:ascii="宋体" w:hAnsi="宋体" w:eastAsia="宋体" w:cs="宋体"/>
          <w:sz w:val="24"/>
          <w:highlight w:val="none"/>
        </w:rPr>
        <w:t>取样后充分混匀，分成两份并密封处理，同时在试样袋上填写试样基本信息并由取样人共同骑缝签名，一份进行化验，一份作备查样，备查样保存期至少叁个月。</w:t>
      </w:r>
    </w:p>
    <w:p w14:paraId="3B5B15DD">
      <w:pPr>
        <w:keepNext w:val="0"/>
        <w:keepLines w:val="0"/>
        <w:pageBreakBefore w:val="0"/>
        <w:widowControl w:val="0"/>
        <w:tabs>
          <w:tab w:val="left" w:pos="567"/>
        </w:tabs>
        <w:kinsoku/>
        <w:wordWrap/>
        <w:overflowPunct/>
        <w:topLinePunct w:val="0"/>
        <w:autoSpaceDE/>
        <w:autoSpaceDN/>
        <w:bidi w:val="0"/>
        <w:adjustRightInd/>
        <w:snapToGrid w:val="0"/>
        <w:spacing w:before="145" w:beforeLines="50" w:after="145" w:afterLines="50" w:line="440" w:lineRule="exact"/>
        <w:ind w:firstLine="480" w:firstLineChars="200"/>
        <w:textAlignment w:val="auto"/>
        <w:rPr>
          <w:rFonts w:ascii="宋体" w:hAnsi="宋体" w:eastAsia="宋体" w:cs="宋体"/>
          <w:sz w:val="24"/>
        </w:rPr>
      </w:pPr>
      <w:r>
        <w:rPr>
          <w:rFonts w:hint="eastAsia" w:ascii="宋体" w:hAnsi="宋体" w:eastAsia="宋体" w:cs="宋体"/>
          <w:sz w:val="24"/>
        </w:rPr>
        <w:t>7.5.2 当抽检过程中出现一次样品某一指标超出规定范围时，由甲方及时通知乙方，由甲乙双方协商解决，如乙方有异议时，可以由甲乙双方共同取样复查。如复查仍不合格，按</w:t>
      </w:r>
      <w:r>
        <w:rPr>
          <w:rFonts w:hint="eastAsia" w:ascii="宋体" w:hAnsi="宋体" w:eastAsia="宋体" w:cs="宋体"/>
          <w:sz w:val="24"/>
          <w:lang w:val="en-US" w:eastAsia="zh-CN"/>
        </w:rPr>
        <w:t>煅后焦质量协议</w:t>
      </w:r>
      <w:r>
        <w:rPr>
          <w:rFonts w:hint="eastAsia" w:ascii="宋体" w:hAnsi="宋体" w:eastAsia="宋体" w:cs="宋体"/>
          <w:sz w:val="24"/>
        </w:rPr>
        <w:t>进行考核。</w:t>
      </w:r>
    </w:p>
    <w:p w14:paraId="1C7CF466">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rPr>
        <w:t>7.6 复</w:t>
      </w:r>
      <w:r>
        <w:rPr>
          <w:rFonts w:hint="eastAsia" w:ascii="宋体" w:hAnsi="宋体" w:eastAsia="宋体" w:cs="宋体"/>
          <w:sz w:val="24"/>
          <w:lang w:val="en-US" w:eastAsia="zh-CN"/>
        </w:rPr>
        <w:t>检规则：甲乙双方在验收过程中就质量问题发生争议时，乙方需在3 个工作日内，以函件的方式向甲方提出复检申请。复检优先选择在甲方实验室进行，当争议较大或供方有充分理由时，也可选择在双方认可的具有资质的第三方实验室进行复检（由甲方在甲乙双方认可的具有资质的第三方实验室中随机选择一家进行复检）。以上复检方式只可选择其中一种，不可两种同时进行，</w:t>
      </w:r>
      <w:r>
        <w:rPr>
          <w:rFonts w:hint="eastAsia" w:ascii="宋体" w:hAnsi="宋体" w:eastAsia="宋体" w:cs="宋体"/>
          <w:sz w:val="24"/>
        </w:rPr>
        <w:t>复检结果为最终质量验收结果</w:t>
      </w:r>
      <w:r>
        <w:rPr>
          <w:rFonts w:hint="eastAsia" w:ascii="宋体" w:hAnsi="宋体" w:eastAsia="宋体" w:cs="宋体"/>
          <w:sz w:val="24"/>
          <w:lang w:eastAsia="zh-CN"/>
        </w:rPr>
        <w:t>，</w:t>
      </w:r>
      <w:r>
        <w:rPr>
          <w:rFonts w:hint="eastAsia" w:ascii="宋体" w:hAnsi="宋体" w:eastAsia="宋体" w:cs="宋体"/>
          <w:sz w:val="24"/>
          <w:lang w:val="en-US" w:eastAsia="zh-CN"/>
        </w:rPr>
        <w:t>因水分会随外界环境变化，水分不接受复检申请</w:t>
      </w:r>
      <w:r>
        <w:rPr>
          <w:rFonts w:hint="eastAsia" w:ascii="宋体" w:hAnsi="宋体" w:eastAsia="宋体" w:cs="宋体"/>
          <w:b w:val="0"/>
          <w:bCs w:val="0"/>
          <w:color w:val="auto"/>
          <w:kern w:val="2"/>
          <w:sz w:val="24"/>
          <w:szCs w:val="24"/>
          <w:lang w:val="en-US" w:eastAsia="zh-CN" w:bidi="ar-SA"/>
        </w:rPr>
        <w:t>。</w:t>
      </w:r>
    </w:p>
    <w:p w14:paraId="27032248">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7.7 在验收时，乙方向甲方提供以下与货物相关的验收资料：“质量证明书”“产品合格证”“检验检测证书（报告）”，属于危险化学品的提供危险化学品安全技术说明书。乙方不提供上述验收资料的甲方可拒收，乙方交货期限不予顺延。如货物上有防伪标志的，甲方对乙方提供货物的防伪标志进行电话和网上查询，如不符，甲方可拒收。</w:t>
      </w:r>
    </w:p>
    <w:p w14:paraId="2B542035">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第八条 退货</w:t>
      </w:r>
    </w:p>
    <w:p w14:paraId="7A68986D">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甲方有权对乙方供应的</w:t>
      </w:r>
      <w:r>
        <w:rPr>
          <w:rFonts w:hint="eastAsia" w:ascii="宋体" w:hAnsi="宋体" w:eastAsia="宋体" w:cs="宋体"/>
          <w:sz w:val="24"/>
          <w:lang w:val="en-US" w:eastAsia="zh-CN"/>
        </w:rPr>
        <w:t>煅后焦</w:t>
      </w:r>
      <w:r>
        <w:rPr>
          <w:rFonts w:hint="eastAsia" w:ascii="宋体" w:hAnsi="宋体" w:eastAsia="宋体" w:cs="宋体"/>
          <w:sz w:val="24"/>
        </w:rPr>
        <w:t>进行监督检查，凡被甲方检查发现乙方供应的</w:t>
      </w:r>
      <w:r>
        <w:rPr>
          <w:rFonts w:hint="eastAsia" w:ascii="宋体" w:hAnsi="宋体" w:eastAsia="宋体" w:cs="宋体"/>
          <w:sz w:val="24"/>
          <w:lang w:val="en-US" w:eastAsia="zh-CN"/>
        </w:rPr>
        <w:t>煅后焦</w:t>
      </w:r>
      <w:r>
        <w:rPr>
          <w:rFonts w:hint="eastAsia" w:ascii="宋体" w:hAnsi="宋体" w:eastAsia="宋体" w:cs="宋体"/>
          <w:sz w:val="24"/>
        </w:rPr>
        <w:t>有掺假、杂质、夹层的车辆，甲方有权拒绝其进厂，已进厂卸车的，甲方有权对该车产品不予结算。因质量不符合要求，</w:t>
      </w:r>
      <w:r>
        <w:rPr>
          <w:rFonts w:hint="eastAsia" w:ascii="宋体" w:hAnsi="宋体" w:eastAsia="宋体" w:cs="宋体"/>
          <w:sz w:val="24"/>
          <w:lang w:val="en-US" w:eastAsia="zh-CN"/>
        </w:rPr>
        <w:t>甲方</w:t>
      </w:r>
      <w:r>
        <w:rPr>
          <w:rFonts w:hint="eastAsia" w:ascii="宋体" w:hAnsi="宋体" w:eastAsia="宋体" w:cs="宋体"/>
          <w:sz w:val="24"/>
        </w:rPr>
        <w:t>选择退货的，退货必须在3天内完成，若因乙方原因导致3天内不能完成退货的，造成甲方的一切损失由乙方承担。退货所产生的包装、运输等费用由乙方自行承担。乙方应在本合同约定的供货期内完成退货货物的回收及合格货物的重新交付，确保到货时间符合约定供货期要求。若乙方未按时完成合格货物交付，视为逾期交货，应按照本合同 “违约责任” 条款中关于逾期交货的约定承担相应责任。</w:t>
      </w:r>
    </w:p>
    <w:p w14:paraId="317F51EE">
      <w:pPr>
        <w:spacing w:before="145" w:beforeLines="50" w:after="145" w:afterLines="50" w:line="440" w:lineRule="exact"/>
        <w:ind w:firstLine="480" w:firstLineChars="200"/>
        <w:rPr>
          <w:rFonts w:ascii="宋体" w:hAnsi="宋体" w:eastAsia="宋体" w:cs="宋体"/>
          <w:sz w:val="24"/>
        </w:rPr>
      </w:pPr>
    </w:p>
    <w:p w14:paraId="593F6C6A">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 xml:space="preserve">第九条 </w:t>
      </w:r>
      <w:r>
        <w:rPr>
          <w:rFonts w:hint="eastAsia" w:ascii="宋体" w:hAnsi="宋体" w:eastAsia="宋体" w:cs="宋体"/>
          <w:b/>
          <w:bCs/>
          <w:sz w:val="24"/>
          <w:lang w:val="en-US" w:eastAsia="zh-CN"/>
        </w:rPr>
        <w:t>煅后焦</w:t>
      </w:r>
      <w:r>
        <w:rPr>
          <w:rFonts w:hint="eastAsia" w:ascii="宋体" w:hAnsi="宋体" w:eastAsia="宋体" w:cs="宋体"/>
          <w:b/>
          <w:bCs/>
          <w:sz w:val="24"/>
        </w:rPr>
        <w:t>质量仲裁结果处理办法</w:t>
      </w:r>
    </w:p>
    <w:p w14:paraId="3D08563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所供</w:t>
      </w:r>
      <w:r>
        <w:rPr>
          <w:rFonts w:hint="eastAsia" w:ascii="宋体" w:hAnsi="宋体" w:eastAsia="宋体" w:cs="宋体"/>
          <w:sz w:val="24"/>
          <w:lang w:val="en-US" w:eastAsia="zh-CN"/>
        </w:rPr>
        <w:t>煅后焦</w:t>
      </w:r>
      <w:r>
        <w:rPr>
          <w:rFonts w:hint="eastAsia" w:ascii="宋体" w:hAnsi="宋体" w:eastAsia="宋体" w:cs="宋体"/>
          <w:sz w:val="24"/>
        </w:rPr>
        <w:t>无掺假和无夹层，仲裁过程需乙方全程参与，若乙方无法参与，应向甲方提供书面说明予以确认，仲裁流程和仲裁结果乙方将视为完全认可。当仲裁结果与原化验结果符合第1.3条要求的则按合同单价进行结算，不符合要求则按附件2</w:t>
      </w:r>
      <w:r>
        <w:rPr>
          <w:rFonts w:hint="eastAsia" w:ascii="宋体" w:hAnsi="宋体" w:eastAsia="宋体" w:cs="宋体"/>
          <w:sz w:val="24"/>
          <w:lang w:val="en-US" w:eastAsia="zh-CN"/>
        </w:rPr>
        <w:t>《煅后焦质量协议》</w:t>
      </w:r>
      <w:r>
        <w:rPr>
          <w:rFonts w:hint="eastAsia" w:ascii="宋体" w:hAnsi="宋体" w:eastAsia="宋体" w:cs="宋体"/>
          <w:sz w:val="24"/>
        </w:rPr>
        <w:t>进行扣款结算或退货处理，仲裁费由提出仲裁方负责。</w:t>
      </w:r>
    </w:p>
    <w:p w14:paraId="72EEEADB">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第十条 安全条款 </w:t>
      </w:r>
    </w:p>
    <w:p w14:paraId="23AD8F5B">
      <w:pPr>
        <w:spacing w:before="145" w:beforeLines="50" w:after="145" w:afterLines="50" w:line="440" w:lineRule="exact"/>
        <w:ind w:firstLine="420" w:firstLineChars="200"/>
        <w:rPr>
          <w:rFonts w:ascii="宋体" w:hAnsi="宋体" w:eastAsia="宋体" w:cs="宋体"/>
          <w:sz w:val="24"/>
        </w:rPr>
      </w:pPr>
      <w:r>
        <w:rPr>
          <w:rFonts w:hint="eastAsia"/>
        </w:rPr>
        <w:t> </w:t>
      </w:r>
      <w:r>
        <w:rPr>
          <w:rFonts w:hint="eastAsia" w:ascii="宋体" w:hAnsi="宋体" w:eastAsia="宋体" w:cs="宋体"/>
          <w:sz w:val="24"/>
        </w:rPr>
        <w:t>10.1乙方派往甲方送货的人员，进厂前，有责任了解甲方的入厂（矿区）需知，遵守甲方有关的安全和环保要求；乙方有关办事人员或受雇于乙方的人员在甲方厂区（矿区）内应遵守甲方所有厂规厂纪。</w:t>
      </w:r>
    </w:p>
    <w:p w14:paraId="0EDB067B">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10.2乙方相关人员进入甲方厂区（矿区），要严格遵守甲方公司管理制度配戴劳保用品并服从甲方管理。如发现乙方人员未按要求穿戴安全防护用品，甲方有权对其行为进行罚款200元/人次。因乙方自身防护不当造成人身伤亡事故的，由乙方承担全部经济和法律责任。</w:t>
      </w:r>
    </w:p>
    <w:p w14:paraId="7E7D958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10.3因乙方工作人员的过错造成对甲方或第三方人身伤害及财产的损失，由乙方承担全部法律责任。</w:t>
      </w:r>
    </w:p>
    <w:p w14:paraId="600C8F76">
      <w:pPr>
        <w:spacing w:before="145" w:beforeLines="50" w:after="145" w:afterLines="50" w:line="440" w:lineRule="exact"/>
        <w:ind w:firstLine="480" w:firstLineChars="200"/>
      </w:pPr>
      <w:r>
        <w:rPr>
          <w:rFonts w:hint="eastAsia" w:ascii="宋体" w:hAnsi="宋体" w:eastAsia="宋体" w:cs="宋体"/>
          <w:sz w:val="24"/>
        </w:rPr>
        <w:t>10.4未经甲方允许，乙方人员不能随意进入甲方厂区（矿区）。</w:t>
      </w:r>
    </w:p>
    <w:p w14:paraId="11B3FBE5">
      <w:pPr>
        <w:numPr>
          <w:ilvl w:val="0"/>
          <w:numId w:val="1"/>
        </w:numPr>
        <w:spacing w:before="145" w:beforeLines="50" w:after="145" w:afterLines="50" w:line="440" w:lineRule="exact"/>
        <w:ind w:firstLine="200"/>
        <w:rPr>
          <w:rFonts w:hint="eastAsia" w:ascii="宋体" w:hAnsi="宋体" w:eastAsia="宋体" w:cs="宋体"/>
          <w:b/>
          <w:bCs/>
          <w:sz w:val="24"/>
        </w:rPr>
      </w:pPr>
      <w:r>
        <w:rPr>
          <w:rFonts w:hint="eastAsia" w:ascii="宋体" w:hAnsi="宋体" w:eastAsia="宋体" w:cs="宋体"/>
          <w:b/>
          <w:bCs/>
          <w:sz w:val="24"/>
        </w:rPr>
        <w:t>违约责任</w:t>
      </w:r>
    </w:p>
    <w:p w14:paraId="0A7C37DC">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eastAsia="宋体" w:cs="宋体"/>
          <w:color w:val="auto"/>
          <w:kern w:val="2"/>
          <w:sz w:val="24"/>
          <w:szCs w:val="24"/>
          <w:lang w:val="en-US" w:eastAsia="zh-CN" w:bidi="ar-SA"/>
        </w:rPr>
        <w:t>11.1</w:t>
      </w:r>
      <w:r>
        <w:rPr>
          <w:rFonts w:hint="eastAsia"/>
          <w:lang w:val="en-US" w:eastAsia="zh-CN"/>
        </w:rPr>
        <w:t xml:space="preserve"> </w:t>
      </w:r>
      <w:r>
        <w:rPr>
          <w:rFonts w:hint="eastAsia" w:ascii="宋体" w:hAnsi="宋体" w:eastAsia="宋体" w:cs="宋体"/>
          <w:sz w:val="24"/>
          <w:lang w:eastAsia="zh-CN"/>
        </w:rPr>
        <w:t>甲方</w:t>
      </w:r>
      <w:r>
        <w:rPr>
          <w:rFonts w:hint="eastAsia" w:ascii="宋体" w:hAnsi="宋体" w:eastAsia="宋体" w:cs="宋体"/>
          <w:sz w:val="24"/>
        </w:rPr>
        <w:t>按上述</w:t>
      </w:r>
      <w:r>
        <w:rPr>
          <w:rFonts w:hint="eastAsia" w:ascii="宋体" w:hAnsi="宋体" w:eastAsia="宋体" w:cs="宋体"/>
          <w:sz w:val="24"/>
          <w:lang w:val="en-US" w:eastAsia="zh-CN"/>
        </w:rPr>
        <w:t>2.3</w:t>
      </w:r>
      <w:r>
        <w:rPr>
          <w:rFonts w:hint="eastAsia" w:ascii="宋体" w:hAnsi="宋体" w:eastAsia="宋体" w:cs="宋体"/>
          <w:sz w:val="24"/>
        </w:rPr>
        <w:t>条供货计划中的</w:t>
      </w:r>
      <w:r>
        <w:rPr>
          <w:rFonts w:hint="eastAsia" w:ascii="宋体" w:hAnsi="宋体" w:eastAsia="宋体" w:cs="宋体"/>
          <w:sz w:val="24"/>
          <w:lang w:val="en-US" w:eastAsia="zh-CN"/>
        </w:rPr>
        <w:t>自然月</w:t>
      </w:r>
      <w:r>
        <w:rPr>
          <w:rFonts w:hint="eastAsia" w:ascii="宋体" w:hAnsi="宋体" w:eastAsia="宋体" w:cs="宋体"/>
          <w:sz w:val="24"/>
        </w:rPr>
        <w:t>供货基准数量的下限值对</w:t>
      </w:r>
      <w:r>
        <w:rPr>
          <w:rFonts w:hint="eastAsia" w:ascii="宋体" w:hAnsi="宋体" w:eastAsia="宋体" w:cs="宋体"/>
          <w:sz w:val="24"/>
          <w:lang w:eastAsia="zh-CN"/>
        </w:rPr>
        <w:t>乙方</w:t>
      </w:r>
      <w:r>
        <w:rPr>
          <w:rFonts w:hint="eastAsia" w:ascii="宋体" w:hAnsi="宋体" w:eastAsia="宋体" w:cs="宋体"/>
          <w:sz w:val="24"/>
          <w:lang w:val="en-US" w:eastAsia="zh-CN"/>
        </w:rPr>
        <w:t>进行</w:t>
      </w:r>
      <w:r>
        <w:rPr>
          <w:rFonts w:hint="eastAsia" w:ascii="宋体" w:hAnsi="宋体" w:eastAsia="宋体" w:cs="宋体"/>
          <w:sz w:val="24"/>
        </w:rPr>
        <w:t>履约考核，</w:t>
      </w:r>
      <w:r>
        <w:rPr>
          <w:rFonts w:hint="eastAsia" w:ascii="宋体" w:hAnsi="宋体" w:eastAsia="宋体" w:cs="宋体"/>
          <w:sz w:val="24"/>
          <w:lang w:eastAsia="zh-CN"/>
        </w:rPr>
        <w:t>乙方</w:t>
      </w:r>
      <w:r>
        <w:rPr>
          <w:rFonts w:hint="eastAsia" w:ascii="宋体" w:hAnsi="宋体" w:eastAsia="宋体" w:cs="宋体"/>
          <w:sz w:val="24"/>
        </w:rPr>
        <w:t>每</w:t>
      </w:r>
      <w:r>
        <w:rPr>
          <w:rFonts w:hint="eastAsia" w:ascii="宋体" w:hAnsi="宋体" w:eastAsia="宋体" w:cs="宋体"/>
          <w:sz w:val="24"/>
          <w:lang w:val="en-US" w:eastAsia="zh-CN"/>
        </w:rPr>
        <w:t>月</w:t>
      </w:r>
      <w:r>
        <w:rPr>
          <w:rFonts w:hint="eastAsia" w:ascii="宋体" w:hAnsi="宋体" w:eastAsia="宋体" w:cs="宋体"/>
          <w:sz w:val="24"/>
        </w:rPr>
        <w:t>实际供货数量不足本合同约定</w:t>
      </w:r>
      <w:r>
        <w:rPr>
          <w:rFonts w:hint="eastAsia" w:ascii="宋体" w:hAnsi="宋体" w:eastAsia="宋体" w:cs="宋体"/>
          <w:sz w:val="24"/>
          <w:lang w:val="en-US" w:eastAsia="zh-CN"/>
        </w:rPr>
        <w:t>月度</w:t>
      </w:r>
      <w:r>
        <w:rPr>
          <w:rFonts w:hint="eastAsia" w:ascii="宋体" w:hAnsi="宋体" w:eastAsia="宋体" w:cs="宋体"/>
          <w:sz w:val="24"/>
        </w:rPr>
        <w:t>应供货数量的，</w:t>
      </w:r>
      <w:r>
        <w:rPr>
          <w:rFonts w:hint="eastAsia" w:ascii="宋体" w:hAnsi="宋体" w:eastAsia="宋体" w:cs="宋体"/>
          <w:sz w:val="24"/>
          <w:lang w:eastAsia="zh-CN"/>
        </w:rPr>
        <w:t>乙方</w:t>
      </w:r>
      <w:r>
        <w:rPr>
          <w:rFonts w:hint="eastAsia" w:ascii="宋体" w:hAnsi="宋体" w:eastAsia="宋体" w:cs="宋体"/>
          <w:sz w:val="24"/>
        </w:rPr>
        <w:t>应于</w:t>
      </w:r>
      <w:r>
        <w:rPr>
          <w:rFonts w:hint="eastAsia" w:ascii="宋体" w:hAnsi="宋体" w:eastAsia="宋体" w:cs="宋体"/>
          <w:sz w:val="24"/>
          <w:lang w:val="en-US" w:eastAsia="zh-CN"/>
        </w:rPr>
        <w:t>次月</w:t>
      </w:r>
      <w:r>
        <w:rPr>
          <w:rFonts w:hint="eastAsia" w:ascii="宋体" w:hAnsi="宋体" w:eastAsia="宋体" w:cs="宋体"/>
          <w:sz w:val="24"/>
        </w:rPr>
        <w:t>5日</w:t>
      </w:r>
      <w:r>
        <w:rPr>
          <w:rFonts w:hint="eastAsia" w:ascii="宋体" w:hAnsi="宋体" w:eastAsia="宋体" w:cs="宋体"/>
          <w:sz w:val="24"/>
          <w:lang w:val="en-US" w:eastAsia="zh-CN"/>
        </w:rPr>
        <w:t>内</w:t>
      </w:r>
      <w:r>
        <w:rPr>
          <w:rFonts w:hint="eastAsia" w:ascii="宋体" w:hAnsi="宋体" w:eastAsia="宋体" w:cs="宋体"/>
          <w:sz w:val="24"/>
        </w:rPr>
        <w:t>(含)补足。</w:t>
      </w:r>
      <w:r>
        <w:rPr>
          <w:rFonts w:hint="eastAsia" w:ascii="宋体" w:hAnsi="宋体" w:eastAsia="宋体" w:cs="宋体"/>
          <w:sz w:val="24"/>
          <w:lang w:val="en-US" w:eastAsia="zh-CN"/>
        </w:rPr>
        <w:t>至次月第</w:t>
      </w:r>
      <w:r>
        <w:rPr>
          <w:rFonts w:hint="eastAsia" w:ascii="宋体" w:hAnsi="宋体" w:eastAsia="宋体" w:cs="宋体"/>
          <w:sz w:val="24"/>
        </w:rPr>
        <w:t>5日仍未完成</w:t>
      </w:r>
      <w:r>
        <w:rPr>
          <w:rFonts w:hint="eastAsia" w:ascii="宋体" w:hAnsi="宋体" w:eastAsia="宋体" w:cs="宋体"/>
          <w:sz w:val="24"/>
          <w:lang w:val="en-US" w:eastAsia="zh-CN"/>
        </w:rPr>
        <w:t>月度应</w:t>
      </w:r>
      <w:r>
        <w:rPr>
          <w:rFonts w:hint="eastAsia" w:ascii="宋体" w:hAnsi="宋体" w:eastAsia="宋体" w:cs="宋体"/>
          <w:sz w:val="24"/>
        </w:rPr>
        <w:t>供货数量的，</w:t>
      </w:r>
      <w:r>
        <w:rPr>
          <w:rFonts w:hint="eastAsia" w:ascii="宋体" w:hAnsi="宋体" w:eastAsia="宋体" w:cs="宋体"/>
          <w:sz w:val="24"/>
          <w:lang w:eastAsia="zh-CN"/>
        </w:rPr>
        <w:t>乙方</w:t>
      </w:r>
      <w:r>
        <w:rPr>
          <w:rFonts w:hint="eastAsia" w:ascii="宋体" w:hAnsi="宋体" w:eastAsia="宋体" w:cs="宋体"/>
          <w:sz w:val="24"/>
        </w:rPr>
        <w:t>应按照</w:t>
      </w:r>
      <w:r>
        <w:rPr>
          <w:rFonts w:hint="eastAsia" w:ascii="宋体" w:hAnsi="宋体" w:eastAsia="宋体" w:cs="宋体"/>
          <w:sz w:val="24"/>
          <w:lang w:val="en-US" w:eastAsia="zh-CN"/>
        </w:rPr>
        <w:t>月度</w:t>
      </w:r>
      <w:r>
        <w:rPr>
          <w:rFonts w:hint="eastAsia" w:ascii="宋体" w:hAnsi="宋体" w:eastAsia="宋体" w:cs="宋体"/>
          <w:sz w:val="24"/>
        </w:rPr>
        <w:t>未供应数量</w:t>
      </w:r>
      <w:r>
        <w:rPr>
          <w:rFonts w:hint="eastAsia" w:ascii="宋体" w:hAnsi="宋体" w:eastAsia="宋体" w:cs="宋体"/>
          <w:sz w:val="24"/>
          <w:lang w:val="en-US" w:eastAsia="zh-CN"/>
        </w:rPr>
        <w:t>×</w:t>
      </w:r>
      <w:r>
        <w:rPr>
          <w:rFonts w:hint="eastAsia" w:ascii="宋体" w:hAnsi="宋体" w:eastAsia="宋体" w:cs="宋体"/>
          <w:sz w:val="24"/>
        </w:rPr>
        <w:t>基准单价(</w:t>
      </w:r>
      <w:r>
        <w:rPr>
          <w:rFonts w:hint="eastAsia" w:ascii="宋体" w:hAnsi="宋体" w:eastAsia="宋体" w:cs="宋体"/>
          <w:sz w:val="24"/>
          <w:u w:val="single"/>
          <w:lang w:val="en-US" w:eastAsia="zh-CN"/>
        </w:rPr>
        <w:t>xxxx</w:t>
      </w:r>
      <w:r>
        <w:rPr>
          <w:rFonts w:hint="eastAsia" w:ascii="宋体" w:hAnsi="宋体" w:eastAsia="宋体" w:cs="宋体"/>
          <w:sz w:val="24"/>
        </w:rPr>
        <w:t>元/吨)的5%向</w:t>
      </w:r>
      <w:r>
        <w:rPr>
          <w:rFonts w:hint="eastAsia" w:ascii="宋体" w:hAnsi="宋体" w:eastAsia="宋体" w:cs="宋体"/>
          <w:sz w:val="24"/>
          <w:lang w:eastAsia="zh-CN"/>
        </w:rPr>
        <w:t>甲方</w:t>
      </w:r>
      <w:r>
        <w:rPr>
          <w:rFonts w:hint="eastAsia" w:ascii="宋体" w:hAnsi="宋体" w:eastAsia="宋体" w:cs="宋体"/>
          <w:sz w:val="24"/>
        </w:rPr>
        <w:t>支付违约金;</w:t>
      </w:r>
      <w:r>
        <w:rPr>
          <w:rFonts w:hint="eastAsia" w:ascii="宋体" w:hAnsi="宋体" w:eastAsia="宋体" w:cs="宋体"/>
          <w:sz w:val="24"/>
          <w:lang w:val="en-US" w:eastAsia="zh-CN"/>
        </w:rPr>
        <w:t>至次月10</w:t>
      </w:r>
      <w:r>
        <w:rPr>
          <w:rFonts w:hint="eastAsia" w:ascii="宋体" w:hAnsi="宋体" w:eastAsia="宋体" w:cs="宋体"/>
          <w:sz w:val="24"/>
        </w:rPr>
        <w:t>日</w:t>
      </w:r>
      <w:r>
        <w:rPr>
          <w:rFonts w:hint="eastAsia" w:ascii="宋体" w:hAnsi="宋体" w:eastAsia="宋体" w:cs="宋体"/>
          <w:sz w:val="24"/>
          <w:lang w:val="en-US" w:eastAsia="zh-CN"/>
        </w:rPr>
        <w:t>24:00</w:t>
      </w:r>
      <w:r>
        <w:rPr>
          <w:rFonts w:hint="eastAsia" w:ascii="宋体" w:hAnsi="宋体" w:eastAsia="宋体" w:cs="宋体"/>
          <w:sz w:val="24"/>
        </w:rPr>
        <w:t>仍未完成</w:t>
      </w:r>
      <w:r>
        <w:rPr>
          <w:rFonts w:hint="eastAsia" w:ascii="宋体" w:hAnsi="宋体" w:eastAsia="宋体" w:cs="宋体"/>
          <w:sz w:val="24"/>
          <w:lang w:val="en-US" w:eastAsia="zh-CN"/>
        </w:rPr>
        <w:t>上月</w:t>
      </w:r>
      <w:r>
        <w:rPr>
          <w:rFonts w:hint="eastAsia" w:ascii="宋体" w:hAnsi="宋体" w:eastAsia="宋体" w:cs="宋体"/>
          <w:sz w:val="24"/>
        </w:rPr>
        <w:t>欠供量交付的，</w:t>
      </w:r>
      <w:r>
        <w:rPr>
          <w:rFonts w:hint="eastAsia" w:ascii="宋体" w:hAnsi="宋体" w:eastAsia="宋体" w:cs="宋体"/>
          <w:sz w:val="24"/>
          <w:lang w:eastAsia="zh-CN"/>
        </w:rPr>
        <w:t>乙方</w:t>
      </w:r>
      <w:r>
        <w:rPr>
          <w:rFonts w:hint="eastAsia" w:ascii="宋体" w:hAnsi="宋体" w:eastAsia="宋体" w:cs="宋体"/>
          <w:sz w:val="24"/>
        </w:rPr>
        <w:t>需再次按照</w:t>
      </w:r>
      <w:r>
        <w:rPr>
          <w:rFonts w:hint="eastAsia" w:ascii="宋体" w:hAnsi="宋体" w:eastAsia="宋体" w:cs="宋体"/>
          <w:sz w:val="24"/>
          <w:lang w:val="en-US" w:eastAsia="zh-CN"/>
        </w:rPr>
        <w:t>月度</w:t>
      </w:r>
      <w:r>
        <w:rPr>
          <w:rFonts w:hint="eastAsia" w:ascii="宋体" w:hAnsi="宋体" w:eastAsia="宋体" w:cs="宋体"/>
          <w:sz w:val="24"/>
        </w:rPr>
        <w:t>未供应数量</w:t>
      </w:r>
      <w:r>
        <w:rPr>
          <w:rFonts w:hint="eastAsia" w:ascii="宋体" w:hAnsi="宋体" w:eastAsia="宋体" w:cs="宋体"/>
          <w:sz w:val="24"/>
          <w:lang w:val="en-US" w:eastAsia="zh-CN"/>
        </w:rPr>
        <w:t>×</w:t>
      </w:r>
      <w:r>
        <w:rPr>
          <w:rFonts w:hint="eastAsia" w:ascii="宋体" w:hAnsi="宋体" w:eastAsia="宋体" w:cs="宋体"/>
          <w:sz w:val="24"/>
        </w:rPr>
        <w:t>基准单价(</w:t>
      </w:r>
      <w:r>
        <w:rPr>
          <w:rFonts w:hint="eastAsia" w:ascii="宋体" w:hAnsi="宋体" w:eastAsia="宋体" w:cs="宋体"/>
          <w:sz w:val="24"/>
          <w:u w:val="single"/>
          <w:lang w:val="en-US" w:eastAsia="zh-CN"/>
        </w:rPr>
        <w:t>xxxx</w:t>
      </w:r>
      <w:r>
        <w:rPr>
          <w:rFonts w:hint="eastAsia" w:ascii="宋体" w:hAnsi="宋体" w:eastAsia="宋体" w:cs="宋体"/>
          <w:sz w:val="24"/>
        </w:rPr>
        <w:t>元/吨)的15%向</w:t>
      </w:r>
      <w:r>
        <w:rPr>
          <w:rFonts w:hint="eastAsia" w:ascii="宋体" w:hAnsi="宋体" w:eastAsia="宋体" w:cs="宋体"/>
          <w:sz w:val="24"/>
          <w:lang w:eastAsia="zh-CN"/>
        </w:rPr>
        <w:t>甲方</w:t>
      </w:r>
      <w:r>
        <w:rPr>
          <w:rFonts w:hint="eastAsia" w:ascii="宋体" w:hAnsi="宋体" w:eastAsia="宋体" w:cs="宋体"/>
          <w:sz w:val="24"/>
        </w:rPr>
        <w:t>支付违约金。</w:t>
      </w:r>
      <w:r>
        <w:rPr>
          <w:rFonts w:hint="eastAsia" w:ascii="宋体" w:hAnsi="宋体" w:eastAsia="宋体" w:cs="宋体"/>
          <w:sz w:val="24"/>
          <w:lang w:val="en-US" w:eastAsia="zh-CN"/>
        </w:rPr>
        <w:t>月度</w:t>
      </w:r>
      <w:r>
        <w:rPr>
          <w:rFonts w:hint="eastAsia" w:ascii="宋体" w:hAnsi="宋体" w:eastAsia="宋体" w:cs="宋体"/>
          <w:sz w:val="24"/>
        </w:rPr>
        <w:t>未供应数量为</w:t>
      </w:r>
      <w:r>
        <w:rPr>
          <w:rFonts w:hint="eastAsia" w:ascii="宋体" w:hAnsi="宋体" w:eastAsia="宋体" w:cs="宋体"/>
          <w:sz w:val="24"/>
          <w:lang w:val="en-US" w:eastAsia="zh-CN"/>
        </w:rPr>
        <w:t>本阶段</w:t>
      </w:r>
      <w:r>
        <w:rPr>
          <w:rFonts w:hint="eastAsia" w:ascii="宋体" w:hAnsi="宋体" w:eastAsia="宋体" w:cs="宋体"/>
          <w:sz w:val="24"/>
        </w:rPr>
        <w:t>应供货数量(基准数量下限值)减实际供货数量的差。</w:t>
      </w:r>
    </w:p>
    <w:p w14:paraId="27A2C66B">
      <w:pPr>
        <w:pStyle w:val="12"/>
        <w:spacing w:before="50" w:after="50" w:line="440" w:lineRule="exact"/>
        <w:ind w:firstLine="480" w:firstLineChars="200"/>
        <w:rPr>
          <w:rFonts w:ascii="宋体" w:hAnsi="宋体" w:eastAsia="宋体" w:cs="宋体"/>
        </w:rPr>
      </w:pPr>
      <w:r>
        <w:rPr>
          <w:rFonts w:hint="eastAsia" w:ascii="宋体" w:hAnsi="宋体" w:cs="宋体"/>
          <w:sz w:val="24"/>
          <w:lang w:val="en-US" w:eastAsia="zh-CN"/>
        </w:rPr>
        <w:t>11.2 乙方需按照供货计划进行均衡交付，</w:t>
      </w:r>
      <w:r>
        <w:rPr>
          <w:rFonts w:hint="eastAsia" w:ascii="宋体" w:hAnsi="宋体" w:eastAsia="宋体" w:cs="宋体"/>
        </w:rPr>
        <w:t>因乙方原因导致甲方实际收货量不足每阶段供货计划的</w:t>
      </w:r>
      <w:r>
        <w:rPr>
          <w:rFonts w:ascii="宋体" w:hAnsi="宋体" w:eastAsia="宋体" w:cs="宋体"/>
        </w:rPr>
        <w:t>60%</w:t>
      </w:r>
      <w:r>
        <w:rPr>
          <w:rFonts w:hint="eastAsia" w:ascii="宋体" w:hAnsi="宋体" w:eastAsia="宋体" w:cs="宋体"/>
        </w:rPr>
        <w:t>的，甲方有权解除合同并按照本合同第1.3条约定向第三方寻源采购，数量为合同总量中乙方未完成部分，乙方则应按照以下计算方式向甲方承担违约金：甲方采购价格</w:t>
      </w:r>
      <w:r>
        <w:rPr>
          <w:rFonts w:hint="eastAsia" w:ascii="宋体" w:hAnsi="宋体" w:eastAsia="宋体" w:cs="宋体"/>
          <w:lang w:val="en-US" w:eastAsia="zh-CN"/>
        </w:rPr>
        <w:t>×</w:t>
      </w:r>
      <w:r>
        <w:rPr>
          <w:rFonts w:hint="eastAsia" w:ascii="宋体" w:hAnsi="宋体" w:eastAsia="宋体" w:cs="宋体"/>
        </w:rPr>
        <w:t>合同总量中乙方未完成部分。（取绝对值）</w:t>
      </w:r>
    </w:p>
    <w:p w14:paraId="3A0988E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3</w:t>
      </w:r>
      <w:r>
        <w:rPr>
          <w:rFonts w:hint="eastAsia" w:ascii="宋体" w:hAnsi="宋体" w:eastAsia="宋体" w:cs="宋体"/>
          <w:sz w:val="24"/>
        </w:rPr>
        <w:t>签订合同后，除甲方书面同意外，乙方单方面不履行合同或中途擅自中止/终止履行合同或任何形式的转包、分包行为，均视为违约，甲方有权解除合同，乙方应向甲方支付本合同总金额（合同基准单价</w:t>
      </w:r>
      <w:r>
        <w:rPr>
          <w:rFonts w:hint="eastAsia" w:ascii="宋体" w:hAnsi="宋体" w:eastAsia="宋体" w:cs="宋体"/>
          <w:sz w:val="24"/>
          <w:lang w:val="en-US" w:eastAsia="zh-CN"/>
        </w:rPr>
        <w:t>xxxx</w:t>
      </w:r>
      <w:r>
        <w:rPr>
          <w:rFonts w:hint="eastAsia" w:ascii="宋体" w:hAnsi="宋体" w:eastAsia="宋体" w:cs="宋体"/>
          <w:sz w:val="24"/>
        </w:rPr>
        <w:t>元/吨*本合同第2.1条约定的数量）</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%的</w:t>
      </w:r>
      <w:r>
        <w:rPr>
          <w:rFonts w:hint="eastAsia" w:ascii="宋体" w:hAnsi="宋体" w:eastAsia="宋体" w:cs="宋体"/>
          <w:sz w:val="24"/>
        </w:rPr>
        <w:t>违约金。</w:t>
      </w:r>
    </w:p>
    <w:p w14:paraId="3E05CA6E">
      <w:pPr>
        <w:spacing w:before="145" w:beforeLines="50" w:after="145" w:afterLines="50"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乙方提供的</w:t>
      </w:r>
      <w:r>
        <w:rPr>
          <w:rFonts w:hint="eastAsia" w:ascii="宋体" w:hAnsi="宋体" w:eastAsia="宋体" w:cs="宋体"/>
          <w:sz w:val="24"/>
          <w:lang w:val="en-US" w:eastAsia="zh-CN"/>
        </w:rPr>
        <w:t>煅后焦</w:t>
      </w:r>
      <w:r>
        <w:rPr>
          <w:rFonts w:hint="eastAsia" w:ascii="宋体" w:hAnsi="宋体" w:eastAsia="宋体" w:cs="宋体"/>
          <w:sz w:val="24"/>
        </w:rPr>
        <w:t>品质应符合1.3条规格要求，如果达不到合同约定的质量要求的，如甲方同意接收，应当按质论价；如甲方不同意接收的，甲方有权退货，乙方应当承担退货而产生的实际费用</w:t>
      </w:r>
      <w:r>
        <w:rPr>
          <w:rFonts w:hint="eastAsia" w:ascii="宋体" w:hAnsi="宋体" w:eastAsia="宋体" w:cs="宋体"/>
          <w:sz w:val="24"/>
          <w:lang w:eastAsia="zh-CN"/>
        </w:rPr>
        <w:t>。</w:t>
      </w:r>
    </w:p>
    <w:p w14:paraId="6407FEA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5</w:t>
      </w:r>
      <w:r>
        <w:rPr>
          <w:rFonts w:hint="eastAsia" w:ascii="宋体" w:hAnsi="宋体" w:eastAsia="宋体" w:cs="宋体"/>
          <w:sz w:val="24"/>
        </w:rPr>
        <w:t>甲方对乙方供应的</w:t>
      </w:r>
      <w:r>
        <w:rPr>
          <w:rFonts w:hint="eastAsia" w:ascii="宋体" w:hAnsi="宋体" w:eastAsia="宋体" w:cs="宋体"/>
          <w:sz w:val="24"/>
          <w:lang w:val="en-US" w:eastAsia="zh-CN"/>
        </w:rPr>
        <w:t>煅后焦</w:t>
      </w:r>
      <w:r>
        <w:rPr>
          <w:rFonts w:hint="eastAsia" w:ascii="宋体" w:hAnsi="宋体" w:eastAsia="宋体" w:cs="宋体"/>
          <w:sz w:val="24"/>
        </w:rPr>
        <w:t>进行监督检查，凡被甲方检查发现乙方供应的</w:t>
      </w:r>
      <w:r>
        <w:rPr>
          <w:rFonts w:hint="eastAsia" w:ascii="宋体" w:hAnsi="宋体" w:eastAsia="宋体" w:cs="宋体"/>
          <w:sz w:val="24"/>
          <w:lang w:val="en-US" w:eastAsia="zh-CN"/>
        </w:rPr>
        <w:t>煅后焦</w:t>
      </w:r>
      <w:r>
        <w:rPr>
          <w:rFonts w:hint="eastAsia" w:ascii="宋体" w:hAnsi="宋体" w:eastAsia="宋体" w:cs="宋体"/>
          <w:sz w:val="24"/>
        </w:rPr>
        <w:t>有掺假、杂质、夹层的车辆，甲方有权拒绝</w:t>
      </w:r>
      <w:r>
        <w:rPr>
          <w:rFonts w:hint="eastAsia" w:ascii="宋体" w:hAnsi="宋体" w:eastAsia="宋体" w:cs="宋体"/>
          <w:sz w:val="24"/>
          <w:lang w:val="en-US" w:eastAsia="zh-CN"/>
        </w:rPr>
        <w:t>接卸</w:t>
      </w:r>
      <w:r>
        <w:rPr>
          <w:rFonts w:hint="eastAsia" w:ascii="宋体" w:hAnsi="宋体" w:eastAsia="宋体" w:cs="宋体"/>
          <w:sz w:val="24"/>
        </w:rPr>
        <w:t>，已进厂卸车的，甲方有权对该车不予结算。因退货造成的损失，由乙方承担。本合同履行期间，甲方累计发现乙方供应的</w:t>
      </w:r>
      <w:r>
        <w:rPr>
          <w:rFonts w:hint="eastAsia" w:ascii="宋体" w:hAnsi="宋体" w:eastAsia="宋体" w:cs="宋体"/>
          <w:sz w:val="24"/>
          <w:lang w:val="en-US" w:eastAsia="zh-CN"/>
        </w:rPr>
        <w:t>煅后焦</w:t>
      </w:r>
      <w:r>
        <w:rPr>
          <w:rFonts w:hint="eastAsia" w:ascii="宋体" w:hAnsi="宋体" w:eastAsia="宋体" w:cs="宋体"/>
          <w:sz w:val="24"/>
        </w:rPr>
        <w:t>有掺假、夹层情形的次数达到3次的，甲方有权解除合同并按照本合同第1.3条约定向第三方寻源采购，数量为合同总量中乙方未完成部分，乙方则应按照以下计算方式向甲方承担违约金：甲方采购价格*合同总量中乙方未完成部分。（取绝对值）</w:t>
      </w:r>
    </w:p>
    <w:p w14:paraId="636F8C01">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6</w:t>
      </w:r>
      <w:r>
        <w:rPr>
          <w:rFonts w:hint="eastAsia" w:ascii="宋体" w:hAnsi="宋体" w:eastAsia="宋体" w:cs="宋体"/>
          <w:sz w:val="24"/>
        </w:rPr>
        <w:t>若甲方不能按照本合同第五条的约定付款的，则乙方有权从第5个工作日起按全国银行间同业拆借中心一年期贷款市场报价利率标准收取未付货款利息。</w:t>
      </w:r>
    </w:p>
    <w:p w14:paraId="47CF83F5">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7</w:t>
      </w:r>
      <w:r>
        <w:rPr>
          <w:rFonts w:hint="eastAsia" w:ascii="宋体" w:hAnsi="宋体" w:eastAsia="宋体" w:cs="宋体"/>
          <w:sz w:val="24"/>
        </w:rPr>
        <w:t>甲方可依据本合同规定，直接从乙方的应付账款及履约保证金中扣除乙方因索赔、违约责任与相关事宜所应当承担的款项。不足部分乙方应继续支付。</w:t>
      </w:r>
    </w:p>
    <w:p w14:paraId="15807643">
      <w:pPr>
        <w:widowControl/>
        <w:snapToGrid w:val="0"/>
        <w:spacing w:before="145" w:beforeLines="50" w:after="145" w:afterLines="50" w:line="440" w:lineRule="exact"/>
        <w:ind w:firstLine="200"/>
        <w:rPr>
          <w:rFonts w:ascii="宋体" w:hAnsi="宋体" w:eastAsia="宋体" w:cs="宋体"/>
          <w:b/>
          <w:bCs/>
          <w:kern w:val="0"/>
          <w:sz w:val="24"/>
        </w:rPr>
      </w:pPr>
      <w:r>
        <w:rPr>
          <w:rFonts w:hint="eastAsia" w:ascii="宋体" w:hAnsi="宋体" w:eastAsia="宋体" w:cs="宋体"/>
          <w:b/>
          <w:bCs/>
          <w:kern w:val="0"/>
          <w:sz w:val="24"/>
        </w:rPr>
        <w:t>第十二条 诚信自律</w:t>
      </w:r>
    </w:p>
    <w:p w14:paraId="500B749C">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甲乙双方承诺在业务往来期间严格遵守诚信自律协议约定，具体详见附件1《诚信自律特别协议》。</w:t>
      </w:r>
    </w:p>
    <w:p w14:paraId="06D3BC9E">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第十三条 不可抗力事件</w:t>
      </w:r>
    </w:p>
    <w:p w14:paraId="58FBAD94">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13.1 由于地震、台风、水灾、战争、因疫情防控原因造成的无法供货情况和国家宏观调控政策影响等以及其它不能预见并且对其发生或后果不能预防或避免的不可抗力事件，致使直接影响到本合同的履行或者无法按约定条件履行，遇不可抗力事件的一方应在15日内书面通知另一方，并提交由当地公证机关出具的不可抗力事件发生的有效证明。</w:t>
      </w:r>
    </w:p>
    <w:p w14:paraId="310E811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13.2 在受不可抗力事件影响的范围内，当事人可免除履行本合同的责任。</w:t>
      </w:r>
    </w:p>
    <w:p w14:paraId="5679B86A">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13.3不可抗力解除后，</w:t>
      </w:r>
      <w:r>
        <w:rPr>
          <w:rFonts w:hint="eastAsia" w:ascii="宋体" w:hAnsi="宋体" w:eastAsia="宋体" w:cs="宋体"/>
          <w:sz w:val="24"/>
          <w:lang w:eastAsia="zh-CN"/>
        </w:rPr>
        <w:t>甲</w:t>
      </w:r>
      <w:r>
        <w:rPr>
          <w:rFonts w:hint="eastAsia" w:ascii="宋体" w:hAnsi="宋体" w:eastAsia="宋体" w:cs="宋体"/>
          <w:sz w:val="24"/>
        </w:rPr>
        <w:t>、</w:t>
      </w:r>
      <w:r>
        <w:rPr>
          <w:rFonts w:hint="eastAsia" w:ascii="宋体" w:hAnsi="宋体" w:eastAsia="宋体" w:cs="宋体"/>
          <w:sz w:val="24"/>
          <w:lang w:eastAsia="zh-CN"/>
        </w:rPr>
        <w:t>乙</w:t>
      </w:r>
      <w:r>
        <w:rPr>
          <w:rFonts w:hint="eastAsia" w:ascii="宋体" w:hAnsi="宋体" w:eastAsia="宋体" w:cs="宋体"/>
          <w:sz w:val="24"/>
        </w:rPr>
        <w:t>双方是否延期履行、部分履行或取消履行本合同，双方应本着相互谅解、互惠互利原则协商确定。</w:t>
      </w:r>
    </w:p>
    <w:p w14:paraId="10D55041">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第十四条 争议的解决</w:t>
      </w:r>
    </w:p>
    <w:p w14:paraId="1819C5BC">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凡因本合同或与本合同有关而发生的争议，双方应友好协商解决。协商不成的，可向甲方所在地有管辖权的人民法院提起诉讼。</w:t>
      </w:r>
    </w:p>
    <w:p w14:paraId="3BAC122F">
      <w:pPr>
        <w:spacing w:before="145" w:beforeLines="50" w:after="145" w:afterLines="50" w:line="440" w:lineRule="exact"/>
        <w:ind w:firstLine="200"/>
        <w:rPr>
          <w:rFonts w:ascii="宋体" w:hAnsi="宋体" w:eastAsia="宋体" w:cs="宋体"/>
          <w:sz w:val="24"/>
        </w:rPr>
      </w:pPr>
      <w:r>
        <w:rPr>
          <w:rFonts w:hint="eastAsia" w:ascii="宋体" w:hAnsi="宋体" w:eastAsia="宋体" w:cs="宋体"/>
          <w:b/>
          <w:bCs/>
          <w:sz w:val="24"/>
        </w:rPr>
        <w:t>第十五条 生效及其它</w:t>
      </w:r>
    </w:p>
    <w:p w14:paraId="0BB9BFAA">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15.1 本合同经甲乙双方法定代表人或授权代表人签字并加盖合同专用章或公章后生效。</w:t>
      </w:r>
    </w:p>
    <w:p w14:paraId="6B9CE53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15.2 在本合同履行期间，乙方应根据甲方通知的时间和数量（</w:t>
      </w:r>
      <w:r>
        <w:rPr>
          <w:rFonts w:hint="eastAsia" w:ascii="宋体" w:hAnsi="宋体" w:eastAsia="宋体" w:cs="宋体"/>
          <w:sz w:val="24"/>
          <w:lang w:val="en-US" w:eastAsia="zh-CN"/>
        </w:rPr>
        <w:t>煅后焦</w:t>
      </w:r>
      <w:r>
        <w:rPr>
          <w:rFonts w:hint="eastAsia" w:ascii="宋体" w:hAnsi="宋体" w:eastAsia="宋体" w:cs="宋体"/>
          <w:sz w:val="24"/>
        </w:rPr>
        <w:t>）发运。本合同项下价格除非特别说明，否则均应为含税价。</w:t>
      </w:r>
    </w:p>
    <w:p w14:paraId="6BBEF34C">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15.3 在本合同履行期间，甲方可根据生产及库存情况，提前2日以书面或电话、微信等形式通知乙方供货。因甲方原因导致交货期延迟的，合同交货期顺延。</w:t>
      </w:r>
    </w:p>
    <w:p w14:paraId="7D98A2E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15.4 合同一经生效，任何一方不得擅自变更、修改和终止。如一方需要变更、修改和终止合同的，应当以书面形式向对方提出建议，经双方协商达成一致意见的，应订立补充协议或解除协议并经双方加盖合同印章确认或公章印章确认，视为本合同有效组成部分，与本合同具有同等效力。</w:t>
      </w:r>
    </w:p>
    <w:p w14:paraId="40B4429D">
      <w:pPr>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sz w:val="24"/>
        </w:rPr>
        <w:t>15.5 甲方履行本合同需以当面交付、邮寄、电子邮件将相关声明、资料、文</w:t>
      </w:r>
      <w:r>
        <w:rPr>
          <w:rFonts w:hint="eastAsia" w:ascii="宋体" w:hAnsi="宋体" w:eastAsia="宋体" w:cs="宋体"/>
          <w:color w:val="auto"/>
          <w:sz w:val="24"/>
        </w:rPr>
        <w:t>件通知乙方，乙方同意以下方式进行：</w:t>
      </w:r>
    </w:p>
    <w:p w14:paraId="70633FBF">
      <w:pPr>
        <w:spacing w:before="145" w:beforeLines="50" w:after="145" w:afterLines="50" w:line="440" w:lineRule="exact"/>
        <w:ind w:firstLine="480" w:firstLineChars="200"/>
        <w:rPr>
          <w:rFonts w:hint="eastAsia" w:ascii="宋体" w:hAnsi="宋体" w:eastAsia="宋体" w:cs="宋体"/>
          <w:color w:val="0000FF"/>
          <w:sz w:val="24"/>
        </w:rPr>
      </w:pPr>
      <w:r>
        <w:rPr>
          <w:rFonts w:hint="eastAsia" w:ascii="宋体" w:hAnsi="宋体" w:eastAsia="宋体" w:cs="宋体"/>
          <w:color w:val="auto"/>
          <w:sz w:val="24"/>
        </w:rPr>
        <w:t>15.5.1甲方以当面交付方式通知乙方的，联系人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xxxx</w:t>
      </w:r>
      <w:r>
        <w:rPr>
          <w:rFonts w:hint="eastAsia" w:ascii="宋体" w:hAnsi="宋体" w:eastAsia="宋体" w:cs="宋体"/>
          <w:color w:val="auto"/>
          <w:sz w:val="24"/>
          <w:lang w:eastAsia="zh-CN"/>
        </w:rPr>
        <w:t>，联系电话：</w:t>
      </w:r>
      <w:r>
        <w:rPr>
          <w:rFonts w:hint="eastAsia" w:ascii="宋体" w:hAnsi="宋体" w:eastAsia="宋体" w:cs="宋体"/>
          <w:color w:val="auto"/>
          <w:sz w:val="24"/>
          <w:lang w:val="en-US" w:eastAsia="zh-CN"/>
        </w:rPr>
        <w:t>xxxx</w:t>
      </w:r>
      <w:r>
        <w:rPr>
          <w:rFonts w:hint="eastAsia" w:ascii="宋体" w:hAnsi="宋体" w:eastAsia="宋体" w:cs="宋体"/>
          <w:color w:val="auto"/>
          <w:sz w:val="24"/>
        </w:rPr>
        <w:t>，自乙方联系人签字确认之时视为乙方已获悉该通知内容。</w:t>
      </w:r>
    </w:p>
    <w:p w14:paraId="2CE159BD">
      <w:pPr>
        <w:spacing w:before="145" w:beforeLines="50" w:after="145" w:afterLines="5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15.5.2甲方以邮寄方式通知乙方的，乙方邮寄地址为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xxxx</w:t>
      </w:r>
      <w:r>
        <w:rPr>
          <w:rFonts w:hint="eastAsia" w:ascii="宋体" w:hAnsi="宋体" w:eastAsia="宋体" w:cs="宋体"/>
          <w:color w:val="auto"/>
          <w:sz w:val="24"/>
        </w:rPr>
        <w:t>，自甲方按本条约定地址快递寄出后5日视为乙方已获悉该通知内容。</w:t>
      </w:r>
    </w:p>
    <w:p w14:paraId="4AE5D5E9">
      <w:pPr>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15.5.3甲方以电子邮件方式通知乙方的，乙方电子邮箱地址为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xxxx</w:t>
      </w:r>
      <w:r>
        <w:rPr>
          <w:rFonts w:hint="eastAsia" w:ascii="宋体" w:hAnsi="宋体" w:eastAsia="宋体" w:cs="宋体"/>
          <w:color w:val="auto"/>
          <w:sz w:val="24"/>
        </w:rPr>
        <w:t>，自甲方向本条约定邮箱发出邮件之时视为乙方已获悉该通知内容。</w:t>
      </w:r>
    </w:p>
    <w:p w14:paraId="65BAAB6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15.5.4甲方有权选择以上任意一种方式，乙方在接到甲方通知后应在 7日内作出书面答复；乙方未按本条约定进行答复的，视为承认并接受该通知内容，并承担由此产生的责任。</w:t>
      </w:r>
    </w:p>
    <w:p w14:paraId="5451C5C4">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15.5.5乙方联系人、邮寄地址、电子邮箱地址发生变更的，应在三日内以本合同约定方式通知甲方；若乙方未履行上述义务，应承担由此产生的责任。</w:t>
      </w:r>
    </w:p>
    <w:p w14:paraId="376FDA82">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15.6本合同正本壹式</w:t>
      </w:r>
      <w:r>
        <w:rPr>
          <w:rFonts w:hint="eastAsia" w:ascii="宋体" w:hAnsi="宋体" w:eastAsia="宋体" w:cs="宋体"/>
          <w:sz w:val="24"/>
          <w:lang w:val="en-US" w:eastAsia="zh-CN"/>
        </w:rPr>
        <w:t>贰</w:t>
      </w:r>
      <w:r>
        <w:rPr>
          <w:rFonts w:hint="eastAsia" w:ascii="宋体" w:hAnsi="宋体" w:eastAsia="宋体" w:cs="宋体"/>
          <w:sz w:val="24"/>
        </w:rPr>
        <w:t>份，甲方执壹份，乙方执壹份。</w:t>
      </w:r>
    </w:p>
    <w:p w14:paraId="28870D46">
      <w:pPr>
        <w:pStyle w:val="2"/>
        <w:spacing w:before="145" w:beforeLines="50" w:after="145" w:afterLines="50" w:line="440" w:lineRule="exact"/>
        <w:ind w:firstLine="240" w:firstLineChars="100"/>
        <w:jc w:val="both"/>
      </w:pPr>
      <w:r>
        <w:rPr>
          <w:rFonts w:hint="eastAsia" w:ascii="宋体" w:hAnsi="宋体" w:cs="宋体"/>
          <w:color w:val="auto"/>
        </w:rPr>
        <w:t>（以下无正文）</w:t>
      </w:r>
    </w:p>
    <w:p w14:paraId="094ADFFC">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附件1</w:t>
      </w:r>
      <w:r>
        <w:rPr>
          <w:rFonts w:hint="eastAsia" w:ascii="宋体" w:hAnsi="宋体" w:eastAsia="宋体" w:cs="宋体"/>
          <w:sz w:val="24"/>
          <w:lang w:eastAsia="zh-CN"/>
        </w:rPr>
        <w:t>：</w:t>
      </w:r>
      <w:r>
        <w:rPr>
          <w:rFonts w:hint="eastAsia" w:ascii="宋体" w:hAnsi="宋体" w:eastAsia="宋体" w:cs="宋体"/>
          <w:sz w:val="24"/>
        </w:rPr>
        <w:t>《诚信自律特别协议》</w:t>
      </w:r>
    </w:p>
    <w:p w14:paraId="44F2EE87">
      <w:pPr>
        <w:spacing w:before="145" w:beforeLines="50" w:after="145" w:afterLines="50" w:line="440" w:lineRule="exact"/>
        <w:ind w:firstLine="480" w:firstLineChars="200"/>
        <w:rPr>
          <w:rFonts w:hint="eastAsia" w:ascii="宋体" w:hAnsi="宋体" w:cs="宋体"/>
          <w:b/>
          <w:color w:val="auto"/>
          <w:kern w:val="2"/>
        </w:rPr>
      </w:pPr>
      <w:r>
        <w:rPr>
          <w:rFonts w:hint="eastAsia" w:ascii="宋体" w:hAnsi="宋体" w:eastAsia="宋体" w:cs="宋体"/>
          <w:sz w:val="24"/>
        </w:rPr>
        <w:t>附件</w:t>
      </w:r>
      <w:r>
        <w:rPr>
          <w:rFonts w:hint="eastAsia" w:ascii="宋体" w:hAnsi="宋体" w:eastAsia="宋体" w:cs="宋体"/>
          <w:sz w:val="24"/>
          <w:lang w:val="en-US" w:eastAsia="zh-CN"/>
        </w:rPr>
        <w:t>2：《煅后焦质量协议》</w:t>
      </w:r>
    </w:p>
    <w:p w14:paraId="410D1E61">
      <w:pPr>
        <w:pStyle w:val="2"/>
        <w:rPr>
          <w:rFonts w:hint="eastAsia" w:ascii="宋体" w:hAnsi="宋体" w:eastAsia="宋体" w:cs="宋体"/>
          <w:b/>
          <w:color w:val="auto"/>
          <w:kern w:val="2"/>
          <w:lang w:eastAsia="zh-CN"/>
        </w:rPr>
      </w:pPr>
      <w:r>
        <w:rPr>
          <w:rFonts w:hint="eastAsia" w:ascii="宋体" w:hAnsi="宋体" w:cs="宋体"/>
          <w:b/>
          <w:color w:val="auto"/>
          <w:kern w:val="2"/>
        </w:rPr>
        <w:t>附件1</w:t>
      </w:r>
      <w:r>
        <w:rPr>
          <w:rFonts w:hint="eastAsia" w:ascii="宋体" w:hAnsi="宋体" w:cs="宋体"/>
          <w:b/>
          <w:color w:val="auto"/>
          <w:kern w:val="2"/>
          <w:lang w:eastAsia="zh-CN"/>
        </w:rPr>
        <w:t>：</w:t>
      </w:r>
    </w:p>
    <w:p w14:paraId="4DCC54D2">
      <w:pPr>
        <w:spacing w:before="312" w:beforeLines="100" w:after="312" w:afterLines="100"/>
        <w:jc w:val="center"/>
        <w:rPr>
          <w:rFonts w:ascii="宋体" w:hAnsi="宋体" w:eastAsia="宋体" w:cs="宋体"/>
          <w:b/>
          <w:bCs/>
          <w:sz w:val="44"/>
          <w:szCs w:val="44"/>
        </w:rPr>
      </w:pPr>
      <w:r>
        <w:rPr>
          <w:rFonts w:hint="eastAsia" w:ascii="宋体" w:hAnsi="宋体" w:eastAsia="宋体" w:cs="宋体"/>
          <w:b/>
          <w:bCs/>
          <w:sz w:val="44"/>
          <w:szCs w:val="44"/>
        </w:rPr>
        <w:t>诚信自律特别协议</w:t>
      </w:r>
    </w:p>
    <w:p w14:paraId="74567B25">
      <w:pPr>
        <w:spacing w:line="440" w:lineRule="exact"/>
        <w:rPr>
          <w:rFonts w:ascii="宋体" w:hAnsi="宋体" w:eastAsia="宋体" w:cs="宋体"/>
          <w:sz w:val="24"/>
        </w:rPr>
      </w:pPr>
      <w:r>
        <w:rPr>
          <w:rFonts w:hint="eastAsia" w:ascii="宋体" w:hAnsi="宋体" w:eastAsia="宋体" w:cs="宋体"/>
          <w:sz w:val="24"/>
          <w:lang w:val="en-US" w:eastAsia="zh-CN"/>
        </w:rPr>
        <w:t>甲</w:t>
      </w:r>
      <w:r>
        <w:rPr>
          <w:rFonts w:hint="eastAsia" w:ascii="宋体" w:hAnsi="宋体" w:eastAsia="宋体" w:cs="宋体"/>
          <w:sz w:val="24"/>
        </w:rPr>
        <w:t>方：</w:t>
      </w:r>
      <w:r>
        <w:rPr>
          <w:rFonts w:hint="eastAsia" w:ascii="宋体" w:hAnsi="宋体" w:eastAsia="宋体" w:cs="宋体"/>
          <w:sz w:val="24"/>
          <w:u w:val="none"/>
        </w:rPr>
        <w:t>田林百矿田田碳素有限公司</w:t>
      </w:r>
    </w:p>
    <w:p w14:paraId="03DA4917">
      <w:pPr>
        <w:spacing w:before="156" w:beforeLines="50" w:after="156" w:afterLines="50"/>
        <w:rPr>
          <w:rFonts w:hint="default" w:ascii="宋体" w:hAnsi="宋体" w:eastAsia="宋体" w:cs="宋体"/>
          <w:color w:val="0000FF"/>
          <w:sz w:val="24"/>
          <w:lang w:val="en-US"/>
        </w:rPr>
      </w:pPr>
      <w:r>
        <w:rPr>
          <w:rFonts w:hint="eastAsia" w:ascii="宋体" w:hAnsi="宋体" w:eastAsia="宋体" w:cs="宋体"/>
          <w:sz w:val="24"/>
          <w:lang w:val="en-US" w:eastAsia="zh-CN"/>
        </w:rPr>
        <w:t>乙</w:t>
      </w:r>
      <w:r>
        <w:rPr>
          <w:rFonts w:hint="eastAsia" w:ascii="宋体" w:hAnsi="宋体" w:eastAsia="宋体" w:cs="宋体"/>
          <w:sz w:val="24"/>
        </w:rPr>
        <w:t>方：</w:t>
      </w:r>
      <w:r>
        <w:rPr>
          <w:rFonts w:hint="eastAsia" w:ascii="宋体" w:hAnsi="宋体" w:eastAsia="宋体" w:cs="宋体"/>
          <w:color w:val="auto"/>
          <w:sz w:val="24"/>
          <w:lang w:val="en-US" w:eastAsia="zh-CN"/>
        </w:rPr>
        <w:t>xxxx</w:t>
      </w:r>
    </w:p>
    <w:p w14:paraId="5E6FD175">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14:paraId="4B6BDF38">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第一条 诚信责任</w:t>
      </w:r>
    </w:p>
    <w:p w14:paraId="7208D437">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14:paraId="52C46C3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一）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p>
    <w:p w14:paraId="23666E4C">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（二）不得以任何理由为甲方人员报销应由甲方或个人支付的费用；</w:t>
      </w:r>
    </w:p>
    <w:p w14:paraId="4D545286">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（三）不得与甲方人员发生任何合资合作、借贷关系，也不得参与甲方人员的婚丧嫁娶活动；</w:t>
      </w:r>
    </w:p>
    <w:p w14:paraId="276B8724">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四）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14:paraId="1578FA6C">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（五）不得以任何理由为甲方人员提供黄赌毒等违法活动；</w:t>
      </w:r>
    </w:p>
    <w:p w14:paraId="13A49B72">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六）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14:paraId="635C413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（七）乙方不得以任何借口和理由给予甲方人员任何形式的利益或好处。乙方同意约束其工作人员遵守上述约定并为其工作人员行为后果负责。</w:t>
      </w:r>
    </w:p>
    <w:p w14:paraId="1A331C13">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第二条  违约责任</w:t>
      </w:r>
    </w:p>
    <w:p w14:paraId="08C50C51">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14:paraId="617B32BB">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2.2 甲方人员如有违反本诚信自律特别协议的，一经查实，甲方将对责任人给予警告、处分、直至解除劳动合同。涉嫌犯罪的，则送交司法机关追究其法律责任。</w:t>
      </w:r>
    </w:p>
    <w:p w14:paraId="4F6F1D9C">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14:paraId="2FE0882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2.4 如乙方违反本诚信自律特别协议的，应按以下对应情形向甲方承担违约责任且甲方有权从应付款项或各类保证金中直接扣除乙方应承担的赔偿金：</w:t>
      </w:r>
    </w:p>
    <w:p w14:paraId="6608CADF">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14:paraId="247F93F9">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乙方不配合调查或未提供证据的：甲方有权独立查实直至得出结论。如乙方违反本诚信自律特别协议的，甲方有权按合同金额的30%追究乙方违约责任；无法确定合同金额的，乙方应向甲方支付违约金30万元。涉嫌犯罪的，则送交司法机关追究其法律责任。</w:t>
      </w:r>
    </w:p>
    <w:p w14:paraId="5B9EB7E3">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2.5如乙方违反本诚信自律特别协议约定的，甲方均有权终止双方合作并将乙方列入黑名单、以后不再作为供应商纳入等处理措施。</w:t>
      </w:r>
    </w:p>
    <w:p w14:paraId="608B6264">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第三条  举报</w:t>
      </w:r>
    </w:p>
    <w:p w14:paraId="71CAEABE">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乙方可通过以下方式对甲方人员违反本诚信自律特别协议的行为如实举报或投诉，甲方受理渠道为：电话400-016-0023，邮箱</w:t>
      </w:r>
      <w:r>
        <w:fldChar w:fldCharType="begin"/>
      </w:r>
      <w:r>
        <w:instrText xml:space="preserve"> HYPERLINK "mailto:integrity@Geely.com" </w:instrText>
      </w:r>
      <w:r>
        <w:fldChar w:fldCharType="separate"/>
      </w:r>
      <w:r>
        <w:rPr>
          <w:rFonts w:hint="eastAsia" w:ascii="宋体" w:hAnsi="宋体" w:eastAsia="宋体" w:cs="宋体"/>
          <w:sz w:val="24"/>
        </w:rPr>
        <w:t>COC-t@Geely.com</w:t>
      </w:r>
      <w:r>
        <w:rPr>
          <w:rFonts w:hint="eastAsia" w:ascii="宋体" w:hAnsi="宋体" w:eastAsia="宋体" w:cs="宋体"/>
          <w:sz w:val="24"/>
        </w:rPr>
        <w:fldChar w:fldCharType="end"/>
      </w:r>
      <w:r>
        <w:rPr>
          <w:rFonts w:hint="eastAsia" w:ascii="宋体" w:hAnsi="宋体" w:eastAsia="宋体" w:cs="宋体"/>
          <w:sz w:val="24"/>
        </w:rPr>
        <w:t>。</w:t>
      </w:r>
    </w:p>
    <w:p w14:paraId="3DDB4BAD">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第四条  其他约定</w:t>
      </w:r>
    </w:p>
    <w:p w14:paraId="3962B339">
      <w:pPr>
        <w:adjustRightInd w:val="0"/>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4.1本合同正本壹式</w:t>
      </w:r>
      <w:r>
        <w:rPr>
          <w:rFonts w:hint="eastAsia" w:ascii="宋体" w:hAnsi="宋体" w:eastAsia="宋体" w:cs="宋体"/>
          <w:sz w:val="24"/>
          <w:lang w:val="en-US" w:eastAsia="zh-CN"/>
        </w:rPr>
        <w:t>贰</w:t>
      </w:r>
      <w:r>
        <w:rPr>
          <w:rFonts w:hint="eastAsia" w:ascii="宋体" w:hAnsi="宋体" w:eastAsia="宋体" w:cs="宋体"/>
          <w:sz w:val="24"/>
        </w:rPr>
        <w:t>份，甲方执壹份，乙方执壹份。</w:t>
      </w:r>
    </w:p>
    <w:p w14:paraId="142CEA21">
      <w:pPr>
        <w:adjustRightInd w:val="0"/>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4.2本诚信自律特别协议与业务合同具有同等法律效力，作为业务合同的附件。</w:t>
      </w:r>
    </w:p>
    <w:p w14:paraId="1159DDA2">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4.3业务</w:t>
      </w:r>
      <w:bookmarkStart w:id="1" w:name="_Hlk92788699"/>
      <w:r>
        <w:rPr>
          <w:rFonts w:hint="eastAsia" w:ascii="宋体" w:hAnsi="宋体" w:eastAsia="宋体" w:cs="宋体"/>
          <w:sz w:val="24"/>
        </w:rPr>
        <w:t>合同的变更、转让、终止或被撤销、无效不影响本诚信自律特别协议的效力。</w:t>
      </w:r>
      <w:bookmarkEnd w:id="1"/>
    </w:p>
    <w:p w14:paraId="2FDD26F0">
      <w:pPr>
        <w:spacing w:before="145" w:beforeLines="50" w:after="145" w:afterLines="50" w:line="440" w:lineRule="exact"/>
        <w:ind w:firstLine="480" w:firstLineChars="200"/>
        <w:rPr>
          <w:rFonts w:hint="eastAsia" w:ascii="宋体" w:hAnsi="宋体" w:cs="宋体"/>
          <w:b/>
          <w:bCs/>
          <w:color w:val="auto"/>
          <w:kern w:val="2"/>
        </w:rPr>
      </w:pPr>
      <w:r>
        <w:rPr>
          <w:rFonts w:hint="eastAsia" w:ascii="宋体" w:hAnsi="宋体" w:eastAsia="宋体" w:cs="宋体"/>
          <w:sz w:val="24"/>
        </w:rPr>
        <w:t>4.4本协议履行中任何争议均应向甲方所在地人民法院诉讼解决。</w:t>
      </w:r>
    </w:p>
    <w:p w14:paraId="5FEEAA19">
      <w:pPr>
        <w:rPr>
          <w:rFonts w:hint="eastAsia"/>
          <w:b/>
          <w:bCs/>
          <w:sz w:val="24"/>
          <w:szCs w:val="24"/>
          <w:lang w:val="en-US" w:eastAsia="zh-CN"/>
        </w:rPr>
      </w:pPr>
      <w:r>
        <w:rPr>
          <w:rFonts w:hint="eastAsia"/>
          <w:b/>
          <w:bCs/>
          <w:sz w:val="24"/>
          <w:szCs w:val="24"/>
          <w:lang w:val="en-US" w:eastAsia="zh-CN"/>
        </w:rPr>
        <w:t>附件2：</w:t>
      </w:r>
    </w:p>
    <w:p w14:paraId="4EBC1014">
      <w:pPr>
        <w:pStyle w:val="2"/>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煅后焦</w:t>
      </w:r>
      <w:r>
        <w:rPr>
          <w:rFonts w:hint="eastAsia" w:ascii="宋体" w:hAnsi="宋体" w:eastAsia="宋体" w:cs="宋体"/>
          <w:b/>
          <w:bCs/>
          <w:sz w:val="44"/>
          <w:szCs w:val="44"/>
          <w:lang w:val="en-US" w:eastAsia="zh-CN"/>
        </w:rPr>
        <w:t>质量协议</w:t>
      </w:r>
    </w:p>
    <w:p w14:paraId="5CEF5D64">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Style w:val="19"/>
          <w:rFonts w:hint="eastAsia" w:ascii="黑体" w:hAnsi="黑体" w:eastAsia="黑体" w:cs="黑体"/>
          <w:b w:val="0"/>
          <w:bCs/>
          <w:sz w:val="24"/>
          <w:szCs w:val="24"/>
          <w:lang w:val="en-US" w:eastAsia="zh-CN"/>
        </w:rPr>
      </w:pPr>
      <w:bookmarkStart w:id="2" w:name="_Toc16748"/>
      <w:r>
        <w:rPr>
          <w:rStyle w:val="19"/>
          <w:rFonts w:hint="eastAsia" w:ascii="黑体" w:hAnsi="黑体" w:eastAsia="黑体" w:cs="黑体"/>
          <w:b w:val="0"/>
          <w:bCs/>
          <w:sz w:val="24"/>
          <w:szCs w:val="24"/>
          <w:lang w:val="en-US" w:eastAsia="zh-CN"/>
        </w:rPr>
        <w:t>1煅后石油焦</w:t>
      </w:r>
    </w:p>
    <w:p w14:paraId="7073F63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1.1范围</w:t>
      </w:r>
    </w:p>
    <w:p w14:paraId="5E13817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本标准依据YS/T 625-2012预焙阳极用煅后石油焦，结合田田碳素实际生产运行情况编制，规定了煅后石油焦理化性能、检验频次及取样方法等要求。适用于田田碳素煅后石油焦的质量检验及质量验证。</w:t>
      </w:r>
    </w:p>
    <w:p w14:paraId="6FD23229">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1.2规范性引用文件</w:t>
      </w:r>
    </w:p>
    <w:p w14:paraId="41FCDB31">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下列文件中，除正在执行的合同中有明确规定外，其最新版本(包括所有的修改单)适用于本标准。该部分标准的引用，包括(但不限于)取样方法、检测方法、重复性、再现性、数值修约等规定要求。</w:t>
      </w:r>
    </w:p>
    <w:p w14:paraId="73B73B9F">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GB/T 8170 数值修约规则与极限数值的表示和判定</w:t>
      </w:r>
    </w:p>
    <w:p w14:paraId="2A51AB78">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YS/T 625-2012预焙阳极用煅后石油焦</w:t>
      </w:r>
    </w:p>
    <w:p w14:paraId="30E85E97">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YS/T 587.1-2006阳极用煅后石油焦检测方法 第1部分:灰分的测定</w:t>
      </w:r>
    </w:p>
    <w:p w14:paraId="284D2F29">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YS/T 587.2-2007炭阳极用煅后石油焦检测方法 第2部分:水分的测定</w:t>
      </w:r>
    </w:p>
    <w:p w14:paraId="43E784F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YS/T 587.3-2007炭阳极用后石油焦检测方法 第3部分:挥发分的测定</w:t>
      </w:r>
    </w:p>
    <w:p w14:paraId="4ED7AAEF">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YS/T 587.5-2024炭阳极用煅后石油焦检测方法 第5部分：微量元素的测定；或YS/T 63.16-2019铝用炭素材料检测方法 第16部份微量元素的测定：X射线荧光光谱分析方法</w:t>
      </w:r>
    </w:p>
    <w:p w14:paraId="63BD3853">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YS/T 587.6-2006炭阳极用煅后石油焦检测方法 第6部分:粉末电阻率的测定</w:t>
      </w:r>
    </w:p>
    <w:p w14:paraId="5BF2DC3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YS/T 587.9-2006炭阳极用煅后石油焦检测方法 第9部分:真密度的测定</w:t>
      </w:r>
    </w:p>
    <w:p w14:paraId="0BE6CB3E">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YS/T 587.10-2016炭阳极用煅后石油焦检测方法 第10部分:振实密度的测定</w:t>
      </w:r>
    </w:p>
    <w:p w14:paraId="44520594">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YS/T 587.12-2006炭阳极用煅后石油焦检测方法 第12部分:粒度分布的测定</w:t>
      </w:r>
    </w:p>
    <w:p w14:paraId="2E2AB17D">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YS/T 587.4-2006炭阳极用煅后石油焦检测方法 第4部分：硫含量的测定；或GB/T 214-2007煤中全硫的测定方法</w:t>
      </w:r>
    </w:p>
    <w:p w14:paraId="2582DEE5">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outlineLvl w:val="1"/>
        <w:rPr>
          <w:rStyle w:val="19"/>
          <w:rFonts w:hint="eastAsia" w:asciiTheme="minorEastAsia" w:hAnsiTheme="minorEastAsia" w:eastAsiaTheme="minorEastAsia" w:cstheme="minorEastAsia"/>
          <w:b w:val="0"/>
          <w:bCs/>
          <w:sz w:val="24"/>
          <w:szCs w:val="24"/>
          <w:lang w:val="en-US" w:eastAsia="zh-CN"/>
        </w:rPr>
      </w:pPr>
      <w:r>
        <w:rPr>
          <w:rStyle w:val="19"/>
          <w:rFonts w:hint="eastAsia" w:asciiTheme="minorEastAsia" w:hAnsiTheme="minorEastAsia" w:eastAsiaTheme="minorEastAsia" w:cstheme="minorEastAsia"/>
          <w:b w:val="0"/>
          <w:bCs/>
          <w:sz w:val="24"/>
          <w:szCs w:val="24"/>
          <w:lang w:val="en-US" w:eastAsia="zh-CN"/>
        </w:rPr>
        <w:t>固定碳检测方法:用检测出的水分含量、灰分含量、挥发分含量进行计算出焦炭固定碳含量。</w:t>
      </w:r>
    </w:p>
    <w:p w14:paraId="5A932729">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黑体" w:hAnsi="黑体" w:eastAsia="黑体" w:cs="黑体"/>
          <w:b w:val="0"/>
          <w:bCs/>
          <w:kern w:val="10"/>
          <w:sz w:val="24"/>
          <w:lang w:val="en-US" w:eastAsia="zh-CN"/>
        </w:rPr>
      </w:pPr>
      <w:r>
        <w:rPr>
          <w:rFonts w:hint="eastAsia" w:ascii="宋体" w:hAnsi="宋体" w:eastAsia="宋体" w:cs="宋体"/>
          <w:b/>
          <w:bCs w:val="0"/>
          <w:kern w:val="10"/>
          <w:sz w:val="24"/>
          <w:lang w:val="en-US" w:eastAsia="zh-CN"/>
        </w:rPr>
        <w:t>1.3技术要求和试验方法</w:t>
      </w:r>
      <w:bookmarkEnd w:id="2"/>
    </w:p>
    <w:p w14:paraId="6C7FAAB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黑体" w:hAnsi="黑体" w:eastAsia="黑体" w:cs="黑体"/>
          <w:b w:val="0"/>
          <w:bCs w:val="0"/>
          <w:color w:val="auto"/>
          <w:kern w:val="10"/>
          <w:sz w:val="24"/>
          <w:szCs w:val="22"/>
          <w:lang w:val="en-US" w:eastAsia="zh-CN" w:bidi="ar-SA"/>
        </w:rPr>
      </w:pPr>
      <w:r>
        <w:rPr>
          <w:rFonts w:hint="eastAsia" w:cs="宋体"/>
          <w:b w:val="0"/>
          <w:bCs w:val="0"/>
          <w:color w:val="auto"/>
          <w:kern w:val="10"/>
          <w:sz w:val="24"/>
          <w:szCs w:val="22"/>
          <w:lang w:val="en-US" w:eastAsia="zh-CN" w:bidi="ar-SA"/>
        </w:rPr>
        <w:t>煅后焦</w:t>
      </w:r>
      <w:r>
        <w:rPr>
          <w:rFonts w:hint="eastAsia" w:ascii="宋体" w:hAnsi="宋体" w:eastAsia="宋体" w:cs="Times New Roman"/>
          <w:kern w:val="10"/>
          <w:sz w:val="24"/>
          <w:lang w:val="en-US" w:eastAsia="zh-CN"/>
        </w:rPr>
        <w:t>的技术要求和试验方法应符合表1规定。</w:t>
      </w:r>
    </w:p>
    <w:p w14:paraId="67317367">
      <w:pPr>
        <w:pStyle w:val="7"/>
        <w:keepNext w:val="0"/>
        <w:keepLines w:val="0"/>
        <w:pageBreakBefore w:val="0"/>
        <w:widowControl w:val="0"/>
        <w:tabs>
          <w:tab w:val="left" w:pos="3330"/>
        </w:tabs>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bCs w:val="0"/>
          <w:kern w:val="10"/>
          <w:sz w:val="24"/>
          <w:lang w:val="en-US" w:eastAsia="zh-CN"/>
        </w:rPr>
      </w:pPr>
      <w:r>
        <w:rPr>
          <w:rFonts w:hint="eastAsia" w:ascii="宋体" w:hAnsi="宋体" w:eastAsia="宋体" w:cs="宋体"/>
          <w:b w:val="0"/>
          <w:bCs w:val="0"/>
          <w:color w:val="auto"/>
          <w:kern w:val="10"/>
          <w:sz w:val="24"/>
          <w:szCs w:val="22"/>
          <w:lang w:val="en-US" w:eastAsia="zh-CN" w:bidi="ar-SA"/>
        </w:rPr>
        <w:t>表1：</w:t>
      </w:r>
      <w:r>
        <w:rPr>
          <w:rFonts w:hint="eastAsia" w:cs="宋体"/>
          <w:b w:val="0"/>
          <w:bCs w:val="0"/>
          <w:color w:val="auto"/>
          <w:kern w:val="10"/>
          <w:sz w:val="24"/>
          <w:szCs w:val="22"/>
          <w:lang w:val="en-US" w:eastAsia="zh-CN" w:bidi="ar-SA"/>
        </w:rPr>
        <w:t>煅后焦</w:t>
      </w:r>
      <w:r>
        <w:rPr>
          <w:rFonts w:hint="eastAsia" w:ascii="宋体" w:hAnsi="宋体" w:eastAsia="宋体" w:cs="宋体"/>
          <w:b w:val="0"/>
          <w:bCs w:val="0"/>
          <w:color w:val="auto"/>
          <w:kern w:val="10"/>
          <w:sz w:val="24"/>
          <w:szCs w:val="22"/>
          <w:lang w:val="en-US" w:eastAsia="zh-CN" w:bidi="ar-SA"/>
        </w:rPr>
        <w:t>技术要求和试验方法</w:t>
      </w:r>
      <w:bookmarkStart w:id="3" w:name="_Toc841"/>
    </w:p>
    <w:tbl>
      <w:tblPr>
        <w:tblStyle w:val="14"/>
        <w:tblpPr w:leftFromText="180" w:rightFromText="180" w:vertAnchor="text" w:horzAnchor="page" w:tblpXSpec="center" w:tblpY="213"/>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506"/>
        <w:gridCol w:w="506"/>
        <w:gridCol w:w="506"/>
        <w:gridCol w:w="669"/>
        <w:gridCol w:w="616"/>
        <w:gridCol w:w="744"/>
        <w:gridCol w:w="581"/>
        <w:gridCol w:w="506"/>
        <w:gridCol w:w="581"/>
        <w:gridCol w:w="581"/>
        <w:gridCol w:w="581"/>
        <w:gridCol w:w="582"/>
        <w:gridCol w:w="951"/>
      </w:tblGrid>
      <w:tr w14:paraId="2BD3F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02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技术指标要求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1E0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水份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EDF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灰分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FA7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挥发份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898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粉末比电阻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361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真密度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0E7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sz w:val="24"/>
                <w:szCs w:val="24"/>
              </w:rPr>
              <w:t>振实密度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99D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硫分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F5B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固定碳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0F65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DDE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A79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E733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90B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粒度（1mm以下）</w:t>
            </w:r>
          </w:p>
        </w:tc>
      </w:tr>
      <w:tr w14:paraId="39556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7ED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01B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6B1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DD08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0EAD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181818"/>
                <w:sz w:val="22"/>
                <w:szCs w:val="22"/>
                <w:u w:val="none"/>
              </w:rPr>
            </w:pPr>
            <w:r>
              <w:rPr>
                <w:rStyle w:val="23"/>
                <w:rFonts w:hint="eastAsia" w:asciiTheme="minorEastAsia" w:hAnsiTheme="minorEastAsia" w:eastAsiaTheme="minorEastAsia" w:cstheme="minorEastAsia"/>
                <w:b w:val="0"/>
                <w:bCs w:val="0"/>
                <w:lang w:val="en-US" w:eastAsia="zh-CN" w:bidi="ar"/>
              </w:rPr>
              <w:t xml:space="preserve">µQ.      </w:t>
            </w:r>
            <w:r>
              <w:rPr>
                <w:rFonts w:hint="eastAsia" w:asciiTheme="minorEastAsia" w:hAnsiTheme="minorEastAsia" w:eastAsiaTheme="minorEastAsia" w:cstheme="minorEastAsia"/>
                <w:b w:val="0"/>
                <w:bCs w:val="0"/>
                <w:i w:val="0"/>
                <w:iCs w:val="0"/>
                <w:color w:val="181818"/>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E09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2A2A2A"/>
                <w:sz w:val="22"/>
                <w:szCs w:val="22"/>
                <w:u w:val="none"/>
              </w:rPr>
            </w:pP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 xml:space="preserve">g </w:t>
            </w: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 xml:space="preserve">/ </w:t>
            </w: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cm3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762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2A2A2A"/>
                <w:sz w:val="22"/>
                <w:szCs w:val="22"/>
                <w:u w:val="none"/>
              </w:rPr>
            </w:pP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 xml:space="preserve">g </w:t>
            </w: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 xml:space="preserve">/  </w:t>
            </w: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c m3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ED2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EC2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797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2A2A2A"/>
                <w:sz w:val="22"/>
                <w:szCs w:val="22"/>
                <w:u w:val="none"/>
              </w:rPr>
            </w:pP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ppm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AA53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2A2A2A"/>
                <w:sz w:val="22"/>
                <w:szCs w:val="22"/>
                <w:u w:val="none"/>
              </w:rPr>
            </w:pP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ppm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A5F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2A2A2A"/>
                <w:sz w:val="22"/>
                <w:szCs w:val="22"/>
                <w:u w:val="none"/>
              </w:rPr>
            </w:pP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ppm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041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181818"/>
                <w:sz w:val="22"/>
                <w:szCs w:val="22"/>
                <w:u w:val="none"/>
              </w:rPr>
            </w:pPr>
            <w:r>
              <w:rPr>
                <w:rFonts w:hint="eastAsia" w:asciiTheme="minorEastAsia" w:hAnsiTheme="minorEastAsia" w:eastAsiaTheme="minorEastAsia" w:cstheme="minorEastAsia"/>
                <w:b w:val="0"/>
                <w:bCs w:val="0"/>
                <w:i w:val="0"/>
                <w:iCs w:val="0"/>
                <w:color w:val="181818"/>
                <w:kern w:val="0"/>
                <w:sz w:val="22"/>
                <w:szCs w:val="22"/>
                <w:u w:val="none"/>
                <w:lang w:val="en-US" w:eastAsia="zh-CN" w:bidi="ar"/>
              </w:rPr>
              <w:t>ppm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D85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181818"/>
                <w:sz w:val="22"/>
                <w:szCs w:val="22"/>
                <w:u w:val="none"/>
              </w:rPr>
            </w:pPr>
            <w:r>
              <w:rPr>
                <w:rFonts w:hint="eastAsia" w:asciiTheme="minorEastAsia" w:hAnsiTheme="minorEastAsia" w:eastAsiaTheme="minorEastAsia" w:cstheme="minorEastAsia"/>
                <w:b w:val="0"/>
                <w:bCs w:val="0"/>
                <w:i w:val="0"/>
                <w:iCs w:val="0"/>
                <w:color w:val="181818"/>
                <w:kern w:val="0"/>
                <w:sz w:val="22"/>
                <w:szCs w:val="22"/>
                <w:u w:val="none"/>
                <w:lang w:val="en-US" w:eastAsia="zh-CN" w:bidi="ar"/>
              </w:rPr>
              <w:t>％</w:t>
            </w:r>
          </w:p>
        </w:tc>
      </w:tr>
      <w:tr w14:paraId="567DC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400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4B8FED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Style w:val="23"/>
                <w:rFonts w:hint="eastAsia" w:asciiTheme="minorEastAsia" w:hAnsiTheme="minorEastAsia" w:eastAsiaTheme="minorEastAsia" w:cstheme="minorEastAsia"/>
                <w:b w:val="0"/>
                <w:bCs w:val="0"/>
                <w:lang w:val="en-US" w:eastAsia="zh-CN" w:bidi="ar"/>
              </w:rPr>
              <w:t>≤0</w:t>
            </w: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 xml:space="preserve">. </w:t>
            </w: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4FE21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Style w:val="23"/>
                <w:rFonts w:hint="eastAsia" w:asciiTheme="minorEastAsia" w:hAnsiTheme="minorEastAsia" w:eastAsiaTheme="minorEastAsia" w:cstheme="minorEastAsia"/>
                <w:b w:val="0"/>
                <w:bCs w:val="0"/>
                <w:lang w:val="en-US" w:eastAsia="zh-CN" w:bidi="ar"/>
              </w:rPr>
              <w:t>≤0</w:t>
            </w: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 xml:space="preserve">. </w:t>
            </w: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4B074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Style w:val="23"/>
                <w:rFonts w:hint="eastAsia" w:asciiTheme="minorEastAsia" w:hAnsiTheme="minorEastAsia" w:eastAsiaTheme="minorEastAsia" w:cstheme="minorEastAsia"/>
                <w:b w:val="0"/>
                <w:bCs w:val="0"/>
                <w:lang w:val="en-US" w:eastAsia="zh-CN" w:bidi="ar"/>
              </w:rPr>
              <w:t>≤0</w:t>
            </w: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 xml:space="preserve">. </w:t>
            </w:r>
            <w:r>
              <w:rPr>
                <w:rFonts w:hint="eastAsia" w:asciiTheme="minorEastAsia" w:hAnsiTheme="minorEastAsia" w:eastAsiaTheme="minorEastAsia" w:cstheme="minorEastAsia"/>
                <w:b w:val="0"/>
                <w:bCs w:val="0"/>
                <w:i w:val="0"/>
                <w:iCs w:val="0"/>
                <w:color w:val="2A2A2A"/>
                <w:kern w:val="0"/>
                <w:sz w:val="22"/>
                <w:szCs w:val="22"/>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3FB66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566B3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Style w:val="24"/>
                <w:rFonts w:hint="eastAsia" w:asciiTheme="minorEastAsia" w:hAnsiTheme="minorEastAsia" w:eastAsiaTheme="minorEastAsia" w:cstheme="minorEastAsia"/>
                <w:b w:val="0"/>
                <w:bCs w:val="0"/>
                <w:lang w:val="en-US" w:eastAsia="zh-CN" w:bidi="ar"/>
              </w:rPr>
              <w:t>≥2</w:t>
            </w: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 xml:space="preserve">. </w:t>
            </w:r>
            <w:r>
              <w:rPr>
                <w:rStyle w:val="23"/>
                <w:rFonts w:hint="eastAsia" w:asciiTheme="minorEastAsia" w:hAnsiTheme="minorEastAsia" w:eastAsiaTheme="minorEastAsia" w:cstheme="minorEastAsia"/>
                <w:b w:val="0"/>
                <w:bCs w:val="0"/>
                <w:lang w:val="en-US" w:eastAsia="zh-CN" w:bidi="ar"/>
              </w:rPr>
              <w:t>06</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3E8F90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≥0.83</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5609D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CBA6A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≥98</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065D0C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≤480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3A9465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≤400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BBA6F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≤300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0B190A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≤300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6F911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2"/>
                <w:szCs w:val="22"/>
                <w:u w:val="none"/>
              </w:rPr>
            </w:pPr>
            <w:r>
              <w:rPr>
                <w:rFonts w:hint="eastAsia" w:asciiTheme="minorEastAsia" w:hAnsiTheme="minorEastAsia" w:eastAsiaTheme="minorEastAsia" w:cstheme="minorEastAsia"/>
                <w:b w:val="0"/>
                <w:bCs w:val="0"/>
                <w:i w:val="0"/>
                <w:iCs w:val="0"/>
                <w:color w:val="4B4B4B"/>
                <w:kern w:val="0"/>
                <w:sz w:val="22"/>
                <w:szCs w:val="22"/>
                <w:u w:val="none"/>
                <w:lang w:val="en-US" w:eastAsia="zh-CN" w:bidi="ar"/>
              </w:rPr>
              <w:t>≤40</w:t>
            </w:r>
          </w:p>
        </w:tc>
      </w:tr>
      <w:tr w14:paraId="3C96B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0" w:type="auto"/>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6DD03A8">
            <w:pPr>
              <w:keepNext w:val="0"/>
              <w:keepLines w:val="0"/>
              <w:widowControl/>
              <w:suppressLineNumbers w:val="0"/>
              <w:jc w:val="both"/>
              <w:rPr>
                <w:rFonts w:hint="eastAsia" w:ascii="宋体" w:hAnsi="宋体" w:eastAsia="宋体" w:cs="宋体"/>
                <w:i w:val="0"/>
                <w:iCs w:val="0"/>
                <w:color w:val="4B4B4B"/>
                <w:sz w:val="22"/>
                <w:szCs w:val="22"/>
                <w:u w:val="none"/>
              </w:rPr>
            </w:pPr>
            <w:r>
              <w:rPr>
                <w:rStyle w:val="25"/>
                <w:lang w:val="en-US" w:eastAsia="zh-CN" w:bidi="ar"/>
              </w:rPr>
              <w:t xml:space="preserve">检测标准 </w:t>
            </w:r>
            <w:r>
              <w:rPr>
                <w:rStyle w:val="26"/>
                <w:color w:val="auto"/>
                <w:lang w:val="en-US" w:eastAsia="zh-CN" w:bidi="ar"/>
              </w:rPr>
              <w:t xml:space="preserve">： </w:t>
            </w:r>
            <w:r>
              <w:rPr>
                <w:rStyle w:val="25"/>
                <w:color w:val="auto"/>
                <w:lang w:val="en-US" w:eastAsia="zh-CN" w:bidi="ar"/>
              </w:rPr>
              <w:t>执行</w:t>
            </w:r>
            <w:r>
              <w:rPr>
                <w:rStyle w:val="25"/>
                <w:rFonts w:hint="default"/>
                <w:color w:val="auto"/>
                <w:lang w:val="en-US" w:eastAsia="zh-CN" w:bidi="ar"/>
              </w:rPr>
              <w:t>YS/T 625-2012</w:t>
            </w:r>
            <w:r>
              <w:rPr>
                <w:rFonts w:hint="default" w:ascii="Times New Roman" w:hAnsi="Times New Roman" w:eastAsia="宋体" w:cs="Times New Roman"/>
                <w:color w:val="auto"/>
                <w:kern w:val="0"/>
                <w:sz w:val="26"/>
                <w:szCs w:val="26"/>
                <w:lang w:val="en-US" w:eastAsia="zh-CN" w:bidi="ar"/>
              </w:rPr>
              <w:t xml:space="preserve"> </w:t>
            </w:r>
            <w:r>
              <w:rPr>
                <w:rStyle w:val="27"/>
                <w:rFonts w:eastAsia="宋体"/>
                <w:color w:val="auto"/>
                <w:lang w:val="en-US" w:eastAsia="zh-CN" w:bidi="ar"/>
              </w:rPr>
              <w:t xml:space="preserve"> </w:t>
            </w:r>
            <w:r>
              <w:rPr>
                <w:rStyle w:val="25"/>
                <w:color w:val="auto"/>
                <w:lang w:val="en-US" w:eastAsia="zh-CN" w:bidi="ar"/>
              </w:rPr>
              <w:t>《</w:t>
            </w:r>
            <w:r>
              <w:rPr>
                <w:rStyle w:val="25"/>
                <w:rFonts w:hint="eastAsia"/>
                <w:color w:val="auto"/>
                <w:lang w:val="en-US" w:eastAsia="zh-CN" w:bidi="ar"/>
              </w:rPr>
              <w:t>预焙阳极用煅后石油焦</w:t>
            </w:r>
            <w:r>
              <w:rPr>
                <w:rStyle w:val="25"/>
                <w:color w:val="auto"/>
                <w:lang w:val="en-US" w:eastAsia="zh-CN" w:bidi="ar"/>
              </w:rPr>
              <w:t>》标准。</w:t>
            </w:r>
          </w:p>
        </w:tc>
      </w:tr>
    </w:tbl>
    <w:p w14:paraId="48230F5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黑体" w:hAnsi="黑体" w:eastAsia="黑体" w:cs="黑体"/>
          <w:b w:val="0"/>
          <w:bCs/>
          <w:kern w:val="10"/>
          <w:sz w:val="24"/>
          <w:lang w:val="en-US" w:eastAsia="zh-CN"/>
        </w:rPr>
      </w:pPr>
      <w:r>
        <w:rPr>
          <w:rFonts w:hint="eastAsia" w:ascii="宋体" w:hAnsi="宋体" w:eastAsia="宋体" w:cs="宋体"/>
          <w:b/>
          <w:bCs w:val="0"/>
          <w:kern w:val="10"/>
          <w:sz w:val="24"/>
          <w:lang w:val="en-US" w:eastAsia="zh-CN"/>
        </w:rPr>
        <w:t>1.4检验规则</w:t>
      </w:r>
      <w:bookmarkEnd w:id="3"/>
    </w:p>
    <w:p w14:paraId="7874282A">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1.4.1检测和验收</w:t>
      </w:r>
    </w:p>
    <w:p w14:paraId="200B6AFF">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宋体" w:hAnsi="宋体" w:eastAsia="宋体" w:cs="Times New Roman"/>
          <w:b w:val="0"/>
          <w:bCs w:val="0"/>
          <w:kern w:val="10"/>
          <w:sz w:val="24"/>
          <w:lang w:val="en-US" w:eastAsia="zh-CN"/>
        </w:rPr>
        <w:t>1.4.1.1</w:t>
      </w:r>
      <w:r>
        <w:rPr>
          <w:rFonts w:hint="eastAsia" w:cs="宋体"/>
          <w:b w:val="0"/>
          <w:bCs w:val="0"/>
          <w:color w:val="auto"/>
          <w:kern w:val="10"/>
          <w:sz w:val="24"/>
          <w:szCs w:val="22"/>
          <w:lang w:val="en-US" w:eastAsia="zh-CN" w:bidi="ar-SA"/>
        </w:rPr>
        <w:t>煅后焦</w:t>
      </w:r>
      <w:r>
        <w:rPr>
          <w:rFonts w:hint="eastAsia" w:ascii="宋体" w:hAnsi="宋体" w:eastAsia="宋体" w:cs="Times New Roman"/>
          <w:b w:val="0"/>
          <w:bCs w:val="0"/>
          <w:kern w:val="10"/>
          <w:sz w:val="24"/>
          <w:lang w:val="en-US" w:eastAsia="zh-CN"/>
        </w:rPr>
        <w:t>由甲方在甲方仓库内进行抽样检验。如检验结果与本合同的规定不符时，应及时向乙方提出，乙方收到甲方质量异常反馈后，应在3个工作日内处理，否则视为默认甲方提出的异议和处理意见。</w:t>
      </w:r>
    </w:p>
    <w:p w14:paraId="4BF0B08A">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color w:val="auto"/>
          <w:kern w:val="10"/>
          <w:sz w:val="24"/>
          <w:highlight w:val="none"/>
          <w:lang w:val="en-US" w:eastAsia="zh-CN"/>
        </w:rPr>
      </w:pPr>
      <w:r>
        <w:rPr>
          <w:rFonts w:hint="eastAsia" w:ascii="宋体" w:hAnsi="宋体" w:eastAsia="宋体" w:cs="Times New Roman"/>
          <w:b w:val="0"/>
          <w:bCs w:val="0"/>
          <w:kern w:val="10"/>
          <w:sz w:val="24"/>
          <w:lang w:val="en-US" w:eastAsia="zh-CN"/>
        </w:rPr>
        <w:t>1.4.1.2必要时，甲方可依据订货单（或合同）约定，进入乙方现场对拟交货的产品进行供货前的检查。</w:t>
      </w:r>
    </w:p>
    <w:p w14:paraId="1C63FDC7">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color w:val="auto"/>
          <w:kern w:val="10"/>
          <w:sz w:val="24"/>
          <w:highlight w:val="none"/>
          <w:lang w:val="en-US" w:eastAsia="zh-CN"/>
        </w:rPr>
      </w:pPr>
      <w:r>
        <w:rPr>
          <w:rFonts w:hint="eastAsia" w:ascii="宋体" w:hAnsi="宋体" w:eastAsia="宋体" w:cs="Times New Roman"/>
          <w:b/>
          <w:bCs w:val="0"/>
          <w:color w:val="auto"/>
          <w:kern w:val="10"/>
          <w:sz w:val="24"/>
          <w:highlight w:val="none"/>
          <w:lang w:val="en-US" w:eastAsia="zh-CN"/>
        </w:rPr>
        <w:t>1.4.2组批</w:t>
      </w:r>
    </w:p>
    <w:p w14:paraId="203109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val="0"/>
          <w:color w:val="auto"/>
          <w:kern w:val="10"/>
          <w:sz w:val="24"/>
          <w:szCs w:val="24"/>
          <w:highlight w:val="none"/>
          <w:lang w:val="en-US" w:eastAsia="zh-CN"/>
        </w:rPr>
      </w:pPr>
      <w:r>
        <w:rPr>
          <w:rFonts w:hint="eastAsia" w:ascii="宋体" w:hAnsi="宋体" w:eastAsia="宋体" w:cs="Times New Roman"/>
          <w:b w:val="0"/>
          <w:bCs w:val="0"/>
          <w:color w:val="auto"/>
          <w:kern w:val="10"/>
          <w:sz w:val="24"/>
          <w:highlight w:val="none"/>
          <w:lang w:val="en-US" w:eastAsia="zh-CN"/>
        </w:rPr>
        <w:t>1.4.2.1</w:t>
      </w:r>
      <w:r>
        <w:rPr>
          <w:rFonts w:hint="eastAsia" w:ascii="宋体" w:hAnsi="宋体" w:eastAsia="宋体" w:cs="Times New Roman"/>
          <w:b w:val="0"/>
          <w:bCs w:val="0"/>
          <w:color w:val="auto"/>
          <w:kern w:val="10"/>
          <w:sz w:val="24"/>
          <w:szCs w:val="24"/>
          <w:highlight w:val="none"/>
          <w:lang w:val="en-US" w:eastAsia="zh-CN"/>
        </w:rPr>
        <w:t>煅后焦的取样检验，每车取样，每10车（约300吨）组批检验一次（连续两日内到货量不足10车的同样组批检测）。</w:t>
      </w:r>
    </w:p>
    <w:p w14:paraId="68E25036">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1.4.2.2煅后焦在使用过程中出现质量问题时，可不定时进行取样检验，若为煅后焦质量存在问题的，由乙方承担对甲方造成的损失。</w:t>
      </w:r>
    </w:p>
    <w:p w14:paraId="1F30C8E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1.4.3 检验项目</w:t>
      </w:r>
    </w:p>
    <w:p w14:paraId="6E6D2D4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lang w:val="en-US" w:eastAsia="zh-CN"/>
        </w:rPr>
        <w:t>煅后焦</w:t>
      </w:r>
      <w:r>
        <w:rPr>
          <w:rFonts w:hint="eastAsia" w:ascii="宋体" w:hAnsi="宋体" w:eastAsia="宋体" w:cs="Times New Roman"/>
          <w:kern w:val="10"/>
          <w:sz w:val="24"/>
          <w:highlight w:val="none"/>
          <w:lang w:val="en-US" w:eastAsia="zh-CN"/>
        </w:rPr>
        <w:t>需检测</w:t>
      </w:r>
      <w:r>
        <w:rPr>
          <w:rFonts w:hint="eastAsia" w:ascii="宋体" w:hAnsi="宋体" w:eastAsia="宋体" w:cs="宋体"/>
          <w:sz w:val="24"/>
        </w:rPr>
        <w:t>硫分、</w:t>
      </w:r>
      <w:r>
        <w:rPr>
          <w:rFonts w:hint="eastAsia" w:ascii="宋体" w:hAnsi="宋体" w:eastAsia="宋体" w:cs="宋体"/>
          <w:sz w:val="24"/>
          <w:lang w:val="en-US" w:eastAsia="zh-CN"/>
        </w:rPr>
        <w:t>灰分、水分</w:t>
      </w:r>
      <w:r>
        <w:rPr>
          <w:rFonts w:hint="eastAsia" w:ascii="宋体" w:hAnsi="宋体" w:eastAsia="宋体" w:cs="宋体"/>
          <w:sz w:val="24"/>
        </w:rPr>
        <w:t>、</w:t>
      </w:r>
      <w:r>
        <w:rPr>
          <w:rFonts w:hint="eastAsia" w:ascii="宋体" w:hAnsi="宋体" w:eastAsia="宋体" w:cs="宋体"/>
          <w:sz w:val="24"/>
          <w:lang w:val="en-US" w:eastAsia="zh-CN"/>
        </w:rPr>
        <w:t>振实密度</w:t>
      </w:r>
      <w:r>
        <w:rPr>
          <w:rFonts w:hint="eastAsia" w:ascii="宋体" w:hAnsi="宋体" w:eastAsia="宋体" w:cs="宋体"/>
          <w:sz w:val="24"/>
        </w:rPr>
        <w:t>、</w:t>
      </w:r>
      <w:r>
        <w:rPr>
          <w:rFonts w:hint="eastAsia" w:ascii="宋体" w:hAnsi="宋体" w:eastAsia="宋体" w:cs="宋体"/>
          <w:sz w:val="24"/>
          <w:lang w:val="en-US" w:eastAsia="zh-CN"/>
        </w:rPr>
        <w:t>真密度</w:t>
      </w:r>
      <w:r>
        <w:rPr>
          <w:rFonts w:hint="eastAsia" w:ascii="宋体" w:hAnsi="宋体" w:eastAsia="宋体" w:cs="宋体"/>
          <w:sz w:val="24"/>
        </w:rPr>
        <w:t>、</w:t>
      </w:r>
      <w:r>
        <w:rPr>
          <w:rFonts w:hint="eastAsia" w:ascii="宋体" w:hAnsi="宋体" w:eastAsia="宋体" w:cs="宋体"/>
          <w:sz w:val="24"/>
          <w:lang w:val="en-US" w:eastAsia="zh-CN"/>
        </w:rPr>
        <w:t>粉末比电阻、固定碳、矾</w:t>
      </w:r>
      <w:r>
        <w:rPr>
          <w:rFonts w:hint="eastAsia" w:ascii="宋体" w:hAnsi="宋体" w:eastAsia="宋体" w:cs="Times New Roman"/>
          <w:kern w:val="10"/>
          <w:sz w:val="24"/>
          <w:highlight w:val="none"/>
          <w:lang w:val="en-US" w:eastAsia="zh-CN"/>
        </w:rPr>
        <w:t>、铁、硅、钠、粒度等。</w:t>
      </w:r>
    </w:p>
    <w:p w14:paraId="58C1466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1.4.4取样和制样</w:t>
      </w:r>
    </w:p>
    <w:p w14:paraId="217450A8">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lang w:val="en-US" w:eastAsia="zh-CN"/>
        </w:rPr>
        <w:t>1.4.4.1</w:t>
      </w:r>
      <w:r>
        <w:rPr>
          <w:rFonts w:hint="eastAsia" w:ascii="宋体" w:hAnsi="宋体" w:eastAsia="宋体" w:cs="Times New Roman"/>
          <w:b w:val="0"/>
          <w:bCs w:val="0"/>
          <w:kern w:val="10"/>
          <w:sz w:val="24"/>
          <w:highlight w:val="none"/>
          <w:lang w:val="en-US" w:eastAsia="zh-CN"/>
        </w:rPr>
        <w:t>到货取样和制样，按照合同</w:t>
      </w:r>
      <w:r>
        <w:rPr>
          <w:rFonts w:hint="eastAsia" w:ascii="宋体" w:hAnsi="宋体" w:eastAsia="宋体" w:cs="宋体"/>
          <w:sz w:val="24"/>
          <w:highlight w:val="none"/>
        </w:rPr>
        <w:t>7.5.1</w:t>
      </w:r>
      <w:r>
        <w:rPr>
          <w:rFonts w:hint="eastAsia" w:ascii="宋体" w:hAnsi="宋体" w:eastAsia="宋体" w:cs="Times New Roman"/>
          <w:b w:val="0"/>
          <w:bCs w:val="0"/>
          <w:kern w:val="10"/>
          <w:sz w:val="24"/>
          <w:highlight w:val="none"/>
          <w:lang w:val="en-US" w:eastAsia="zh-CN"/>
        </w:rPr>
        <w:t>的约定进行。</w:t>
      </w:r>
    </w:p>
    <w:p w14:paraId="51E9C594">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 xml:space="preserve">1.4.4.2 煅后焦封存试样保存期限不少于3个月。 </w:t>
      </w:r>
    </w:p>
    <w:p w14:paraId="152657A8">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bCs/>
          <w:kern w:val="10"/>
          <w:sz w:val="24"/>
          <w:lang w:val="en-US" w:eastAsia="zh-CN"/>
        </w:rPr>
      </w:pPr>
      <w:r>
        <w:rPr>
          <w:rFonts w:hint="eastAsia" w:ascii="宋体" w:hAnsi="宋体" w:eastAsia="宋体" w:cs="Times New Roman"/>
          <w:b/>
          <w:bCs/>
          <w:kern w:val="10"/>
          <w:sz w:val="24"/>
          <w:lang w:val="en-US" w:eastAsia="zh-CN"/>
        </w:rPr>
        <w:t>1.4.5复检</w:t>
      </w:r>
    </w:p>
    <w:p w14:paraId="0DF05B98">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default" w:ascii="宋体" w:hAnsi="宋体" w:eastAsia="宋体" w:cs="Times New Roman"/>
          <w:b w:val="0"/>
          <w:bCs w:val="0"/>
          <w:kern w:val="10"/>
          <w:sz w:val="24"/>
          <w:highlight w:val="none"/>
          <w:lang w:val="en-US" w:eastAsia="zh-CN"/>
        </w:rPr>
      </w:pPr>
      <w:r>
        <w:rPr>
          <w:rFonts w:hint="eastAsia" w:cs="Times New Roman"/>
          <w:b w:val="0"/>
          <w:bCs w:val="0"/>
          <w:kern w:val="10"/>
          <w:sz w:val="24"/>
          <w:highlight w:val="none"/>
          <w:lang w:val="en-US" w:eastAsia="zh-CN"/>
        </w:rPr>
        <w:t>1</w:t>
      </w:r>
      <w:r>
        <w:rPr>
          <w:rFonts w:hint="eastAsia" w:ascii="宋体" w:hAnsi="宋体" w:eastAsia="宋体" w:cs="Times New Roman"/>
          <w:b w:val="0"/>
          <w:bCs w:val="0"/>
          <w:kern w:val="10"/>
          <w:sz w:val="24"/>
          <w:highlight w:val="none"/>
          <w:lang w:val="en-US" w:eastAsia="zh-CN"/>
        </w:rPr>
        <w:t>.4.5.1复检方式：</w:t>
      </w:r>
      <w:r>
        <w:rPr>
          <w:rFonts w:hint="eastAsia" w:cs="Times New Roman"/>
          <w:b w:val="0"/>
          <w:bCs w:val="0"/>
          <w:kern w:val="10"/>
          <w:sz w:val="24"/>
          <w:highlight w:val="none"/>
          <w:lang w:val="en-US" w:eastAsia="zh-CN"/>
        </w:rPr>
        <w:t>甲乙</w:t>
      </w:r>
      <w:r>
        <w:rPr>
          <w:rFonts w:hint="eastAsia" w:ascii="宋体" w:hAnsi="宋体" w:eastAsia="宋体" w:cs="Times New Roman"/>
          <w:b w:val="0"/>
          <w:bCs w:val="0"/>
          <w:kern w:val="10"/>
          <w:sz w:val="24"/>
          <w:highlight w:val="none"/>
          <w:lang w:val="en-US" w:eastAsia="zh-CN"/>
        </w:rPr>
        <w:t>双方在验收过程中就质量问题发生争议时，</w:t>
      </w:r>
      <w:r>
        <w:rPr>
          <w:rFonts w:hint="eastAsia" w:cs="Times New Roman"/>
          <w:b w:val="0"/>
          <w:bCs w:val="0"/>
          <w:kern w:val="10"/>
          <w:sz w:val="24"/>
          <w:highlight w:val="none"/>
          <w:lang w:val="en-US" w:eastAsia="zh-CN"/>
        </w:rPr>
        <w:t>乙方</w:t>
      </w:r>
      <w:r>
        <w:rPr>
          <w:rFonts w:hint="eastAsia" w:ascii="宋体" w:hAnsi="宋体" w:eastAsia="宋体" w:cs="Times New Roman"/>
          <w:b w:val="0"/>
          <w:bCs w:val="0"/>
          <w:kern w:val="10"/>
          <w:sz w:val="24"/>
          <w:highlight w:val="none"/>
          <w:lang w:val="en-US" w:eastAsia="zh-CN"/>
        </w:rPr>
        <w:t>需在3个工作日内，以函件的方式向</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提出复检申请。复检优先选择在</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实验室进行，当争议较大或</w:t>
      </w:r>
      <w:r>
        <w:rPr>
          <w:rFonts w:hint="eastAsia" w:cs="Times New Roman"/>
          <w:b w:val="0"/>
          <w:bCs w:val="0"/>
          <w:kern w:val="10"/>
          <w:sz w:val="24"/>
          <w:highlight w:val="none"/>
          <w:lang w:val="en-US" w:eastAsia="zh-CN"/>
        </w:rPr>
        <w:t>乙方</w:t>
      </w:r>
      <w:r>
        <w:rPr>
          <w:rFonts w:hint="eastAsia" w:ascii="宋体" w:hAnsi="宋体" w:eastAsia="宋体" w:cs="Times New Roman"/>
          <w:b w:val="0"/>
          <w:bCs w:val="0"/>
          <w:kern w:val="10"/>
          <w:sz w:val="24"/>
          <w:highlight w:val="none"/>
          <w:lang w:val="en-US" w:eastAsia="zh-CN"/>
        </w:rPr>
        <w:t>有充分理由时，也可选择在双方认可的具有资质的第三方实验室进行复检（由</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在</w:t>
      </w:r>
      <w:r>
        <w:rPr>
          <w:rFonts w:hint="eastAsia" w:cs="Times New Roman"/>
          <w:b w:val="0"/>
          <w:bCs w:val="0"/>
          <w:kern w:val="10"/>
          <w:sz w:val="24"/>
          <w:highlight w:val="none"/>
          <w:lang w:val="en-US" w:eastAsia="zh-CN"/>
        </w:rPr>
        <w:t>甲乙</w:t>
      </w:r>
      <w:r>
        <w:rPr>
          <w:rFonts w:hint="eastAsia" w:ascii="宋体" w:hAnsi="宋体" w:eastAsia="宋体" w:cs="Times New Roman"/>
          <w:b w:val="0"/>
          <w:bCs w:val="0"/>
          <w:kern w:val="10"/>
          <w:sz w:val="24"/>
          <w:highlight w:val="none"/>
          <w:lang w:val="en-US" w:eastAsia="zh-CN"/>
        </w:rPr>
        <w:t>双方认可的具有资质的第三方实验室中随机选择一家进行复检）。以上复检方式只可选择其中一种，不可两种同时进行。</w:t>
      </w:r>
      <w:r>
        <w:rPr>
          <w:rFonts w:hint="eastAsia" w:cs="Times New Roman"/>
          <w:b w:val="0"/>
          <w:bCs w:val="0"/>
          <w:kern w:val="10"/>
          <w:sz w:val="24"/>
          <w:highlight w:val="none"/>
          <w:lang w:val="en-US" w:eastAsia="zh-CN"/>
        </w:rPr>
        <w:t>因水分会随外界环境变化，水分不接受复检申请。</w:t>
      </w:r>
    </w:p>
    <w:p w14:paraId="487CF788">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val="0"/>
          <w:bCs w:val="0"/>
          <w:kern w:val="10"/>
          <w:sz w:val="24"/>
          <w:highlight w:val="none"/>
          <w:lang w:val="en-US" w:eastAsia="zh-CN"/>
        </w:rPr>
      </w:pPr>
      <w:r>
        <w:rPr>
          <w:rFonts w:hint="eastAsia" w:cs="Times New Roman"/>
          <w:b w:val="0"/>
          <w:bCs w:val="0"/>
          <w:kern w:val="10"/>
          <w:sz w:val="24"/>
          <w:highlight w:val="none"/>
          <w:lang w:val="en-US" w:eastAsia="zh-CN"/>
        </w:rPr>
        <w:t>1</w:t>
      </w:r>
      <w:r>
        <w:rPr>
          <w:rFonts w:hint="eastAsia" w:ascii="宋体" w:hAnsi="宋体" w:eastAsia="宋体" w:cs="Times New Roman"/>
          <w:b w:val="0"/>
          <w:bCs w:val="0"/>
          <w:kern w:val="10"/>
          <w:sz w:val="24"/>
          <w:highlight w:val="none"/>
          <w:lang w:val="en-US" w:eastAsia="zh-CN"/>
        </w:rPr>
        <w:t>.4.5.2复检样品：采用</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到货验收时的封存样品进行复检。</w:t>
      </w:r>
    </w:p>
    <w:p w14:paraId="02F879DA">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val="0"/>
          <w:bCs w:val="0"/>
          <w:color w:val="auto"/>
          <w:kern w:val="10"/>
          <w:sz w:val="24"/>
          <w:highlight w:val="none"/>
          <w:lang w:val="en-US" w:eastAsia="zh-CN"/>
        </w:rPr>
      </w:pPr>
      <w:r>
        <w:rPr>
          <w:rFonts w:hint="eastAsia" w:cs="Times New Roman"/>
          <w:b w:val="0"/>
          <w:bCs w:val="0"/>
          <w:color w:val="auto"/>
          <w:kern w:val="10"/>
          <w:sz w:val="24"/>
          <w:highlight w:val="none"/>
          <w:lang w:val="en-US" w:eastAsia="zh-CN"/>
        </w:rPr>
        <w:t>1</w:t>
      </w:r>
      <w:r>
        <w:rPr>
          <w:rFonts w:hint="eastAsia" w:ascii="宋体" w:hAnsi="宋体" w:eastAsia="宋体" w:cs="Times New Roman"/>
          <w:b w:val="0"/>
          <w:bCs w:val="0"/>
          <w:color w:val="auto"/>
          <w:kern w:val="10"/>
          <w:sz w:val="24"/>
          <w:highlight w:val="none"/>
          <w:lang w:val="en-US" w:eastAsia="zh-CN"/>
        </w:rPr>
        <w:t>.4.5.3复检结果的应用：以复检结果为结算依据</w:t>
      </w:r>
      <w:r>
        <w:rPr>
          <w:rFonts w:hint="eastAsia" w:cs="Times New Roman"/>
          <w:b w:val="0"/>
          <w:bCs w:val="0"/>
          <w:color w:val="auto"/>
          <w:kern w:val="10"/>
          <w:sz w:val="24"/>
          <w:highlight w:val="none"/>
          <w:lang w:val="en-US" w:eastAsia="zh-CN"/>
        </w:rPr>
        <w:t>1</w:t>
      </w:r>
      <w:r>
        <w:rPr>
          <w:rFonts w:hint="eastAsia" w:ascii="宋体" w:hAnsi="宋体" w:eastAsia="宋体" w:cs="Times New Roman"/>
          <w:b w:val="0"/>
          <w:bCs w:val="0"/>
          <w:color w:val="auto"/>
          <w:kern w:val="10"/>
          <w:sz w:val="24"/>
          <w:highlight w:val="none"/>
          <w:lang w:val="en-US" w:eastAsia="zh-CN"/>
        </w:rPr>
        <w:t>.4.5.4复检费用：在</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实验室进行复检的，复检费用由</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承担；由具有资质的第三方实验室复检的，复检费用由提出异议方承担。</w:t>
      </w:r>
    </w:p>
    <w:p w14:paraId="75F2926D">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1.4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6</w:t>
      </w:r>
      <w:r>
        <w:rPr>
          <w:rFonts w:hint="eastAsia" w:ascii="宋体" w:hAnsi="宋体" w:eastAsia="宋体" w:cs="Times New Roman"/>
          <w:b/>
          <w:kern w:val="10"/>
          <w:sz w:val="24"/>
          <w:szCs w:val="24"/>
          <w:lang w:val="en-US" w:eastAsia="zh-CN" w:bidi="ar-SA"/>
        </w:rPr>
        <w:t>检验结果的判定</w:t>
      </w:r>
    </w:p>
    <w:p w14:paraId="06BD2A2C">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eastAsia" w:ascii="宋体" w:hAnsi="宋体" w:eastAsia="宋体" w:cs="Times New Roman"/>
          <w:b w:val="0"/>
          <w:bCs w:val="0"/>
          <w:kern w:val="10"/>
          <w:sz w:val="24"/>
          <w:szCs w:val="24"/>
          <w:lang w:val="en-US" w:eastAsia="zh-CN" w:bidi="ar-SA"/>
        </w:rPr>
        <w:t>验收过程中，出现</w:t>
      </w:r>
      <w:r>
        <w:rPr>
          <w:rFonts w:hint="default" w:ascii="宋体" w:hAnsi="宋体" w:eastAsia="宋体" w:cs="Times New Roman"/>
          <w:b w:val="0"/>
          <w:bCs w:val="0"/>
          <w:kern w:val="10"/>
          <w:sz w:val="24"/>
          <w:szCs w:val="24"/>
          <w:lang w:val="en-US" w:eastAsia="zh-CN" w:bidi="ar-SA"/>
        </w:rPr>
        <w:t>任何</w:t>
      </w:r>
      <w:r>
        <w:rPr>
          <w:rFonts w:hint="eastAsia" w:ascii="宋体" w:hAnsi="宋体" w:eastAsia="宋体" w:cs="Times New Roman"/>
          <w:b w:val="0"/>
          <w:bCs w:val="0"/>
          <w:kern w:val="10"/>
          <w:sz w:val="24"/>
          <w:szCs w:val="24"/>
          <w:lang w:val="en-US" w:eastAsia="zh-CN" w:bidi="ar-SA"/>
        </w:rPr>
        <w:t>一</w:t>
      </w:r>
      <w:r>
        <w:rPr>
          <w:rFonts w:hint="default" w:ascii="宋体" w:hAnsi="宋体" w:eastAsia="宋体" w:cs="Times New Roman"/>
          <w:b w:val="0"/>
          <w:bCs w:val="0"/>
          <w:kern w:val="10"/>
          <w:sz w:val="24"/>
          <w:szCs w:val="24"/>
          <w:lang w:val="en-US" w:eastAsia="zh-CN" w:bidi="ar-SA"/>
        </w:rPr>
        <w:t>项</w:t>
      </w:r>
      <w:r>
        <w:rPr>
          <w:rFonts w:hint="eastAsia" w:ascii="宋体" w:hAnsi="宋体" w:eastAsia="宋体" w:cs="Times New Roman"/>
          <w:b w:val="0"/>
          <w:bCs w:val="0"/>
          <w:kern w:val="10"/>
          <w:sz w:val="24"/>
          <w:szCs w:val="24"/>
          <w:lang w:val="en-US" w:eastAsia="zh-CN" w:bidi="ar-SA"/>
        </w:rPr>
        <w:t>质量指标</w:t>
      </w:r>
      <w:r>
        <w:rPr>
          <w:rFonts w:hint="default" w:ascii="宋体" w:hAnsi="宋体" w:eastAsia="宋体" w:cs="Times New Roman"/>
          <w:b w:val="0"/>
          <w:bCs w:val="0"/>
          <w:kern w:val="10"/>
          <w:sz w:val="24"/>
          <w:szCs w:val="24"/>
          <w:lang w:val="en-US" w:eastAsia="zh-CN" w:bidi="ar-SA"/>
        </w:rPr>
        <w:t>不合格，</w:t>
      </w:r>
      <w:r>
        <w:rPr>
          <w:rFonts w:hint="eastAsia" w:ascii="宋体" w:hAnsi="宋体" w:eastAsia="宋体" w:cs="Times New Roman"/>
          <w:b w:val="0"/>
          <w:bCs w:val="0"/>
          <w:kern w:val="10"/>
          <w:sz w:val="24"/>
          <w:szCs w:val="24"/>
          <w:lang w:val="en-US" w:eastAsia="zh-CN" w:bidi="ar-SA"/>
        </w:rPr>
        <w:t>判定该批次</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szCs w:val="24"/>
          <w:lang w:val="en-US" w:eastAsia="zh-CN" w:bidi="ar-SA"/>
        </w:rPr>
        <w:t>不合格。</w:t>
      </w:r>
    </w:p>
    <w:p w14:paraId="569C8DF8">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1.4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7</w:t>
      </w:r>
      <w:r>
        <w:rPr>
          <w:rFonts w:hint="eastAsia" w:ascii="宋体" w:hAnsi="宋体" w:eastAsia="宋体" w:cs="Times New Roman"/>
          <w:b/>
          <w:kern w:val="10"/>
          <w:sz w:val="24"/>
          <w:szCs w:val="24"/>
          <w:lang w:val="en-US" w:eastAsia="zh-CN" w:bidi="ar-SA"/>
        </w:rPr>
        <w:t>外观质量</w:t>
      </w:r>
    </w:p>
    <w:p w14:paraId="33BEFE03">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eastAsia" w:cs="Times New Roman"/>
          <w:b w:val="0"/>
          <w:bCs w:val="0"/>
          <w:kern w:val="10"/>
          <w:sz w:val="24"/>
          <w:szCs w:val="24"/>
          <w:lang w:val="en-US" w:eastAsia="zh-CN" w:bidi="ar-SA"/>
        </w:rPr>
        <w:t>煅后焦</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中出现焦泥、沥青、弹丸焦</w:t>
      </w:r>
      <w:r>
        <w:rPr>
          <w:rFonts w:hint="eastAsia" w:cs="Times New Roman"/>
          <w:b w:val="0"/>
          <w:bCs w:val="0"/>
          <w:color w:val="000000" w:themeColor="text1"/>
          <w:kern w:val="10"/>
          <w:sz w:val="24"/>
          <w:szCs w:val="24"/>
          <w:lang w:val="en-US" w:eastAsia="zh-CN" w:bidi="ar-SA"/>
          <w14:textFill>
            <w14:solidFill>
              <w14:schemeClr w14:val="tx1"/>
            </w14:solidFill>
          </w14:textFill>
        </w:rPr>
        <w:t>（形状呈圆球形、表面光亮、结构致密）</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及非</w:t>
      </w:r>
      <w:r>
        <w:rPr>
          <w:rFonts w:hint="eastAsia" w:cs="Times New Roman"/>
          <w:b w:val="0"/>
          <w:bCs w:val="0"/>
          <w:kern w:val="10"/>
          <w:sz w:val="24"/>
          <w:szCs w:val="24"/>
          <w:lang w:val="en-US" w:eastAsia="zh-CN" w:bidi="ar-SA"/>
        </w:rPr>
        <w:t>煅后焦</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物质，</w:t>
      </w:r>
      <w:r>
        <w:rPr>
          <w:rFonts w:hint="eastAsia" w:cs="Times New Roman"/>
          <w:b w:val="0"/>
          <w:bCs w:val="0"/>
          <w:color w:val="000000" w:themeColor="text1"/>
          <w:kern w:val="10"/>
          <w:sz w:val="24"/>
          <w:szCs w:val="24"/>
          <w:lang w:val="en-US" w:eastAsia="zh-CN" w:bidi="ar-SA"/>
          <w14:textFill>
            <w14:solidFill>
              <w14:schemeClr w14:val="tx1"/>
            </w14:solidFill>
          </w14:textFill>
        </w:rPr>
        <w:t>作退货处理，因退货对甲方造成影响的，由乙方承担相关责任及赔偿相应损失。</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p>
    <w:p w14:paraId="1CBF904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4" w:name="_Toc26198"/>
      <w:r>
        <w:rPr>
          <w:rFonts w:hint="eastAsia" w:ascii="宋体" w:hAnsi="宋体" w:eastAsia="宋体" w:cs="宋体"/>
          <w:b/>
          <w:bCs w:val="0"/>
          <w:kern w:val="10"/>
          <w:sz w:val="24"/>
          <w:lang w:val="en-US" w:eastAsia="zh-CN"/>
        </w:rPr>
        <w:t>1.5随行文件</w:t>
      </w:r>
      <w:bookmarkEnd w:id="4"/>
    </w:p>
    <w:p w14:paraId="351191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每批到货</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应附有质量证明书等，应注明：</w:t>
      </w:r>
      <w:r>
        <w:rPr>
          <w:rFonts w:hint="eastAsia" w:asciiTheme="majorEastAsia" w:hAnsiTheme="majorEastAsia" w:eastAsiaTheme="majorEastAsia" w:cstheme="majorEastAsia"/>
          <w:b w:val="0"/>
          <w:bCs w:val="0"/>
          <w:kern w:val="10"/>
          <w:sz w:val="24"/>
          <w:lang w:val="en-US" w:eastAsia="zh-CN"/>
        </w:rPr>
        <w:t>①乙方</w:t>
      </w:r>
      <w:r>
        <w:rPr>
          <w:rFonts w:hint="eastAsia" w:ascii="宋体" w:hAnsi="宋体" w:eastAsia="宋体" w:cs="Times New Roman"/>
          <w:b w:val="0"/>
          <w:bCs w:val="0"/>
          <w:kern w:val="10"/>
          <w:sz w:val="24"/>
          <w:lang w:val="en-US" w:eastAsia="zh-CN"/>
        </w:rPr>
        <w:t>信息；</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lang w:val="en-US" w:eastAsia="zh-CN"/>
        </w:rPr>
        <w:t>产品名称和牌号；</w:t>
      </w:r>
      <w:r>
        <w:rPr>
          <w:rFonts w:hint="eastAsia" w:asciiTheme="majorEastAsia" w:hAnsiTheme="majorEastAsia" w:eastAsiaTheme="majorEastAsia" w:cstheme="majorEastAsia"/>
          <w:b w:val="0"/>
          <w:bCs w:val="0"/>
          <w:kern w:val="10"/>
          <w:sz w:val="24"/>
          <w:lang w:val="en-US" w:eastAsia="zh-CN"/>
        </w:rPr>
        <w:t>③</w:t>
      </w:r>
      <w:r>
        <w:rPr>
          <w:rFonts w:hint="eastAsia" w:ascii="宋体" w:hAnsi="宋体" w:eastAsia="宋体" w:cs="Times New Roman"/>
          <w:b w:val="0"/>
          <w:bCs w:val="0"/>
          <w:kern w:val="10"/>
          <w:sz w:val="24"/>
          <w:lang w:val="en-US" w:eastAsia="zh-CN"/>
        </w:rPr>
        <w:t>批号、净含量；</w:t>
      </w:r>
      <w:r>
        <w:rPr>
          <w:rFonts w:hint="eastAsia" w:ascii="宋体" w:hAnsi="宋体" w:eastAsia="宋体" w:cs="宋体"/>
          <w:b w:val="0"/>
          <w:bCs w:val="0"/>
          <w:kern w:val="10"/>
          <w:sz w:val="24"/>
          <w:lang w:val="en-US" w:eastAsia="zh-CN"/>
        </w:rPr>
        <w:t>④</w:t>
      </w:r>
      <w:r>
        <w:rPr>
          <w:rFonts w:hint="eastAsia" w:ascii="宋体" w:hAnsi="宋体" w:eastAsia="宋体" w:cs="Times New Roman"/>
          <w:b w:val="0"/>
          <w:bCs w:val="0"/>
          <w:kern w:val="10"/>
          <w:sz w:val="24"/>
          <w:lang w:val="en-US" w:eastAsia="zh-CN"/>
        </w:rPr>
        <w:t>分析检验结果及乙方技术（质量）监督部门印记；</w:t>
      </w:r>
      <w:r>
        <w:rPr>
          <w:rFonts w:hint="eastAsia" w:ascii="宋体" w:hAnsi="宋体" w:eastAsia="宋体" w:cs="宋体"/>
          <w:b w:val="0"/>
          <w:bCs w:val="0"/>
          <w:kern w:val="10"/>
          <w:sz w:val="24"/>
          <w:lang w:val="en-US" w:eastAsia="zh-CN"/>
        </w:rPr>
        <w:t>⑤</w:t>
      </w:r>
      <w:r>
        <w:rPr>
          <w:rFonts w:hint="eastAsia" w:ascii="宋体" w:hAnsi="宋体" w:eastAsia="宋体" w:cs="Times New Roman"/>
          <w:b w:val="0"/>
          <w:bCs w:val="0"/>
          <w:kern w:val="10"/>
          <w:sz w:val="24"/>
          <w:lang w:val="en-US" w:eastAsia="zh-CN"/>
        </w:rPr>
        <w:t>执行标准号；</w:t>
      </w:r>
      <w:r>
        <w:rPr>
          <w:rFonts w:hint="eastAsia" w:ascii="宋体" w:hAnsi="宋体" w:eastAsia="宋体" w:cs="宋体"/>
          <w:b w:val="0"/>
          <w:bCs w:val="0"/>
          <w:kern w:val="10"/>
          <w:sz w:val="24"/>
          <w:lang w:val="en-US" w:eastAsia="zh-CN"/>
        </w:rPr>
        <w:t>⑥</w:t>
      </w:r>
      <w:r>
        <w:rPr>
          <w:rFonts w:hint="eastAsia" w:ascii="宋体" w:hAnsi="宋体" w:eastAsia="宋体" w:cs="Times New Roman"/>
          <w:b w:val="0"/>
          <w:bCs w:val="0"/>
          <w:kern w:val="10"/>
          <w:sz w:val="24"/>
          <w:lang w:val="en-US" w:eastAsia="zh-CN"/>
        </w:rPr>
        <w:t>生产日期。</w:t>
      </w:r>
    </w:p>
    <w:p w14:paraId="61AD58F9">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5" w:name="_Toc20013"/>
      <w:r>
        <w:rPr>
          <w:rFonts w:hint="eastAsia" w:ascii="宋体" w:hAnsi="宋体" w:eastAsia="宋体" w:cs="宋体"/>
          <w:b/>
          <w:bCs w:val="0"/>
          <w:kern w:val="10"/>
          <w:sz w:val="24"/>
          <w:lang w:val="en-US" w:eastAsia="zh-CN"/>
        </w:rPr>
        <w:t>1.6包装、运输和贮存</w:t>
      </w:r>
      <w:bookmarkEnd w:id="5"/>
    </w:p>
    <w:p w14:paraId="4E87E751">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1.6.1</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发运时，车厢内应清扫干净。</w:t>
      </w:r>
    </w:p>
    <w:p w14:paraId="343151C2">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1.6.2</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应分批堆放在清洁、干燥的仓库内，不应污染。</w:t>
      </w:r>
    </w:p>
    <w:p w14:paraId="2F4BD9B8">
      <w:pPr>
        <w:keepNext w:val="0"/>
        <w:keepLines w:val="0"/>
        <w:pageBreakBefore w:val="0"/>
        <w:widowControl w:val="0"/>
        <w:tabs>
          <w:tab w:val="left" w:pos="567"/>
        </w:tabs>
        <w:kinsoku/>
        <w:wordWrap/>
        <w:overflowPunct/>
        <w:topLinePunct w:val="0"/>
        <w:autoSpaceDE/>
        <w:autoSpaceDN/>
        <w:bidi w:val="0"/>
        <w:adjustRightInd/>
        <w:snapToGrid w:val="0"/>
        <w:spacing w:line="460" w:lineRule="exact"/>
        <w:textAlignment w:val="auto"/>
        <w:outlineLvl w:val="9"/>
        <w:rPr>
          <w:rFonts w:hint="eastAsia" w:ascii="宋体" w:hAnsi="宋体" w:eastAsia="宋体" w:cs="宋体"/>
          <w:b/>
          <w:bCs w:val="0"/>
          <w:color w:val="auto"/>
          <w:kern w:val="10"/>
          <w:sz w:val="24"/>
          <w:lang w:val="en-US" w:eastAsia="zh-CN"/>
        </w:rPr>
      </w:pPr>
      <w:r>
        <w:rPr>
          <w:rFonts w:hint="eastAsia" w:ascii="宋体" w:hAnsi="宋体" w:eastAsia="宋体" w:cs="Times New Roman"/>
          <w:b w:val="0"/>
          <w:bCs w:val="0"/>
          <w:kern w:val="10"/>
          <w:sz w:val="24"/>
          <w:lang w:val="en-US" w:eastAsia="zh-CN"/>
        </w:rPr>
        <w:t>1.6.3</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运输过程应做好防雨、防尘防护。</w:t>
      </w:r>
      <w:r>
        <w:rPr>
          <w:rFonts w:hint="eastAsia" w:ascii="宋体" w:hAnsi="宋体" w:eastAsia="宋体" w:cs="Times New Roman"/>
          <w:kern w:val="10"/>
          <w:sz w:val="24"/>
          <w:szCs w:val="24"/>
          <w:lang w:eastAsia="zh-CN"/>
        </w:rPr>
        <w:t>投标方</w:t>
      </w:r>
      <w:r>
        <w:rPr>
          <w:rFonts w:hint="eastAsia" w:ascii="宋体" w:hAnsi="宋体" w:eastAsia="宋体" w:cs="Times New Roman"/>
          <w:color w:val="auto"/>
          <w:kern w:val="10"/>
          <w:sz w:val="24"/>
          <w:szCs w:val="24"/>
        </w:rPr>
        <w:t>运抵现场的</w:t>
      </w:r>
      <w:r>
        <w:rPr>
          <w:rFonts w:hint="eastAsia" w:ascii="宋体" w:hAnsi="宋体" w:eastAsia="宋体" w:cs="Times New Roman"/>
          <w:kern w:val="10"/>
          <w:sz w:val="24"/>
          <w:szCs w:val="24"/>
          <w:lang w:val="en-US" w:eastAsia="zh-CN"/>
        </w:rPr>
        <w:t>煅后焦</w:t>
      </w:r>
      <w:r>
        <w:rPr>
          <w:rFonts w:hint="eastAsia" w:ascii="宋体" w:hAnsi="宋体" w:eastAsia="宋体" w:cs="Times New Roman"/>
          <w:color w:val="auto"/>
          <w:kern w:val="10"/>
          <w:sz w:val="24"/>
          <w:szCs w:val="24"/>
        </w:rPr>
        <w:t>不得有</w:t>
      </w:r>
      <w:r>
        <w:rPr>
          <w:rFonts w:hint="eastAsia" w:ascii="宋体" w:hAnsi="宋体" w:eastAsia="宋体" w:cs="Times New Roman"/>
          <w:color w:val="auto"/>
          <w:kern w:val="10"/>
          <w:sz w:val="24"/>
          <w:szCs w:val="24"/>
          <w:lang w:val="en-US" w:eastAsia="zh-CN"/>
        </w:rPr>
        <w:t>散落</w:t>
      </w:r>
      <w:r>
        <w:rPr>
          <w:rFonts w:hint="eastAsia" w:ascii="宋体" w:hAnsi="宋体" w:eastAsia="宋体" w:cs="Times New Roman"/>
          <w:color w:val="auto"/>
          <w:kern w:val="10"/>
          <w:sz w:val="24"/>
          <w:szCs w:val="24"/>
        </w:rPr>
        <w:t>、潮湿等现象。</w:t>
      </w:r>
    </w:p>
    <w:p w14:paraId="542DE8E7">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color w:val="auto"/>
          <w:kern w:val="10"/>
          <w:sz w:val="24"/>
          <w:lang w:val="en-US" w:eastAsia="zh-CN"/>
        </w:rPr>
      </w:pPr>
      <w:bookmarkStart w:id="6" w:name="_Toc735"/>
      <w:r>
        <w:rPr>
          <w:rFonts w:hint="eastAsia" w:ascii="宋体" w:hAnsi="宋体" w:eastAsia="宋体" w:cs="宋体"/>
          <w:b/>
          <w:bCs w:val="0"/>
          <w:color w:val="auto"/>
          <w:kern w:val="10"/>
          <w:sz w:val="24"/>
          <w:lang w:val="en-US" w:eastAsia="zh-CN"/>
        </w:rPr>
        <w:t>1.7扣款细则</w:t>
      </w:r>
      <w:bookmarkEnd w:id="6"/>
    </w:p>
    <w:p w14:paraId="6A7AFD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宋体"/>
          <w:b w:val="0"/>
          <w:bCs w:val="0"/>
          <w:color w:val="auto"/>
          <w:kern w:val="10"/>
          <w:sz w:val="24"/>
          <w:szCs w:val="22"/>
          <w:lang w:val="en-US" w:eastAsia="zh-CN" w:bidi="ar-SA"/>
        </w:rPr>
      </w:pPr>
      <w:r>
        <w:rPr>
          <w:rFonts w:hint="eastAsia" w:ascii="宋体" w:hAnsi="宋体" w:eastAsia="宋体" w:cs="Times New Roman"/>
          <w:b w:val="0"/>
          <w:bCs w:val="0"/>
          <w:kern w:val="10"/>
          <w:sz w:val="24"/>
          <w:lang w:val="en-US" w:eastAsia="zh-CN"/>
        </w:rPr>
        <w:t>当乙方供应的</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不合格时，如甲方同意接收使用的，按以下扣款细则进行扣款，否则进行退货处理。</w:t>
      </w:r>
    </w:p>
    <w:p w14:paraId="3486C0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3"/>
        <w:rPr>
          <w:rFonts w:hint="eastAsia" w:ascii="宋体" w:hAnsi="宋体" w:eastAsia="宋体" w:cs="宋体"/>
          <w:b w:val="0"/>
          <w:bCs w:val="0"/>
          <w:color w:val="auto"/>
          <w:kern w:val="10"/>
          <w:sz w:val="24"/>
          <w:szCs w:val="22"/>
          <w:lang w:val="en-US" w:eastAsia="zh-CN" w:bidi="ar-SA"/>
        </w:rPr>
      </w:pPr>
      <w:r>
        <w:rPr>
          <w:rFonts w:hint="eastAsia" w:ascii="宋体" w:hAnsi="宋体" w:eastAsia="宋体" w:cs="宋体"/>
          <w:b w:val="0"/>
          <w:bCs w:val="0"/>
          <w:color w:val="auto"/>
          <w:kern w:val="10"/>
          <w:sz w:val="24"/>
          <w:szCs w:val="22"/>
          <w:lang w:val="en-US" w:eastAsia="zh-CN" w:bidi="ar-SA"/>
        </w:rPr>
        <w:t>表3：</w:t>
      </w:r>
      <w:r>
        <w:rPr>
          <w:rFonts w:hint="eastAsia" w:cs="Times New Roman"/>
          <w:b w:val="0"/>
          <w:bCs w:val="0"/>
          <w:kern w:val="10"/>
          <w:sz w:val="24"/>
          <w:szCs w:val="24"/>
          <w:lang w:val="en-US" w:eastAsia="zh-CN" w:bidi="ar-SA"/>
        </w:rPr>
        <w:t>煅后焦</w:t>
      </w:r>
      <w:r>
        <w:rPr>
          <w:rFonts w:hint="eastAsia" w:ascii="宋体" w:hAnsi="宋体" w:eastAsia="宋体" w:cs="宋体"/>
          <w:b w:val="0"/>
          <w:bCs w:val="0"/>
          <w:color w:val="auto"/>
          <w:kern w:val="10"/>
          <w:sz w:val="24"/>
          <w:szCs w:val="22"/>
          <w:lang w:val="en-US" w:eastAsia="zh-CN" w:bidi="ar-SA"/>
        </w:rPr>
        <w:t>质量扣款细则</w:t>
      </w:r>
    </w:p>
    <w:tbl>
      <w:tblPr>
        <w:tblStyle w:val="14"/>
        <w:tblpPr w:leftFromText="180" w:rightFromText="180" w:vertAnchor="text" w:horzAnchor="page" w:tblpXSpec="center" w:tblpY="623"/>
        <w:tblOverlap w:val="never"/>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9"/>
        <w:gridCol w:w="1529"/>
        <w:gridCol w:w="1048"/>
        <w:gridCol w:w="1558"/>
        <w:gridCol w:w="1525"/>
        <w:gridCol w:w="2954"/>
      </w:tblGrid>
      <w:tr w14:paraId="32DC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869" w:type="dxa"/>
            <w:tcBorders>
              <w:tl2br w:val="nil"/>
              <w:tr2bl w:val="nil"/>
            </w:tcBorders>
            <w:shd w:val="clear" w:color="auto" w:fill="auto"/>
            <w:vAlign w:val="center"/>
          </w:tcPr>
          <w:p w14:paraId="31FF7F4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序号</w:t>
            </w:r>
          </w:p>
        </w:tc>
        <w:tc>
          <w:tcPr>
            <w:tcW w:w="1529" w:type="dxa"/>
            <w:tcBorders>
              <w:tl2br w:val="nil"/>
              <w:tr2bl w:val="nil"/>
            </w:tcBorders>
            <w:shd w:val="clear" w:color="auto" w:fill="auto"/>
            <w:vAlign w:val="center"/>
          </w:tcPr>
          <w:p w14:paraId="4B579DD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子项</w:t>
            </w:r>
          </w:p>
        </w:tc>
        <w:tc>
          <w:tcPr>
            <w:tcW w:w="1048" w:type="dxa"/>
            <w:tcBorders>
              <w:tl2br w:val="nil"/>
              <w:tr2bl w:val="nil"/>
            </w:tcBorders>
            <w:shd w:val="clear" w:color="auto" w:fill="auto"/>
            <w:vAlign w:val="center"/>
          </w:tcPr>
          <w:p w14:paraId="35B987AB">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指标要求</w:t>
            </w:r>
          </w:p>
        </w:tc>
        <w:tc>
          <w:tcPr>
            <w:tcW w:w="1558" w:type="dxa"/>
            <w:tcBorders>
              <w:tl2br w:val="nil"/>
              <w:tr2bl w:val="nil"/>
            </w:tcBorders>
            <w:shd w:val="clear" w:color="auto" w:fill="auto"/>
            <w:vAlign w:val="center"/>
          </w:tcPr>
          <w:p w14:paraId="2147328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处理类别</w:t>
            </w:r>
          </w:p>
        </w:tc>
        <w:tc>
          <w:tcPr>
            <w:tcW w:w="4479" w:type="dxa"/>
            <w:gridSpan w:val="2"/>
            <w:tcBorders>
              <w:tl2br w:val="nil"/>
              <w:tr2bl w:val="nil"/>
            </w:tcBorders>
            <w:shd w:val="clear" w:color="auto" w:fill="auto"/>
            <w:vAlign w:val="center"/>
          </w:tcPr>
          <w:p w14:paraId="1C2432E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处理措施（x 指对应子项）</w:t>
            </w:r>
          </w:p>
        </w:tc>
      </w:tr>
      <w:tr w14:paraId="3EE7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69" w:type="dxa"/>
            <w:vMerge w:val="restart"/>
            <w:tcBorders>
              <w:tl2br w:val="nil"/>
              <w:tr2bl w:val="nil"/>
            </w:tcBorders>
            <w:shd w:val="clear" w:color="auto" w:fill="auto"/>
            <w:vAlign w:val="center"/>
          </w:tcPr>
          <w:p w14:paraId="598C16C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1529" w:type="dxa"/>
            <w:vMerge w:val="restart"/>
            <w:tcBorders>
              <w:tl2br w:val="nil"/>
              <w:tr2bl w:val="nil"/>
            </w:tcBorders>
            <w:shd w:val="clear" w:color="auto" w:fill="auto"/>
            <w:vAlign w:val="center"/>
          </w:tcPr>
          <w:p w14:paraId="31A47BD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水分%</w:t>
            </w:r>
          </w:p>
        </w:tc>
        <w:tc>
          <w:tcPr>
            <w:tcW w:w="1048" w:type="dxa"/>
            <w:vMerge w:val="restart"/>
            <w:tcBorders>
              <w:tl2br w:val="nil"/>
              <w:tr2bl w:val="nil"/>
            </w:tcBorders>
            <w:shd w:val="clear" w:color="auto" w:fill="auto"/>
            <w:vAlign w:val="center"/>
          </w:tcPr>
          <w:p w14:paraId="111649A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≤0.2</w:t>
            </w:r>
          </w:p>
        </w:tc>
        <w:tc>
          <w:tcPr>
            <w:tcW w:w="1558" w:type="dxa"/>
            <w:tcBorders>
              <w:tl2br w:val="nil"/>
              <w:tr2bl w:val="nil"/>
            </w:tcBorders>
            <w:shd w:val="clear" w:color="auto" w:fill="auto"/>
            <w:vAlign w:val="center"/>
          </w:tcPr>
          <w:p w14:paraId="18F11B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0094AE3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0.2＜x≤0.3</w:t>
            </w:r>
          </w:p>
        </w:tc>
        <w:tc>
          <w:tcPr>
            <w:tcW w:w="2954" w:type="dxa"/>
            <w:tcBorders>
              <w:tl2br w:val="nil"/>
              <w:tr2bl w:val="nil"/>
            </w:tcBorders>
            <w:shd w:val="clear" w:color="auto" w:fill="auto"/>
            <w:vAlign w:val="center"/>
          </w:tcPr>
          <w:p w14:paraId="3CEA2EE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每超0.1%，扣10元/吨</w:t>
            </w:r>
          </w:p>
        </w:tc>
      </w:tr>
      <w:tr w14:paraId="11D7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869" w:type="dxa"/>
            <w:vMerge w:val="continue"/>
            <w:tcBorders>
              <w:tl2br w:val="nil"/>
              <w:tr2bl w:val="nil"/>
            </w:tcBorders>
            <w:shd w:val="clear" w:color="auto" w:fill="auto"/>
            <w:vAlign w:val="center"/>
          </w:tcPr>
          <w:p w14:paraId="2C6884CB">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6AD8EF80">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1B8F0D9D">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58B38EF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7C03A19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0.3＜x≤0.5</w:t>
            </w:r>
          </w:p>
        </w:tc>
        <w:tc>
          <w:tcPr>
            <w:tcW w:w="2954" w:type="dxa"/>
            <w:tcBorders>
              <w:tl2br w:val="nil"/>
              <w:tr2bl w:val="nil"/>
            </w:tcBorders>
            <w:shd w:val="clear" w:color="auto" w:fill="auto"/>
            <w:vAlign w:val="center"/>
          </w:tcPr>
          <w:p w14:paraId="1333F10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每超0.1%，扣20 元/吨</w:t>
            </w:r>
          </w:p>
        </w:tc>
      </w:tr>
      <w:tr w14:paraId="5BA9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869" w:type="dxa"/>
            <w:vMerge w:val="continue"/>
            <w:tcBorders>
              <w:tl2br w:val="nil"/>
              <w:tr2bl w:val="nil"/>
            </w:tcBorders>
            <w:shd w:val="clear" w:color="auto" w:fill="auto"/>
            <w:vAlign w:val="center"/>
          </w:tcPr>
          <w:p w14:paraId="03DCB569">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789C06FC">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6B8B6537">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69A0C01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扣款</w:t>
            </w:r>
          </w:p>
        </w:tc>
        <w:tc>
          <w:tcPr>
            <w:tcW w:w="1525" w:type="dxa"/>
            <w:vMerge w:val="restart"/>
            <w:tcBorders>
              <w:tl2br w:val="nil"/>
              <w:tr2bl w:val="nil"/>
            </w:tcBorders>
            <w:shd w:val="clear" w:color="auto" w:fill="auto"/>
            <w:vAlign w:val="center"/>
          </w:tcPr>
          <w:p w14:paraId="77D9809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x&gt;0.5</w:t>
            </w:r>
          </w:p>
        </w:tc>
        <w:tc>
          <w:tcPr>
            <w:tcW w:w="2954" w:type="dxa"/>
            <w:tcBorders>
              <w:tl2br w:val="nil"/>
              <w:tr2bl w:val="nil"/>
            </w:tcBorders>
            <w:shd w:val="clear" w:color="auto" w:fill="auto"/>
            <w:vAlign w:val="center"/>
          </w:tcPr>
          <w:p w14:paraId="51F26415">
            <w:pPr>
              <w:jc w:val="center"/>
              <w:rPr>
                <w:rFonts w:hint="eastAsia"/>
                <w:lang w:val="en-US" w:eastAsia="zh-CN"/>
              </w:rPr>
            </w:pPr>
            <w:r>
              <w:rPr>
                <w:rFonts w:hint="eastAsia" w:ascii="宋体" w:hAnsi="宋体" w:eastAsia="宋体" w:cs="宋体"/>
                <w:b w:val="0"/>
                <w:bCs w:val="0"/>
                <w:i w:val="0"/>
                <w:iCs w:val="0"/>
                <w:color w:val="auto"/>
                <w:kern w:val="0"/>
                <w:sz w:val="22"/>
                <w:szCs w:val="22"/>
                <w:u w:val="none"/>
                <w:lang w:val="en-US" w:eastAsia="zh-CN" w:bidi="ar"/>
              </w:rPr>
              <w:t>每超0.1%，扣40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0168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869" w:type="dxa"/>
            <w:vMerge w:val="continue"/>
            <w:tcBorders>
              <w:tl2br w:val="nil"/>
              <w:tr2bl w:val="nil"/>
            </w:tcBorders>
            <w:shd w:val="clear" w:color="auto" w:fill="auto"/>
            <w:vAlign w:val="center"/>
          </w:tcPr>
          <w:p w14:paraId="6F597F1F">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0FF6C68C">
            <w:pPr>
              <w:keepNext w:val="0"/>
              <w:keepLines w:val="0"/>
              <w:widowControl/>
              <w:suppressLineNumbers w:val="0"/>
              <w:jc w:val="center"/>
              <w:textAlignment w:val="center"/>
            </w:pPr>
          </w:p>
        </w:tc>
        <w:tc>
          <w:tcPr>
            <w:tcW w:w="1048" w:type="dxa"/>
            <w:vMerge w:val="continue"/>
            <w:tcBorders>
              <w:tl2br w:val="nil"/>
              <w:tr2bl w:val="nil"/>
            </w:tcBorders>
            <w:shd w:val="clear" w:color="auto" w:fill="auto"/>
            <w:vAlign w:val="center"/>
          </w:tcPr>
          <w:p w14:paraId="25ECBD8E">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31299006">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70BDEA91">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42E3DCC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3879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869" w:type="dxa"/>
            <w:vMerge w:val="restart"/>
            <w:tcBorders>
              <w:tl2br w:val="nil"/>
              <w:tr2bl w:val="nil"/>
            </w:tcBorders>
            <w:shd w:val="clear" w:color="auto" w:fill="auto"/>
            <w:vAlign w:val="center"/>
          </w:tcPr>
          <w:p w14:paraId="3881220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1529" w:type="dxa"/>
            <w:vMerge w:val="restart"/>
            <w:tcBorders>
              <w:tl2br w:val="nil"/>
              <w:tr2bl w:val="nil"/>
            </w:tcBorders>
            <w:shd w:val="clear" w:color="auto" w:fill="auto"/>
            <w:vAlign w:val="center"/>
          </w:tcPr>
          <w:p w14:paraId="32140BD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灰分%</w:t>
            </w:r>
          </w:p>
        </w:tc>
        <w:tc>
          <w:tcPr>
            <w:tcW w:w="1048" w:type="dxa"/>
            <w:vMerge w:val="restart"/>
            <w:tcBorders>
              <w:tl2br w:val="nil"/>
              <w:tr2bl w:val="nil"/>
            </w:tcBorders>
            <w:shd w:val="clear" w:color="auto" w:fill="auto"/>
            <w:vAlign w:val="center"/>
          </w:tcPr>
          <w:p w14:paraId="5ED6E05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w:t>
            </w:r>
          </w:p>
        </w:tc>
        <w:tc>
          <w:tcPr>
            <w:tcW w:w="1558" w:type="dxa"/>
            <w:tcBorders>
              <w:tl2br w:val="nil"/>
              <w:tr2bl w:val="nil"/>
            </w:tcBorders>
            <w:shd w:val="clear" w:color="auto" w:fill="auto"/>
            <w:vAlign w:val="center"/>
          </w:tcPr>
          <w:p w14:paraId="631AB64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2C8B4DB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0.5＜x≤0.6</w:t>
            </w:r>
          </w:p>
        </w:tc>
        <w:tc>
          <w:tcPr>
            <w:tcW w:w="2954" w:type="dxa"/>
            <w:tcBorders>
              <w:tl2br w:val="nil"/>
              <w:tr2bl w:val="nil"/>
            </w:tcBorders>
            <w:shd w:val="clear" w:color="auto" w:fill="auto"/>
            <w:vAlign w:val="center"/>
          </w:tcPr>
          <w:p w14:paraId="1A29525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14:paraId="0D49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69" w:type="dxa"/>
            <w:vMerge w:val="continue"/>
            <w:tcBorders>
              <w:tl2br w:val="nil"/>
              <w:tr2bl w:val="nil"/>
            </w:tcBorders>
            <w:shd w:val="clear" w:color="auto" w:fill="auto"/>
            <w:vAlign w:val="center"/>
          </w:tcPr>
          <w:p w14:paraId="70A69D73">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16CC9F84">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042B78DC">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4E50E6C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639CEDB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0.6＜x≤0.7</w:t>
            </w:r>
          </w:p>
        </w:tc>
        <w:tc>
          <w:tcPr>
            <w:tcW w:w="2954" w:type="dxa"/>
            <w:tcBorders>
              <w:tl2br w:val="nil"/>
              <w:tr2bl w:val="nil"/>
            </w:tcBorders>
            <w:shd w:val="clear" w:color="auto" w:fill="auto"/>
            <w:vAlign w:val="center"/>
          </w:tcPr>
          <w:p w14:paraId="088E2D4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每超0.1%，扣100 元/吨</w:t>
            </w:r>
          </w:p>
        </w:tc>
      </w:tr>
      <w:tr w14:paraId="1964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869" w:type="dxa"/>
            <w:vMerge w:val="continue"/>
            <w:tcBorders>
              <w:tl2br w:val="nil"/>
              <w:tr2bl w:val="nil"/>
            </w:tcBorders>
            <w:shd w:val="clear" w:color="auto" w:fill="auto"/>
            <w:vAlign w:val="center"/>
          </w:tcPr>
          <w:p w14:paraId="40617165">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384CEA1E">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06DFFA6A">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11B7AF6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val="en-US" w:eastAsia="zh-CN"/>
              </w:rPr>
              <w:t>扣款</w:t>
            </w:r>
          </w:p>
        </w:tc>
        <w:tc>
          <w:tcPr>
            <w:tcW w:w="1525" w:type="dxa"/>
            <w:vMerge w:val="restart"/>
            <w:tcBorders>
              <w:tl2br w:val="nil"/>
              <w:tr2bl w:val="nil"/>
            </w:tcBorders>
            <w:shd w:val="clear" w:color="auto" w:fill="auto"/>
            <w:vAlign w:val="center"/>
          </w:tcPr>
          <w:p w14:paraId="14D51A4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x&gt;0.7</w:t>
            </w:r>
          </w:p>
        </w:tc>
        <w:tc>
          <w:tcPr>
            <w:tcW w:w="2954" w:type="dxa"/>
            <w:tcBorders>
              <w:tl2br w:val="nil"/>
              <w:tr2bl w:val="nil"/>
            </w:tcBorders>
            <w:shd w:val="clear" w:color="auto" w:fill="auto"/>
            <w:vAlign w:val="center"/>
          </w:tcPr>
          <w:p w14:paraId="3407BFB1">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每超0.1%，扣200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6666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69" w:type="dxa"/>
            <w:vMerge w:val="continue"/>
            <w:tcBorders>
              <w:tl2br w:val="nil"/>
              <w:tr2bl w:val="nil"/>
            </w:tcBorders>
            <w:shd w:val="clear" w:color="auto" w:fill="auto"/>
            <w:vAlign w:val="center"/>
          </w:tcPr>
          <w:p w14:paraId="20B21E29">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66530AE4">
            <w:pPr>
              <w:keepNext w:val="0"/>
              <w:keepLines w:val="0"/>
              <w:widowControl/>
              <w:suppressLineNumbers w:val="0"/>
              <w:jc w:val="center"/>
              <w:textAlignment w:val="center"/>
            </w:pPr>
          </w:p>
        </w:tc>
        <w:tc>
          <w:tcPr>
            <w:tcW w:w="1048" w:type="dxa"/>
            <w:vMerge w:val="continue"/>
            <w:tcBorders>
              <w:tl2br w:val="nil"/>
              <w:tr2bl w:val="nil"/>
            </w:tcBorders>
            <w:shd w:val="clear" w:color="auto" w:fill="auto"/>
            <w:vAlign w:val="center"/>
          </w:tcPr>
          <w:p w14:paraId="6CC9ADF7">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1BB9EBD7">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7CDF73A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2C2668D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44CA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869" w:type="dxa"/>
            <w:vMerge w:val="restart"/>
            <w:tcBorders>
              <w:tl2br w:val="nil"/>
              <w:tr2bl w:val="nil"/>
            </w:tcBorders>
            <w:shd w:val="clear" w:color="auto" w:fill="auto"/>
            <w:vAlign w:val="center"/>
          </w:tcPr>
          <w:p w14:paraId="2BC7610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1529" w:type="dxa"/>
            <w:vMerge w:val="restart"/>
            <w:tcBorders>
              <w:tl2br w:val="nil"/>
              <w:tr2bl w:val="nil"/>
            </w:tcBorders>
            <w:shd w:val="clear" w:color="auto" w:fill="auto"/>
            <w:vAlign w:val="center"/>
          </w:tcPr>
          <w:p w14:paraId="44670C3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挥发分%</w:t>
            </w:r>
          </w:p>
        </w:tc>
        <w:tc>
          <w:tcPr>
            <w:tcW w:w="1048" w:type="dxa"/>
            <w:vMerge w:val="restart"/>
            <w:tcBorders>
              <w:tl2br w:val="nil"/>
              <w:tr2bl w:val="nil"/>
            </w:tcBorders>
            <w:shd w:val="clear" w:color="auto" w:fill="auto"/>
            <w:vAlign w:val="center"/>
          </w:tcPr>
          <w:p w14:paraId="709ADD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w:t>
            </w:r>
          </w:p>
        </w:tc>
        <w:tc>
          <w:tcPr>
            <w:tcW w:w="1558" w:type="dxa"/>
            <w:tcBorders>
              <w:tl2br w:val="nil"/>
              <w:tr2bl w:val="nil"/>
            </w:tcBorders>
            <w:shd w:val="clear" w:color="auto" w:fill="auto"/>
            <w:vAlign w:val="center"/>
          </w:tcPr>
          <w:p w14:paraId="6593D5A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0E2C76A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0.5＜x≤0.6</w:t>
            </w:r>
          </w:p>
        </w:tc>
        <w:tc>
          <w:tcPr>
            <w:tcW w:w="2954" w:type="dxa"/>
            <w:tcBorders>
              <w:tl2br w:val="nil"/>
              <w:tr2bl w:val="nil"/>
            </w:tcBorders>
            <w:shd w:val="clear" w:color="auto" w:fill="auto"/>
            <w:vAlign w:val="center"/>
          </w:tcPr>
          <w:p w14:paraId="20D1294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每超0.1%，扣20 元/吨</w:t>
            </w:r>
          </w:p>
        </w:tc>
      </w:tr>
      <w:tr w14:paraId="5487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69" w:type="dxa"/>
            <w:vMerge w:val="continue"/>
            <w:tcBorders>
              <w:tl2br w:val="nil"/>
              <w:tr2bl w:val="nil"/>
            </w:tcBorders>
            <w:shd w:val="clear" w:color="auto" w:fill="auto"/>
            <w:vAlign w:val="center"/>
          </w:tcPr>
          <w:p w14:paraId="52C9FD92">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614509B5">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517F9B68">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7E5C9F9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5F6C5BC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0.6＜x≤0.8</w:t>
            </w:r>
          </w:p>
        </w:tc>
        <w:tc>
          <w:tcPr>
            <w:tcW w:w="2954" w:type="dxa"/>
            <w:tcBorders>
              <w:tl2br w:val="nil"/>
              <w:tr2bl w:val="nil"/>
            </w:tcBorders>
            <w:shd w:val="clear" w:color="auto" w:fill="auto"/>
            <w:vAlign w:val="center"/>
          </w:tcPr>
          <w:p w14:paraId="0D79FB1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14:paraId="7FC6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869" w:type="dxa"/>
            <w:vMerge w:val="continue"/>
            <w:tcBorders>
              <w:tl2br w:val="nil"/>
              <w:tr2bl w:val="nil"/>
            </w:tcBorders>
            <w:shd w:val="clear" w:color="auto" w:fill="auto"/>
            <w:vAlign w:val="center"/>
          </w:tcPr>
          <w:p w14:paraId="08B120BC">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524C13CC">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31566F41">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62266EB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lang w:val="en-US" w:eastAsia="zh-CN"/>
              </w:rPr>
              <w:t>扣款</w:t>
            </w:r>
          </w:p>
        </w:tc>
        <w:tc>
          <w:tcPr>
            <w:tcW w:w="1525" w:type="dxa"/>
            <w:vMerge w:val="restart"/>
            <w:tcBorders>
              <w:tl2br w:val="nil"/>
              <w:tr2bl w:val="nil"/>
            </w:tcBorders>
            <w:shd w:val="clear" w:color="auto" w:fill="auto"/>
            <w:vAlign w:val="center"/>
          </w:tcPr>
          <w:p w14:paraId="11F46D7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x&gt;0.8</w:t>
            </w:r>
          </w:p>
        </w:tc>
        <w:tc>
          <w:tcPr>
            <w:tcW w:w="2954" w:type="dxa"/>
            <w:tcBorders>
              <w:tl2br w:val="nil"/>
              <w:tr2bl w:val="nil"/>
            </w:tcBorders>
            <w:shd w:val="clear" w:color="auto" w:fill="auto"/>
            <w:vAlign w:val="center"/>
          </w:tcPr>
          <w:p w14:paraId="1CA9E9C2">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每超0.1%，扣100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14:paraId="36EB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869" w:type="dxa"/>
            <w:vMerge w:val="continue"/>
            <w:tcBorders>
              <w:tl2br w:val="nil"/>
              <w:tr2bl w:val="nil"/>
            </w:tcBorders>
            <w:shd w:val="clear" w:color="auto" w:fill="auto"/>
            <w:vAlign w:val="center"/>
          </w:tcPr>
          <w:p w14:paraId="48571D01">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7312F7E3">
            <w:pPr>
              <w:keepNext w:val="0"/>
              <w:keepLines w:val="0"/>
              <w:widowControl/>
              <w:suppressLineNumbers w:val="0"/>
              <w:jc w:val="center"/>
              <w:textAlignment w:val="center"/>
            </w:pPr>
          </w:p>
        </w:tc>
        <w:tc>
          <w:tcPr>
            <w:tcW w:w="1048" w:type="dxa"/>
            <w:vMerge w:val="continue"/>
            <w:tcBorders>
              <w:tl2br w:val="nil"/>
              <w:tr2bl w:val="nil"/>
            </w:tcBorders>
            <w:shd w:val="clear" w:color="auto" w:fill="auto"/>
            <w:vAlign w:val="center"/>
          </w:tcPr>
          <w:p w14:paraId="01FBED68">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15493FE9">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1F934F7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25B3E9B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769C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869" w:type="dxa"/>
            <w:vMerge w:val="restart"/>
            <w:tcBorders>
              <w:tl2br w:val="nil"/>
              <w:tr2bl w:val="nil"/>
            </w:tcBorders>
            <w:shd w:val="clear" w:color="auto" w:fill="auto"/>
            <w:vAlign w:val="center"/>
          </w:tcPr>
          <w:p w14:paraId="35EE8D6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1529" w:type="dxa"/>
            <w:vMerge w:val="restart"/>
            <w:tcBorders>
              <w:tl2br w:val="nil"/>
              <w:tr2bl w:val="nil"/>
            </w:tcBorders>
            <w:shd w:val="clear" w:color="auto" w:fill="auto"/>
            <w:vAlign w:val="center"/>
          </w:tcPr>
          <w:p w14:paraId="119A741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粉末比电阻μΩ.m</w:t>
            </w:r>
          </w:p>
        </w:tc>
        <w:tc>
          <w:tcPr>
            <w:tcW w:w="1048" w:type="dxa"/>
            <w:vMerge w:val="restart"/>
            <w:tcBorders>
              <w:tl2br w:val="nil"/>
              <w:tr2bl w:val="nil"/>
            </w:tcBorders>
            <w:shd w:val="clear" w:color="auto" w:fill="auto"/>
            <w:vAlign w:val="center"/>
          </w:tcPr>
          <w:p w14:paraId="1D2C889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≤460</w:t>
            </w:r>
          </w:p>
        </w:tc>
        <w:tc>
          <w:tcPr>
            <w:tcW w:w="1558" w:type="dxa"/>
            <w:tcBorders>
              <w:tl2br w:val="nil"/>
              <w:tr2bl w:val="nil"/>
            </w:tcBorders>
            <w:shd w:val="clear" w:color="auto" w:fill="auto"/>
            <w:vAlign w:val="center"/>
          </w:tcPr>
          <w:p w14:paraId="40993C8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212B267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电阻率460＜x≤480</w:t>
            </w:r>
          </w:p>
        </w:tc>
        <w:tc>
          <w:tcPr>
            <w:tcW w:w="2954" w:type="dxa"/>
            <w:tcBorders>
              <w:tl2br w:val="nil"/>
              <w:tr2bl w:val="nil"/>
            </w:tcBorders>
            <w:shd w:val="clear" w:color="auto" w:fill="auto"/>
            <w:vAlign w:val="center"/>
          </w:tcPr>
          <w:p w14:paraId="57669B3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每超1μΩ.m，扣1 元/吨</w:t>
            </w:r>
          </w:p>
        </w:tc>
      </w:tr>
      <w:tr w14:paraId="1D67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69" w:type="dxa"/>
            <w:vMerge w:val="continue"/>
            <w:tcBorders>
              <w:tl2br w:val="nil"/>
              <w:tr2bl w:val="nil"/>
            </w:tcBorders>
            <w:shd w:val="clear" w:color="auto" w:fill="auto"/>
            <w:vAlign w:val="center"/>
          </w:tcPr>
          <w:p w14:paraId="766C27B2">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2AF31139">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5F391D74">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3FC3E43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5F12DC7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电阻率480＜x≤500</w:t>
            </w:r>
          </w:p>
        </w:tc>
        <w:tc>
          <w:tcPr>
            <w:tcW w:w="2954" w:type="dxa"/>
            <w:tcBorders>
              <w:tl2br w:val="nil"/>
              <w:tr2bl w:val="nil"/>
            </w:tcBorders>
            <w:shd w:val="clear" w:color="auto" w:fill="auto"/>
            <w:vAlign w:val="center"/>
          </w:tcPr>
          <w:p w14:paraId="1C5DEB5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每超1μΩ.m，扣2 元/吨</w:t>
            </w:r>
          </w:p>
        </w:tc>
      </w:tr>
      <w:tr w14:paraId="1FF0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0F5081E6">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29D0C4E0">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45361BF1">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21A221A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扣款</w:t>
            </w:r>
          </w:p>
        </w:tc>
        <w:tc>
          <w:tcPr>
            <w:tcW w:w="1525" w:type="dxa"/>
            <w:vMerge w:val="restart"/>
            <w:tcBorders>
              <w:tl2br w:val="nil"/>
              <w:tr2bl w:val="nil"/>
            </w:tcBorders>
            <w:shd w:val="clear" w:color="auto" w:fill="auto"/>
            <w:vAlign w:val="center"/>
          </w:tcPr>
          <w:p w14:paraId="395AC66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 x&gt;500</w:t>
            </w:r>
          </w:p>
        </w:tc>
        <w:tc>
          <w:tcPr>
            <w:tcW w:w="2954" w:type="dxa"/>
            <w:tcBorders>
              <w:tl2br w:val="nil"/>
              <w:tr2bl w:val="nil"/>
            </w:tcBorders>
            <w:shd w:val="clear" w:color="auto" w:fill="auto"/>
            <w:vAlign w:val="center"/>
          </w:tcPr>
          <w:p w14:paraId="3E30EA13">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每超1μΩ.m，扣4元/吨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577A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758D8331">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6A672646">
            <w:pPr>
              <w:keepNext w:val="0"/>
              <w:keepLines w:val="0"/>
              <w:widowControl/>
              <w:suppressLineNumbers w:val="0"/>
              <w:jc w:val="center"/>
              <w:textAlignment w:val="center"/>
            </w:pPr>
          </w:p>
        </w:tc>
        <w:tc>
          <w:tcPr>
            <w:tcW w:w="1048" w:type="dxa"/>
            <w:vMerge w:val="continue"/>
            <w:tcBorders>
              <w:tl2br w:val="nil"/>
              <w:tr2bl w:val="nil"/>
            </w:tcBorders>
            <w:shd w:val="clear" w:color="auto" w:fill="auto"/>
            <w:vAlign w:val="center"/>
          </w:tcPr>
          <w:p w14:paraId="76845F1F">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16D0DB2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71E198A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1E448B21">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4447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869" w:type="dxa"/>
            <w:vMerge w:val="restart"/>
            <w:tcBorders>
              <w:tl2br w:val="nil"/>
              <w:tr2bl w:val="nil"/>
            </w:tcBorders>
            <w:shd w:val="clear" w:color="auto" w:fill="auto"/>
            <w:vAlign w:val="center"/>
          </w:tcPr>
          <w:p w14:paraId="18D243F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1529" w:type="dxa"/>
            <w:vMerge w:val="restart"/>
            <w:tcBorders>
              <w:tl2br w:val="nil"/>
              <w:tr2bl w:val="nil"/>
            </w:tcBorders>
            <w:shd w:val="clear" w:color="auto" w:fill="auto"/>
            <w:vAlign w:val="center"/>
          </w:tcPr>
          <w:p w14:paraId="457F8C2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硫分%</w:t>
            </w:r>
          </w:p>
        </w:tc>
        <w:tc>
          <w:tcPr>
            <w:tcW w:w="1048" w:type="dxa"/>
            <w:vMerge w:val="restart"/>
            <w:tcBorders>
              <w:tl2br w:val="nil"/>
              <w:tr2bl w:val="nil"/>
            </w:tcBorders>
            <w:shd w:val="clear" w:color="auto" w:fill="auto"/>
            <w:vAlign w:val="center"/>
          </w:tcPr>
          <w:p w14:paraId="78402C4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w:t>
            </w:r>
          </w:p>
        </w:tc>
        <w:tc>
          <w:tcPr>
            <w:tcW w:w="1558" w:type="dxa"/>
            <w:tcBorders>
              <w:tl2br w:val="nil"/>
              <w:tr2bl w:val="nil"/>
            </w:tcBorders>
            <w:shd w:val="clear" w:color="auto" w:fill="auto"/>
            <w:vAlign w:val="center"/>
          </w:tcPr>
          <w:p w14:paraId="0C84257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22AE15C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3.0＜x≤3.2</w:t>
            </w:r>
          </w:p>
        </w:tc>
        <w:tc>
          <w:tcPr>
            <w:tcW w:w="2954" w:type="dxa"/>
            <w:tcBorders>
              <w:tl2br w:val="nil"/>
              <w:tr2bl w:val="nil"/>
            </w:tcBorders>
            <w:shd w:val="clear" w:color="auto" w:fill="auto"/>
            <w:vAlign w:val="center"/>
          </w:tcPr>
          <w:p w14:paraId="683E618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每超0.1%，扣25元/吨</w:t>
            </w:r>
          </w:p>
        </w:tc>
      </w:tr>
      <w:tr w14:paraId="17A2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jc w:val="center"/>
        </w:trPr>
        <w:tc>
          <w:tcPr>
            <w:tcW w:w="869" w:type="dxa"/>
            <w:vMerge w:val="continue"/>
            <w:tcBorders>
              <w:tl2br w:val="nil"/>
              <w:tr2bl w:val="nil"/>
            </w:tcBorders>
            <w:shd w:val="clear" w:color="auto" w:fill="auto"/>
            <w:vAlign w:val="center"/>
          </w:tcPr>
          <w:p w14:paraId="18D581B5">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799B63D5">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613AE7D2">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1ECC3B9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77371DA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3.2＜x≤3.5</w:t>
            </w:r>
          </w:p>
        </w:tc>
        <w:tc>
          <w:tcPr>
            <w:tcW w:w="2954" w:type="dxa"/>
            <w:tcBorders>
              <w:tl2br w:val="nil"/>
              <w:tr2bl w:val="nil"/>
            </w:tcBorders>
            <w:shd w:val="clear" w:color="auto" w:fill="auto"/>
            <w:vAlign w:val="center"/>
          </w:tcPr>
          <w:p w14:paraId="5A660CC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14:paraId="262F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039D2011">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22B80D90">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72A1A293">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3AC971F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vMerge w:val="restart"/>
            <w:tcBorders>
              <w:tl2br w:val="nil"/>
              <w:tr2bl w:val="nil"/>
            </w:tcBorders>
            <w:shd w:val="clear" w:color="auto" w:fill="auto"/>
            <w:vAlign w:val="center"/>
          </w:tcPr>
          <w:p w14:paraId="452F6A9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w:t>
            </w:r>
          </w:p>
        </w:tc>
        <w:tc>
          <w:tcPr>
            <w:tcW w:w="2954" w:type="dxa"/>
            <w:tcBorders>
              <w:tl2br w:val="nil"/>
              <w:tr2bl w:val="nil"/>
            </w:tcBorders>
            <w:shd w:val="clear" w:color="auto" w:fill="auto"/>
            <w:vAlign w:val="center"/>
          </w:tcPr>
          <w:p w14:paraId="62ACB00B">
            <w:pPr>
              <w:jc w:val="both"/>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每超0.1%，扣100 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4087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06733008">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3D10E218">
            <w:pPr>
              <w:keepNext w:val="0"/>
              <w:keepLines w:val="0"/>
              <w:widowControl/>
              <w:suppressLineNumbers w:val="0"/>
              <w:jc w:val="center"/>
              <w:textAlignment w:val="center"/>
            </w:pPr>
          </w:p>
        </w:tc>
        <w:tc>
          <w:tcPr>
            <w:tcW w:w="1048" w:type="dxa"/>
            <w:vMerge w:val="continue"/>
            <w:tcBorders>
              <w:tl2br w:val="nil"/>
              <w:tr2bl w:val="nil"/>
            </w:tcBorders>
            <w:shd w:val="clear" w:color="auto" w:fill="auto"/>
            <w:vAlign w:val="center"/>
          </w:tcPr>
          <w:p w14:paraId="6FBB1F1D">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0C85512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6A81A99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5AFB02F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41D2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869" w:type="dxa"/>
            <w:vMerge w:val="restart"/>
            <w:tcBorders>
              <w:tl2br w:val="nil"/>
              <w:tr2bl w:val="nil"/>
            </w:tcBorders>
            <w:shd w:val="clear" w:color="auto" w:fill="auto"/>
            <w:vAlign w:val="center"/>
          </w:tcPr>
          <w:p w14:paraId="442B4A5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1529" w:type="dxa"/>
            <w:vMerge w:val="restart"/>
            <w:tcBorders>
              <w:tl2br w:val="nil"/>
              <w:tr2bl w:val="nil"/>
            </w:tcBorders>
            <w:shd w:val="clear" w:color="auto" w:fill="auto"/>
            <w:vAlign w:val="center"/>
          </w:tcPr>
          <w:p w14:paraId="0D90BBF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真密度g/cm3</w:t>
            </w:r>
          </w:p>
        </w:tc>
        <w:tc>
          <w:tcPr>
            <w:tcW w:w="1048" w:type="dxa"/>
            <w:tcBorders>
              <w:tl2br w:val="nil"/>
              <w:tr2bl w:val="nil"/>
            </w:tcBorders>
            <w:shd w:val="clear" w:color="auto" w:fill="auto"/>
            <w:vAlign w:val="center"/>
          </w:tcPr>
          <w:p w14:paraId="2C4AE6A1">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19EDAA6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5AE1E52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2.05≤x＜2.06</w:t>
            </w:r>
          </w:p>
        </w:tc>
        <w:tc>
          <w:tcPr>
            <w:tcW w:w="2954" w:type="dxa"/>
            <w:tcBorders>
              <w:tl2br w:val="nil"/>
              <w:tr2bl w:val="nil"/>
            </w:tcBorders>
            <w:shd w:val="clear" w:color="auto" w:fill="auto"/>
            <w:vAlign w:val="center"/>
          </w:tcPr>
          <w:p w14:paraId="06CF82A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每超0.01g/cm3，扣20元/吨</w:t>
            </w:r>
          </w:p>
        </w:tc>
      </w:tr>
      <w:tr w14:paraId="7C26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869" w:type="dxa"/>
            <w:vMerge w:val="continue"/>
            <w:tcBorders>
              <w:tl2br w:val="nil"/>
              <w:tr2bl w:val="nil"/>
            </w:tcBorders>
            <w:shd w:val="clear" w:color="auto" w:fill="auto"/>
            <w:vAlign w:val="center"/>
          </w:tcPr>
          <w:p w14:paraId="25FFD42D">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718E4818">
            <w:pPr>
              <w:jc w:val="center"/>
              <w:rPr>
                <w:rFonts w:hint="eastAsia" w:ascii="宋体" w:hAnsi="宋体" w:eastAsia="宋体" w:cs="宋体"/>
                <w:b w:val="0"/>
                <w:bCs w:val="0"/>
                <w:i w:val="0"/>
                <w:iCs w:val="0"/>
                <w:color w:val="auto"/>
                <w:sz w:val="22"/>
                <w:szCs w:val="22"/>
                <w:u w:val="none"/>
              </w:rPr>
            </w:pPr>
          </w:p>
        </w:tc>
        <w:tc>
          <w:tcPr>
            <w:tcW w:w="1048" w:type="dxa"/>
            <w:tcBorders>
              <w:tl2br w:val="nil"/>
              <w:tr2bl w:val="nil"/>
            </w:tcBorders>
            <w:shd w:val="clear" w:color="auto" w:fill="auto"/>
            <w:vAlign w:val="center"/>
          </w:tcPr>
          <w:p w14:paraId="7652E7D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≥2.06</w:t>
            </w:r>
          </w:p>
        </w:tc>
        <w:tc>
          <w:tcPr>
            <w:tcW w:w="1558" w:type="dxa"/>
            <w:tcBorders>
              <w:tl2br w:val="nil"/>
              <w:tr2bl w:val="nil"/>
            </w:tcBorders>
            <w:shd w:val="clear" w:color="auto" w:fill="auto"/>
            <w:vAlign w:val="center"/>
          </w:tcPr>
          <w:p w14:paraId="3CF9FBC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479162B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2.04≤x＜2.05</w:t>
            </w:r>
          </w:p>
        </w:tc>
        <w:tc>
          <w:tcPr>
            <w:tcW w:w="2954" w:type="dxa"/>
            <w:tcBorders>
              <w:tl2br w:val="nil"/>
              <w:tr2bl w:val="nil"/>
            </w:tcBorders>
            <w:shd w:val="clear" w:color="auto" w:fill="auto"/>
            <w:vAlign w:val="center"/>
          </w:tcPr>
          <w:p w14:paraId="3636CB2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每超0.01g/cm3，扣50 元/吨</w:t>
            </w:r>
          </w:p>
        </w:tc>
      </w:tr>
      <w:tr w14:paraId="3CAB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869" w:type="dxa"/>
            <w:vMerge w:val="continue"/>
            <w:tcBorders>
              <w:tl2br w:val="nil"/>
              <w:tr2bl w:val="nil"/>
            </w:tcBorders>
            <w:shd w:val="clear" w:color="auto" w:fill="auto"/>
            <w:vAlign w:val="center"/>
          </w:tcPr>
          <w:p w14:paraId="37EEE108">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7771CC46">
            <w:pPr>
              <w:jc w:val="center"/>
              <w:rPr>
                <w:rFonts w:hint="eastAsia" w:ascii="宋体" w:hAnsi="宋体" w:eastAsia="宋体" w:cs="宋体"/>
                <w:b w:val="0"/>
                <w:bCs w:val="0"/>
                <w:i w:val="0"/>
                <w:iCs w:val="0"/>
                <w:color w:val="auto"/>
                <w:sz w:val="22"/>
                <w:szCs w:val="22"/>
                <w:u w:val="none"/>
              </w:rPr>
            </w:pPr>
          </w:p>
        </w:tc>
        <w:tc>
          <w:tcPr>
            <w:tcW w:w="1048" w:type="dxa"/>
            <w:vMerge w:val="restart"/>
            <w:tcBorders>
              <w:tl2br w:val="nil"/>
              <w:tr2bl w:val="nil"/>
            </w:tcBorders>
            <w:shd w:val="clear" w:color="auto" w:fill="auto"/>
            <w:noWrap/>
            <w:vAlign w:val="center"/>
          </w:tcPr>
          <w:p w14:paraId="4841EC5E">
            <w:pPr>
              <w:jc w:val="left"/>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73D92C3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vMerge w:val="restart"/>
            <w:tcBorders>
              <w:tl2br w:val="nil"/>
              <w:tr2bl w:val="nil"/>
            </w:tcBorders>
            <w:shd w:val="clear" w:color="auto" w:fill="auto"/>
            <w:vAlign w:val="center"/>
          </w:tcPr>
          <w:p w14:paraId="7331C1A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x＜2.04</w:t>
            </w:r>
          </w:p>
        </w:tc>
        <w:tc>
          <w:tcPr>
            <w:tcW w:w="2954" w:type="dxa"/>
            <w:tcBorders>
              <w:tl2br w:val="nil"/>
              <w:tr2bl w:val="nil"/>
            </w:tcBorders>
            <w:shd w:val="clear" w:color="auto" w:fill="auto"/>
            <w:vAlign w:val="center"/>
          </w:tcPr>
          <w:p w14:paraId="13DF1E11">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每超0.01g/cm3，扣100元/吨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2AB8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869" w:type="dxa"/>
            <w:vMerge w:val="continue"/>
            <w:tcBorders>
              <w:tl2br w:val="nil"/>
              <w:tr2bl w:val="nil"/>
            </w:tcBorders>
            <w:shd w:val="clear" w:color="auto" w:fill="auto"/>
            <w:vAlign w:val="center"/>
          </w:tcPr>
          <w:p w14:paraId="7AD36587">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572B3751">
            <w:pPr>
              <w:keepNext w:val="0"/>
              <w:keepLines w:val="0"/>
              <w:widowControl/>
              <w:suppressLineNumbers w:val="0"/>
              <w:jc w:val="center"/>
              <w:textAlignment w:val="center"/>
            </w:pPr>
          </w:p>
        </w:tc>
        <w:tc>
          <w:tcPr>
            <w:tcW w:w="1048" w:type="dxa"/>
            <w:vMerge w:val="continue"/>
            <w:tcBorders>
              <w:tl2br w:val="nil"/>
              <w:tr2bl w:val="nil"/>
            </w:tcBorders>
            <w:shd w:val="clear" w:color="auto" w:fill="auto"/>
            <w:noWrap/>
            <w:vAlign w:val="center"/>
          </w:tcPr>
          <w:p w14:paraId="2A27B2CA">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26F50DA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1E0B08D6">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747F4A4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022A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869" w:type="dxa"/>
            <w:vMerge w:val="restart"/>
            <w:tcBorders>
              <w:tl2br w:val="nil"/>
              <w:tr2bl w:val="nil"/>
            </w:tcBorders>
            <w:shd w:val="clear" w:color="auto" w:fill="auto"/>
            <w:vAlign w:val="center"/>
          </w:tcPr>
          <w:p w14:paraId="0789744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1529" w:type="dxa"/>
            <w:vMerge w:val="restart"/>
            <w:tcBorders>
              <w:tl2br w:val="nil"/>
              <w:tr2bl w:val="nil"/>
            </w:tcBorders>
            <w:shd w:val="clear" w:color="auto" w:fill="auto"/>
            <w:vAlign w:val="center"/>
          </w:tcPr>
          <w:p w14:paraId="288DEF5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lang w:eastAsia="zh-CN"/>
              </w:rPr>
            </w:pPr>
            <w:r>
              <w:rPr>
                <w:rFonts w:ascii="宋体" w:hAnsi="宋体" w:eastAsia="宋体" w:cs="宋体"/>
                <w:color w:val="auto"/>
                <w:sz w:val="24"/>
                <w:szCs w:val="24"/>
              </w:rPr>
              <w:t>振实密度</w:t>
            </w:r>
            <w:r>
              <w:rPr>
                <w:rFonts w:hint="eastAsia" w:ascii="宋体" w:hAnsi="宋体" w:eastAsia="宋体" w:cs="宋体"/>
                <w:b w:val="0"/>
                <w:bCs w:val="0"/>
                <w:i w:val="0"/>
                <w:iCs w:val="0"/>
                <w:color w:val="auto"/>
                <w:kern w:val="0"/>
                <w:sz w:val="22"/>
                <w:szCs w:val="22"/>
                <w:u w:val="none"/>
                <w:lang w:val="en-US" w:eastAsia="zh-CN" w:bidi="ar"/>
              </w:rPr>
              <w:t>g/cm3（</w:t>
            </w:r>
            <w:r>
              <w:rPr>
                <w:rFonts w:ascii="宋体" w:hAnsi="宋体" w:eastAsia="宋体" w:cs="宋体"/>
                <w:color w:val="auto"/>
                <w:sz w:val="24"/>
                <w:szCs w:val="24"/>
              </w:rPr>
              <w:t>+1.0mm～-2.0mm</w:t>
            </w:r>
            <w:r>
              <w:rPr>
                <w:rFonts w:hint="eastAsia" w:ascii="宋体" w:hAnsi="宋体" w:eastAsia="宋体" w:cs="宋体"/>
                <w:color w:val="auto"/>
                <w:sz w:val="24"/>
                <w:szCs w:val="24"/>
                <w:lang w:eastAsia="zh-CN"/>
              </w:rPr>
              <w:t>）</w:t>
            </w:r>
          </w:p>
        </w:tc>
        <w:tc>
          <w:tcPr>
            <w:tcW w:w="1048" w:type="dxa"/>
            <w:tcBorders>
              <w:tl2br w:val="nil"/>
              <w:tr2bl w:val="nil"/>
            </w:tcBorders>
            <w:shd w:val="clear" w:color="auto" w:fill="auto"/>
            <w:vAlign w:val="center"/>
          </w:tcPr>
          <w:p w14:paraId="1DD8A851">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1456224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0F210B8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0.82≤x＜0.83</w:t>
            </w:r>
          </w:p>
        </w:tc>
        <w:tc>
          <w:tcPr>
            <w:tcW w:w="2954" w:type="dxa"/>
            <w:tcBorders>
              <w:tl2br w:val="nil"/>
              <w:tr2bl w:val="nil"/>
            </w:tcBorders>
            <w:shd w:val="clear" w:color="auto" w:fill="auto"/>
            <w:vAlign w:val="center"/>
          </w:tcPr>
          <w:p w14:paraId="735B148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每超0.01g/cm3，20元/吨</w:t>
            </w:r>
          </w:p>
        </w:tc>
      </w:tr>
      <w:tr w14:paraId="4B63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jc w:val="center"/>
        </w:trPr>
        <w:tc>
          <w:tcPr>
            <w:tcW w:w="869" w:type="dxa"/>
            <w:vMerge w:val="continue"/>
            <w:tcBorders>
              <w:tl2br w:val="nil"/>
              <w:tr2bl w:val="nil"/>
            </w:tcBorders>
            <w:shd w:val="clear" w:color="auto" w:fill="auto"/>
            <w:vAlign w:val="center"/>
          </w:tcPr>
          <w:p w14:paraId="6F4B585E">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40AAEF8D">
            <w:pPr>
              <w:jc w:val="center"/>
              <w:rPr>
                <w:rFonts w:hint="eastAsia" w:ascii="宋体" w:hAnsi="宋体" w:eastAsia="宋体" w:cs="宋体"/>
                <w:b w:val="0"/>
                <w:bCs w:val="0"/>
                <w:i w:val="0"/>
                <w:iCs w:val="0"/>
                <w:color w:val="auto"/>
                <w:sz w:val="22"/>
                <w:szCs w:val="22"/>
                <w:u w:val="none"/>
              </w:rPr>
            </w:pPr>
          </w:p>
        </w:tc>
        <w:tc>
          <w:tcPr>
            <w:tcW w:w="1048" w:type="dxa"/>
            <w:tcBorders>
              <w:tl2br w:val="nil"/>
              <w:tr2bl w:val="nil"/>
            </w:tcBorders>
            <w:shd w:val="clear" w:color="auto" w:fill="auto"/>
            <w:vAlign w:val="center"/>
          </w:tcPr>
          <w:p w14:paraId="0C727B6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≥0.83</w:t>
            </w:r>
          </w:p>
        </w:tc>
        <w:tc>
          <w:tcPr>
            <w:tcW w:w="1558" w:type="dxa"/>
            <w:tcBorders>
              <w:tl2br w:val="nil"/>
              <w:tr2bl w:val="nil"/>
            </w:tcBorders>
            <w:shd w:val="clear" w:color="auto" w:fill="auto"/>
            <w:vAlign w:val="center"/>
          </w:tcPr>
          <w:p w14:paraId="641D7DE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0F32089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0.8≤x＜0.82</w:t>
            </w:r>
          </w:p>
        </w:tc>
        <w:tc>
          <w:tcPr>
            <w:tcW w:w="2954" w:type="dxa"/>
            <w:tcBorders>
              <w:tl2br w:val="nil"/>
              <w:tr2bl w:val="nil"/>
            </w:tcBorders>
            <w:shd w:val="clear" w:color="auto" w:fill="auto"/>
            <w:vAlign w:val="center"/>
          </w:tcPr>
          <w:p w14:paraId="619CDBB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每超0.01g/cm3，扣50 元/吨</w:t>
            </w:r>
          </w:p>
        </w:tc>
      </w:tr>
      <w:tr w14:paraId="4251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869" w:type="dxa"/>
            <w:vMerge w:val="continue"/>
            <w:tcBorders>
              <w:tl2br w:val="nil"/>
              <w:tr2bl w:val="nil"/>
            </w:tcBorders>
            <w:shd w:val="clear" w:color="auto" w:fill="auto"/>
            <w:vAlign w:val="center"/>
          </w:tcPr>
          <w:p w14:paraId="0052064A">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3C53FF07">
            <w:pPr>
              <w:jc w:val="center"/>
              <w:rPr>
                <w:rFonts w:hint="eastAsia" w:ascii="宋体" w:hAnsi="宋体" w:eastAsia="宋体" w:cs="宋体"/>
                <w:b w:val="0"/>
                <w:bCs w:val="0"/>
                <w:i w:val="0"/>
                <w:iCs w:val="0"/>
                <w:color w:val="auto"/>
                <w:sz w:val="22"/>
                <w:szCs w:val="22"/>
                <w:u w:val="none"/>
              </w:rPr>
            </w:pPr>
          </w:p>
        </w:tc>
        <w:tc>
          <w:tcPr>
            <w:tcW w:w="1048" w:type="dxa"/>
            <w:vMerge w:val="restart"/>
            <w:tcBorders>
              <w:tl2br w:val="nil"/>
              <w:tr2bl w:val="nil"/>
            </w:tcBorders>
            <w:shd w:val="clear" w:color="auto" w:fill="auto"/>
            <w:noWrap/>
            <w:vAlign w:val="center"/>
          </w:tcPr>
          <w:p w14:paraId="59C05E8A">
            <w:pPr>
              <w:jc w:val="left"/>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11763FC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vMerge w:val="restart"/>
            <w:tcBorders>
              <w:tl2br w:val="nil"/>
              <w:tr2bl w:val="nil"/>
            </w:tcBorders>
            <w:shd w:val="clear" w:color="auto" w:fill="auto"/>
            <w:vAlign w:val="center"/>
          </w:tcPr>
          <w:p w14:paraId="563A798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x＜0.8</w:t>
            </w:r>
          </w:p>
        </w:tc>
        <w:tc>
          <w:tcPr>
            <w:tcW w:w="2954" w:type="dxa"/>
            <w:tcBorders>
              <w:tl2br w:val="nil"/>
              <w:tr2bl w:val="nil"/>
            </w:tcBorders>
            <w:shd w:val="clear" w:color="auto" w:fill="auto"/>
            <w:vAlign w:val="center"/>
          </w:tcPr>
          <w:p w14:paraId="72DA429C">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每超0.01g/cm3，扣100 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1F4E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869" w:type="dxa"/>
            <w:vMerge w:val="continue"/>
            <w:tcBorders>
              <w:tl2br w:val="nil"/>
              <w:tr2bl w:val="nil"/>
            </w:tcBorders>
            <w:shd w:val="clear" w:color="auto" w:fill="auto"/>
            <w:vAlign w:val="center"/>
          </w:tcPr>
          <w:p w14:paraId="55289A37">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354C7DC3">
            <w:pPr>
              <w:keepNext w:val="0"/>
              <w:keepLines w:val="0"/>
              <w:widowControl/>
              <w:suppressLineNumbers w:val="0"/>
              <w:jc w:val="center"/>
              <w:textAlignment w:val="center"/>
            </w:pPr>
          </w:p>
        </w:tc>
        <w:tc>
          <w:tcPr>
            <w:tcW w:w="1048" w:type="dxa"/>
            <w:vMerge w:val="continue"/>
            <w:tcBorders>
              <w:tl2br w:val="nil"/>
              <w:tr2bl w:val="nil"/>
            </w:tcBorders>
            <w:shd w:val="clear" w:color="auto" w:fill="auto"/>
            <w:noWrap/>
            <w:vAlign w:val="center"/>
          </w:tcPr>
          <w:p w14:paraId="4F2EABF5">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172D756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28634FA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3E528A8A">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5677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869" w:type="dxa"/>
            <w:vMerge w:val="restart"/>
            <w:tcBorders>
              <w:tl2br w:val="nil"/>
              <w:tr2bl w:val="nil"/>
            </w:tcBorders>
            <w:shd w:val="clear" w:color="auto" w:fill="auto"/>
            <w:vAlign w:val="center"/>
          </w:tcPr>
          <w:p w14:paraId="782552F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w:t>
            </w:r>
          </w:p>
        </w:tc>
        <w:tc>
          <w:tcPr>
            <w:tcW w:w="1529" w:type="dxa"/>
            <w:vMerge w:val="restart"/>
            <w:tcBorders>
              <w:tl2br w:val="nil"/>
              <w:tr2bl w:val="nil"/>
            </w:tcBorders>
            <w:shd w:val="clear" w:color="auto" w:fill="auto"/>
            <w:vAlign w:val="center"/>
          </w:tcPr>
          <w:p w14:paraId="003F3D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固定碳%</w:t>
            </w:r>
          </w:p>
        </w:tc>
        <w:tc>
          <w:tcPr>
            <w:tcW w:w="1048" w:type="dxa"/>
            <w:vMerge w:val="restart"/>
            <w:tcBorders>
              <w:tl2br w:val="nil"/>
              <w:tr2bl w:val="nil"/>
            </w:tcBorders>
            <w:shd w:val="clear" w:color="auto" w:fill="auto"/>
            <w:vAlign w:val="center"/>
          </w:tcPr>
          <w:p w14:paraId="3C1A470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≥98</w:t>
            </w:r>
          </w:p>
        </w:tc>
        <w:tc>
          <w:tcPr>
            <w:tcW w:w="1558" w:type="dxa"/>
            <w:tcBorders>
              <w:tl2br w:val="nil"/>
              <w:tr2bl w:val="nil"/>
            </w:tcBorders>
            <w:shd w:val="clear" w:color="auto" w:fill="auto"/>
            <w:vAlign w:val="center"/>
          </w:tcPr>
          <w:p w14:paraId="37EC19A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239A689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97≤x＜98</w:t>
            </w:r>
          </w:p>
        </w:tc>
        <w:tc>
          <w:tcPr>
            <w:tcW w:w="2954" w:type="dxa"/>
            <w:tcBorders>
              <w:tl2br w:val="nil"/>
              <w:tr2bl w:val="nil"/>
            </w:tcBorders>
            <w:shd w:val="clear" w:color="auto" w:fill="auto"/>
            <w:vAlign w:val="center"/>
          </w:tcPr>
          <w:p w14:paraId="49AC1B5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每超1%，扣20元/吨</w:t>
            </w:r>
          </w:p>
        </w:tc>
      </w:tr>
      <w:tr w14:paraId="3A3F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jc w:val="center"/>
        </w:trPr>
        <w:tc>
          <w:tcPr>
            <w:tcW w:w="869" w:type="dxa"/>
            <w:vMerge w:val="continue"/>
            <w:tcBorders>
              <w:tl2br w:val="nil"/>
              <w:tr2bl w:val="nil"/>
            </w:tcBorders>
            <w:shd w:val="clear" w:color="auto" w:fill="auto"/>
            <w:vAlign w:val="center"/>
          </w:tcPr>
          <w:p w14:paraId="04EEBC50">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49ADEC11">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4B121D4C">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261D33B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41B28FD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96≤x＜97</w:t>
            </w:r>
          </w:p>
        </w:tc>
        <w:tc>
          <w:tcPr>
            <w:tcW w:w="2954" w:type="dxa"/>
            <w:tcBorders>
              <w:tl2br w:val="nil"/>
              <w:tr2bl w:val="nil"/>
            </w:tcBorders>
            <w:shd w:val="clear" w:color="auto" w:fill="auto"/>
            <w:vAlign w:val="center"/>
          </w:tcPr>
          <w:p w14:paraId="7455E53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每超1%，扣50元/吨</w:t>
            </w:r>
          </w:p>
        </w:tc>
      </w:tr>
      <w:tr w14:paraId="61BC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7412886A">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66AF147D">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4EEE1FD4">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6FF0674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vMerge w:val="restart"/>
            <w:tcBorders>
              <w:tl2br w:val="nil"/>
              <w:tr2bl w:val="nil"/>
            </w:tcBorders>
            <w:shd w:val="clear" w:color="auto" w:fill="auto"/>
            <w:vAlign w:val="center"/>
          </w:tcPr>
          <w:p w14:paraId="42A29D4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x＜96</w:t>
            </w:r>
          </w:p>
        </w:tc>
        <w:tc>
          <w:tcPr>
            <w:tcW w:w="2954" w:type="dxa"/>
            <w:tcBorders>
              <w:tl2br w:val="nil"/>
              <w:tr2bl w:val="nil"/>
            </w:tcBorders>
            <w:shd w:val="clear" w:color="auto" w:fill="auto"/>
            <w:vAlign w:val="center"/>
          </w:tcPr>
          <w:p w14:paraId="76CCA5A5">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每超1%，扣100元/吨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3446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6B41F324">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5033C527">
            <w:pPr>
              <w:keepNext w:val="0"/>
              <w:keepLines w:val="0"/>
              <w:widowControl/>
              <w:suppressLineNumbers w:val="0"/>
              <w:jc w:val="center"/>
              <w:textAlignment w:val="center"/>
            </w:pPr>
          </w:p>
        </w:tc>
        <w:tc>
          <w:tcPr>
            <w:tcW w:w="1048" w:type="dxa"/>
            <w:vMerge w:val="continue"/>
            <w:tcBorders>
              <w:tl2br w:val="nil"/>
              <w:tr2bl w:val="nil"/>
            </w:tcBorders>
            <w:shd w:val="clear" w:color="auto" w:fill="auto"/>
            <w:vAlign w:val="center"/>
          </w:tcPr>
          <w:p w14:paraId="579A2577">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1130793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5C33F09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7B350BD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2125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869" w:type="dxa"/>
            <w:vMerge w:val="restart"/>
            <w:tcBorders>
              <w:tl2br w:val="nil"/>
              <w:tr2bl w:val="nil"/>
            </w:tcBorders>
            <w:shd w:val="clear" w:color="auto" w:fill="auto"/>
            <w:vAlign w:val="center"/>
          </w:tcPr>
          <w:p w14:paraId="24CB436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1529" w:type="dxa"/>
            <w:vMerge w:val="restart"/>
            <w:tcBorders>
              <w:tl2br w:val="nil"/>
              <w:tr2bl w:val="nil"/>
            </w:tcBorders>
            <w:shd w:val="clear" w:color="auto" w:fill="auto"/>
            <w:vAlign w:val="center"/>
          </w:tcPr>
          <w:p w14:paraId="6C22930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矾（ppm）</w:t>
            </w:r>
          </w:p>
        </w:tc>
        <w:tc>
          <w:tcPr>
            <w:tcW w:w="1048" w:type="dxa"/>
            <w:vMerge w:val="restart"/>
            <w:tcBorders>
              <w:tl2br w:val="nil"/>
              <w:tr2bl w:val="nil"/>
            </w:tcBorders>
            <w:shd w:val="clear" w:color="auto" w:fill="auto"/>
            <w:vAlign w:val="center"/>
          </w:tcPr>
          <w:p w14:paraId="10E29A4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≤520</w:t>
            </w:r>
          </w:p>
        </w:tc>
        <w:tc>
          <w:tcPr>
            <w:tcW w:w="1558" w:type="dxa"/>
            <w:tcBorders>
              <w:tl2br w:val="nil"/>
              <w:tr2bl w:val="nil"/>
            </w:tcBorders>
            <w:shd w:val="clear" w:color="auto" w:fill="auto"/>
            <w:vAlign w:val="center"/>
          </w:tcPr>
          <w:p w14:paraId="4520F81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25F44C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520＜x≤530</w:t>
            </w:r>
          </w:p>
        </w:tc>
        <w:tc>
          <w:tcPr>
            <w:tcW w:w="2954" w:type="dxa"/>
            <w:tcBorders>
              <w:tl2br w:val="nil"/>
              <w:tr2bl w:val="nil"/>
            </w:tcBorders>
            <w:shd w:val="clear" w:color="auto" w:fill="auto"/>
            <w:vAlign w:val="center"/>
          </w:tcPr>
          <w:p w14:paraId="2D641F4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1487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869" w:type="dxa"/>
            <w:vMerge w:val="continue"/>
            <w:tcBorders>
              <w:tl2br w:val="nil"/>
              <w:tr2bl w:val="nil"/>
            </w:tcBorders>
            <w:shd w:val="clear" w:color="auto" w:fill="auto"/>
            <w:vAlign w:val="center"/>
          </w:tcPr>
          <w:p w14:paraId="0969E7D2">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61B45679">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05D8A8F0">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66954E9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3994744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530＜x≤540</w:t>
            </w:r>
          </w:p>
        </w:tc>
        <w:tc>
          <w:tcPr>
            <w:tcW w:w="2954" w:type="dxa"/>
            <w:tcBorders>
              <w:tl2br w:val="nil"/>
              <w:tr2bl w:val="nil"/>
            </w:tcBorders>
            <w:shd w:val="clear" w:color="auto" w:fill="auto"/>
            <w:vAlign w:val="center"/>
          </w:tcPr>
          <w:p w14:paraId="7D9289B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75E6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71BE7CCA">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7EEA61B5">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49852187">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21B9A8F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vMerge w:val="restart"/>
            <w:tcBorders>
              <w:tl2br w:val="nil"/>
              <w:tr2bl w:val="nil"/>
            </w:tcBorders>
            <w:shd w:val="clear" w:color="auto" w:fill="auto"/>
            <w:vAlign w:val="center"/>
          </w:tcPr>
          <w:p w14:paraId="1AAE918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x&gt;540</w:t>
            </w:r>
          </w:p>
        </w:tc>
        <w:tc>
          <w:tcPr>
            <w:tcW w:w="2954" w:type="dxa"/>
            <w:tcBorders>
              <w:tl2br w:val="nil"/>
              <w:tr2bl w:val="nil"/>
            </w:tcBorders>
            <w:shd w:val="clear" w:color="auto" w:fill="auto"/>
            <w:vAlign w:val="center"/>
          </w:tcPr>
          <w:p w14:paraId="211F14E0">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每超1ppm扣6元/吨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4FE8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71E6C7C3">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3EBC8A4F">
            <w:pPr>
              <w:keepNext w:val="0"/>
              <w:keepLines w:val="0"/>
              <w:widowControl/>
              <w:suppressLineNumbers w:val="0"/>
              <w:jc w:val="center"/>
              <w:textAlignment w:val="center"/>
            </w:pPr>
          </w:p>
        </w:tc>
        <w:tc>
          <w:tcPr>
            <w:tcW w:w="1048" w:type="dxa"/>
            <w:vMerge w:val="continue"/>
            <w:tcBorders>
              <w:tl2br w:val="nil"/>
              <w:tr2bl w:val="nil"/>
            </w:tcBorders>
            <w:shd w:val="clear" w:color="auto" w:fill="auto"/>
            <w:vAlign w:val="center"/>
          </w:tcPr>
          <w:p w14:paraId="5FDFA09A">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0CF8CF2D">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3A596AC9">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05C7559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31F9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869" w:type="dxa"/>
            <w:vMerge w:val="restart"/>
            <w:tcBorders>
              <w:tl2br w:val="nil"/>
              <w:tr2bl w:val="nil"/>
            </w:tcBorders>
            <w:shd w:val="clear" w:color="auto" w:fill="auto"/>
            <w:vAlign w:val="center"/>
          </w:tcPr>
          <w:p w14:paraId="203536D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1529" w:type="dxa"/>
            <w:vMerge w:val="restart"/>
            <w:tcBorders>
              <w:tl2br w:val="nil"/>
              <w:tr2bl w:val="nil"/>
            </w:tcBorders>
            <w:shd w:val="clear" w:color="auto" w:fill="auto"/>
            <w:vAlign w:val="center"/>
          </w:tcPr>
          <w:p w14:paraId="0E6E9A9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铁（ppm）</w:t>
            </w:r>
          </w:p>
        </w:tc>
        <w:tc>
          <w:tcPr>
            <w:tcW w:w="1048" w:type="dxa"/>
            <w:vMerge w:val="restart"/>
            <w:tcBorders>
              <w:tl2br w:val="nil"/>
              <w:tr2bl w:val="nil"/>
            </w:tcBorders>
            <w:shd w:val="clear" w:color="auto" w:fill="auto"/>
            <w:vAlign w:val="center"/>
          </w:tcPr>
          <w:p w14:paraId="56D8500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≤400</w:t>
            </w:r>
          </w:p>
        </w:tc>
        <w:tc>
          <w:tcPr>
            <w:tcW w:w="1558" w:type="dxa"/>
            <w:tcBorders>
              <w:tl2br w:val="nil"/>
              <w:tr2bl w:val="nil"/>
            </w:tcBorders>
            <w:shd w:val="clear" w:color="auto" w:fill="auto"/>
            <w:vAlign w:val="center"/>
          </w:tcPr>
          <w:p w14:paraId="3E5007C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2CDB003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400＜x≤410</w:t>
            </w:r>
          </w:p>
        </w:tc>
        <w:tc>
          <w:tcPr>
            <w:tcW w:w="2954" w:type="dxa"/>
            <w:tcBorders>
              <w:tl2br w:val="nil"/>
              <w:tr2bl w:val="nil"/>
            </w:tcBorders>
            <w:shd w:val="clear" w:color="auto" w:fill="auto"/>
            <w:vAlign w:val="center"/>
          </w:tcPr>
          <w:p w14:paraId="534C633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2D84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869" w:type="dxa"/>
            <w:vMerge w:val="continue"/>
            <w:tcBorders>
              <w:tl2br w:val="nil"/>
              <w:tr2bl w:val="nil"/>
            </w:tcBorders>
            <w:shd w:val="clear" w:color="auto" w:fill="auto"/>
            <w:vAlign w:val="center"/>
          </w:tcPr>
          <w:p w14:paraId="4EF35EDF">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7F6F5EE1">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337E683C">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62B341E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79F63E4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410＜x≤430</w:t>
            </w:r>
          </w:p>
        </w:tc>
        <w:tc>
          <w:tcPr>
            <w:tcW w:w="2954" w:type="dxa"/>
            <w:tcBorders>
              <w:tl2br w:val="nil"/>
              <w:tr2bl w:val="nil"/>
            </w:tcBorders>
            <w:shd w:val="clear" w:color="auto" w:fill="auto"/>
            <w:vAlign w:val="center"/>
          </w:tcPr>
          <w:p w14:paraId="0A4DB4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7067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00888470">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6164AF8A">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066EE1E1">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2D78DCD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vMerge w:val="restart"/>
            <w:tcBorders>
              <w:tl2br w:val="nil"/>
              <w:tr2bl w:val="nil"/>
            </w:tcBorders>
            <w:shd w:val="clear" w:color="auto" w:fill="auto"/>
            <w:vAlign w:val="center"/>
          </w:tcPr>
          <w:p w14:paraId="0F1CB2D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x&gt;430</w:t>
            </w:r>
          </w:p>
        </w:tc>
        <w:tc>
          <w:tcPr>
            <w:tcW w:w="2954" w:type="dxa"/>
            <w:tcBorders>
              <w:tl2br w:val="nil"/>
              <w:tr2bl w:val="nil"/>
            </w:tcBorders>
            <w:shd w:val="clear" w:color="auto" w:fill="auto"/>
            <w:vAlign w:val="center"/>
          </w:tcPr>
          <w:p w14:paraId="3AD4F47F">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每超1ppm扣6元/吨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19CD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46483180">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6B994980">
            <w:pPr>
              <w:keepNext w:val="0"/>
              <w:keepLines w:val="0"/>
              <w:widowControl/>
              <w:suppressLineNumbers w:val="0"/>
              <w:jc w:val="center"/>
              <w:textAlignment w:val="center"/>
            </w:pPr>
          </w:p>
        </w:tc>
        <w:tc>
          <w:tcPr>
            <w:tcW w:w="1048" w:type="dxa"/>
            <w:vMerge w:val="continue"/>
            <w:tcBorders>
              <w:tl2br w:val="nil"/>
              <w:tr2bl w:val="nil"/>
            </w:tcBorders>
            <w:shd w:val="clear" w:color="auto" w:fill="auto"/>
            <w:vAlign w:val="center"/>
          </w:tcPr>
          <w:p w14:paraId="33399A53">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0AAE982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095BD290">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339CC2C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491F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869" w:type="dxa"/>
            <w:vMerge w:val="restart"/>
            <w:tcBorders>
              <w:tl2br w:val="nil"/>
              <w:tr2bl w:val="nil"/>
            </w:tcBorders>
            <w:shd w:val="clear" w:color="auto" w:fill="auto"/>
            <w:vAlign w:val="center"/>
          </w:tcPr>
          <w:p w14:paraId="5939C04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1529" w:type="dxa"/>
            <w:vMerge w:val="restart"/>
            <w:tcBorders>
              <w:tl2br w:val="nil"/>
              <w:tr2bl w:val="nil"/>
            </w:tcBorders>
            <w:shd w:val="clear" w:color="auto" w:fill="auto"/>
            <w:vAlign w:val="center"/>
          </w:tcPr>
          <w:p w14:paraId="19C58FF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硅（ppm）</w:t>
            </w:r>
          </w:p>
        </w:tc>
        <w:tc>
          <w:tcPr>
            <w:tcW w:w="1048" w:type="dxa"/>
            <w:vMerge w:val="restart"/>
            <w:tcBorders>
              <w:tl2br w:val="nil"/>
              <w:tr2bl w:val="nil"/>
            </w:tcBorders>
            <w:shd w:val="clear" w:color="auto" w:fill="auto"/>
            <w:vAlign w:val="center"/>
          </w:tcPr>
          <w:p w14:paraId="7A5D58A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w:t>
            </w:r>
          </w:p>
        </w:tc>
        <w:tc>
          <w:tcPr>
            <w:tcW w:w="1558" w:type="dxa"/>
            <w:tcBorders>
              <w:tl2br w:val="nil"/>
              <w:tr2bl w:val="nil"/>
            </w:tcBorders>
            <w:shd w:val="clear" w:color="auto" w:fill="auto"/>
            <w:vAlign w:val="center"/>
          </w:tcPr>
          <w:p w14:paraId="1D6303F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6225C8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300＜x≤320</w:t>
            </w:r>
          </w:p>
        </w:tc>
        <w:tc>
          <w:tcPr>
            <w:tcW w:w="2954" w:type="dxa"/>
            <w:tcBorders>
              <w:tl2br w:val="nil"/>
              <w:tr2bl w:val="nil"/>
            </w:tcBorders>
            <w:shd w:val="clear" w:color="auto" w:fill="auto"/>
            <w:vAlign w:val="center"/>
          </w:tcPr>
          <w:p w14:paraId="795907A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1175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869" w:type="dxa"/>
            <w:vMerge w:val="continue"/>
            <w:tcBorders>
              <w:tl2br w:val="nil"/>
              <w:tr2bl w:val="nil"/>
            </w:tcBorders>
            <w:shd w:val="clear" w:color="auto" w:fill="auto"/>
            <w:vAlign w:val="center"/>
          </w:tcPr>
          <w:p w14:paraId="1FA759ED">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3140B6B4">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4292ABF2">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3DF2B47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508D122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320＜x≤350</w:t>
            </w:r>
          </w:p>
        </w:tc>
        <w:tc>
          <w:tcPr>
            <w:tcW w:w="2954" w:type="dxa"/>
            <w:tcBorders>
              <w:tl2br w:val="nil"/>
              <w:tr2bl w:val="nil"/>
            </w:tcBorders>
            <w:shd w:val="clear" w:color="auto" w:fill="auto"/>
            <w:vAlign w:val="center"/>
          </w:tcPr>
          <w:p w14:paraId="330CA18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5B7A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3BD1C39D">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68FA42EA">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1BC6FC91">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0D427AB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vMerge w:val="restart"/>
            <w:tcBorders>
              <w:tl2br w:val="nil"/>
              <w:tr2bl w:val="nil"/>
            </w:tcBorders>
            <w:shd w:val="clear" w:color="auto" w:fill="auto"/>
            <w:vAlign w:val="center"/>
          </w:tcPr>
          <w:p w14:paraId="4FBE49A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x&gt;350</w:t>
            </w:r>
          </w:p>
        </w:tc>
        <w:tc>
          <w:tcPr>
            <w:tcW w:w="2954" w:type="dxa"/>
            <w:tcBorders>
              <w:tl2br w:val="nil"/>
              <w:tr2bl w:val="nil"/>
            </w:tcBorders>
            <w:shd w:val="clear" w:color="auto" w:fill="auto"/>
            <w:vAlign w:val="center"/>
          </w:tcPr>
          <w:p w14:paraId="424F98AA">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每超1ppm扣6元/吨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1096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663A222F">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56E09626">
            <w:pPr>
              <w:keepNext w:val="0"/>
              <w:keepLines w:val="0"/>
              <w:widowControl/>
              <w:suppressLineNumbers w:val="0"/>
              <w:jc w:val="center"/>
              <w:textAlignment w:val="center"/>
            </w:pPr>
          </w:p>
        </w:tc>
        <w:tc>
          <w:tcPr>
            <w:tcW w:w="1048" w:type="dxa"/>
            <w:vMerge w:val="continue"/>
            <w:tcBorders>
              <w:tl2br w:val="nil"/>
              <w:tr2bl w:val="nil"/>
            </w:tcBorders>
            <w:shd w:val="clear" w:color="auto" w:fill="auto"/>
            <w:vAlign w:val="center"/>
          </w:tcPr>
          <w:p w14:paraId="6AC81C71">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3A419555">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28B8A73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79BEF3C1">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6A78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869" w:type="dxa"/>
            <w:vMerge w:val="restart"/>
            <w:tcBorders>
              <w:tl2br w:val="nil"/>
              <w:tr2bl w:val="nil"/>
            </w:tcBorders>
            <w:shd w:val="clear" w:color="auto" w:fill="auto"/>
            <w:vAlign w:val="center"/>
          </w:tcPr>
          <w:p w14:paraId="58E0A18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c>
          <w:tcPr>
            <w:tcW w:w="1529" w:type="dxa"/>
            <w:vMerge w:val="restart"/>
            <w:tcBorders>
              <w:tl2br w:val="nil"/>
              <w:tr2bl w:val="nil"/>
            </w:tcBorders>
            <w:shd w:val="clear" w:color="auto" w:fill="auto"/>
            <w:vAlign w:val="center"/>
          </w:tcPr>
          <w:p w14:paraId="2502681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钠（ppm）</w:t>
            </w:r>
          </w:p>
        </w:tc>
        <w:tc>
          <w:tcPr>
            <w:tcW w:w="1048" w:type="dxa"/>
            <w:vMerge w:val="restart"/>
            <w:tcBorders>
              <w:tl2br w:val="nil"/>
              <w:tr2bl w:val="nil"/>
            </w:tcBorders>
            <w:shd w:val="clear" w:color="auto" w:fill="auto"/>
            <w:vAlign w:val="center"/>
          </w:tcPr>
          <w:p w14:paraId="54E58E3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w:t>
            </w:r>
          </w:p>
        </w:tc>
        <w:tc>
          <w:tcPr>
            <w:tcW w:w="1558" w:type="dxa"/>
            <w:tcBorders>
              <w:tl2br w:val="nil"/>
              <w:tr2bl w:val="nil"/>
            </w:tcBorders>
            <w:shd w:val="clear" w:color="auto" w:fill="auto"/>
            <w:vAlign w:val="center"/>
          </w:tcPr>
          <w:p w14:paraId="74FFBDE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47DF5F6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300＜x≤320</w:t>
            </w:r>
          </w:p>
        </w:tc>
        <w:tc>
          <w:tcPr>
            <w:tcW w:w="2954" w:type="dxa"/>
            <w:tcBorders>
              <w:tl2br w:val="nil"/>
              <w:tr2bl w:val="nil"/>
            </w:tcBorders>
            <w:shd w:val="clear" w:color="auto" w:fill="auto"/>
            <w:vAlign w:val="center"/>
          </w:tcPr>
          <w:p w14:paraId="5985FDC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14:paraId="6F9A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869" w:type="dxa"/>
            <w:vMerge w:val="continue"/>
            <w:tcBorders>
              <w:tl2br w:val="nil"/>
              <w:tr2bl w:val="nil"/>
            </w:tcBorders>
            <w:shd w:val="clear" w:color="auto" w:fill="auto"/>
            <w:vAlign w:val="center"/>
          </w:tcPr>
          <w:p w14:paraId="56C47CD4">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00C5B5B8">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3C9BB91C">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721B975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3519A44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320＜x≤350</w:t>
            </w:r>
          </w:p>
        </w:tc>
        <w:tc>
          <w:tcPr>
            <w:tcW w:w="2954" w:type="dxa"/>
            <w:tcBorders>
              <w:tl2br w:val="nil"/>
              <w:tr2bl w:val="nil"/>
            </w:tcBorders>
            <w:shd w:val="clear" w:color="auto" w:fill="auto"/>
            <w:vAlign w:val="center"/>
          </w:tcPr>
          <w:p w14:paraId="59E60ED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14:paraId="2A97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626F2F98">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21A99B20">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50A0FFA7">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79385D2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vMerge w:val="restart"/>
            <w:tcBorders>
              <w:tl2br w:val="nil"/>
              <w:tr2bl w:val="nil"/>
            </w:tcBorders>
            <w:shd w:val="clear" w:color="auto" w:fill="auto"/>
            <w:vAlign w:val="center"/>
          </w:tcPr>
          <w:p w14:paraId="3C76D19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x&gt;350</w:t>
            </w:r>
          </w:p>
        </w:tc>
        <w:tc>
          <w:tcPr>
            <w:tcW w:w="2954" w:type="dxa"/>
            <w:tcBorders>
              <w:tl2br w:val="nil"/>
              <w:tr2bl w:val="nil"/>
            </w:tcBorders>
            <w:shd w:val="clear" w:color="auto" w:fill="auto"/>
            <w:vAlign w:val="center"/>
          </w:tcPr>
          <w:p w14:paraId="0E0F8339">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每超1ppm扣6元/吨，因质量问题造成的损失由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kern w:val="0"/>
                <w:sz w:val="22"/>
                <w:szCs w:val="22"/>
                <w:u w:val="none"/>
                <w:lang w:val="en-US" w:eastAsia="zh-CN" w:bidi="ar"/>
              </w:rPr>
              <w:t>承担</w:t>
            </w:r>
          </w:p>
        </w:tc>
      </w:tr>
      <w:tr w14:paraId="66AA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21BE18E0">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376E4DD4">
            <w:pPr>
              <w:keepNext w:val="0"/>
              <w:keepLines w:val="0"/>
              <w:widowControl/>
              <w:suppressLineNumbers w:val="0"/>
              <w:jc w:val="center"/>
              <w:textAlignment w:val="center"/>
            </w:pPr>
          </w:p>
        </w:tc>
        <w:tc>
          <w:tcPr>
            <w:tcW w:w="1048" w:type="dxa"/>
            <w:vMerge w:val="continue"/>
            <w:tcBorders>
              <w:tl2br w:val="nil"/>
              <w:tr2bl w:val="nil"/>
            </w:tcBorders>
            <w:shd w:val="clear" w:color="auto" w:fill="auto"/>
            <w:vAlign w:val="center"/>
          </w:tcPr>
          <w:p w14:paraId="7E01BA85">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484F8022">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7941D663">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vAlign w:val="center"/>
          </w:tcPr>
          <w:p w14:paraId="3576377C">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31F7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69" w:type="dxa"/>
            <w:vMerge w:val="restart"/>
            <w:tcBorders>
              <w:tl2br w:val="nil"/>
              <w:tr2bl w:val="nil"/>
            </w:tcBorders>
            <w:shd w:val="clear" w:color="auto" w:fill="auto"/>
            <w:vAlign w:val="center"/>
          </w:tcPr>
          <w:p w14:paraId="471F69D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w:t>
            </w:r>
          </w:p>
        </w:tc>
        <w:tc>
          <w:tcPr>
            <w:tcW w:w="1529" w:type="dxa"/>
            <w:vMerge w:val="restart"/>
            <w:tcBorders>
              <w:tl2br w:val="nil"/>
              <w:tr2bl w:val="nil"/>
            </w:tcBorders>
            <w:shd w:val="clear" w:color="auto" w:fill="auto"/>
            <w:vAlign w:val="center"/>
          </w:tcPr>
          <w:p w14:paraId="030CDAE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粒度（1mm以下)%</w:t>
            </w:r>
          </w:p>
        </w:tc>
        <w:tc>
          <w:tcPr>
            <w:tcW w:w="1048" w:type="dxa"/>
            <w:vMerge w:val="restart"/>
            <w:tcBorders>
              <w:tl2br w:val="nil"/>
              <w:tr2bl w:val="nil"/>
            </w:tcBorders>
            <w:shd w:val="clear" w:color="auto" w:fill="auto"/>
            <w:vAlign w:val="center"/>
          </w:tcPr>
          <w:p w14:paraId="32C3609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w:t>
            </w:r>
          </w:p>
        </w:tc>
        <w:tc>
          <w:tcPr>
            <w:tcW w:w="1558" w:type="dxa"/>
            <w:tcBorders>
              <w:tl2br w:val="nil"/>
              <w:tr2bl w:val="nil"/>
            </w:tcBorders>
            <w:shd w:val="clear" w:color="auto" w:fill="auto"/>
            <w:vAlign w:val="center"/>
          </w:tcPr>
          <w:p w14:paraId="08BF377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l2br w:val="nil"/>
              <w:tr2bl w:val="nil"/>
            </w:tcBorders>
            <w:shd w:val="clear" w:color="auto" w:fill="auto"/>
            <w:vAlign w:val="center"/>
          </w:tcPr>
          <w:p w14:paraId="185EF86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40＜x≤50</w:t>
            </w:r>
          </w:p>
        </w:tc>
        <w:tc>
          <w:tcPr>
            <w:tcW w:w="2954" w:type="dxa"/>
            <w:tcBorders>
              <w:tl2br w:val="nil"/>
              <w:tr2bl w:val="nil"/>
            </w:tcBorders>
            <w:shd w:val="clear" w:color="auto" w:fill="auto"/>
            <w:vAlign w:val="center"/>
          </w:tcPr>
          <w:p w14:paraId="3EDFB40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每超1%，扣5 元/吨</w:t>
            </w:r>
          </w:p>
        </w:tc>
      </w:tr>
      <w:tr w14:paraId="6A78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003F1376">
            <w:pPr>
              <w:jc w:val="center"/>
              <w:rPr>
                <w:rFonts w:hint="eastAsia" w:ascii="宋体" w:hAnsi="宋体" w:eastAsia="宋体" w:cs="宋体"/>
                <w:b w:val="0"/>
                <w:bCs w:val="0"/>
                <w:i w:val="0"/>
                <w:iCs w:val="0"/>
                <w:color w:val="auto"/>
                <w:sz w:val="22"/>
                <w:szCs w:val="22"/>
                <w:u w:val="none"/>
              </w:rPr>
            </w:pPr>
          </w:p>
        </w:tc>
        <w:tc>
          <w:tcPr>
            <w:tcW w:w="1529" w:type="dxa"/>
            <w:vMerge w:val="continue"/>
            <w:tcBorders>
              <w:tl2br w:val="nil"/>
              <w:tr2bl w:val="nil"/>
            </w:tcBorders>
            <w:shd w:val="clear" w:color="auto" w:fill="auto"/>
            <w:vAlign w:val="center"/>
          </w:tcPr>
          <w:p w14:paraId="2723DF9B">
            <w:pPr>
              <w:jc w:val="center"/>
              <w:rPr>
                <w:rFonts w:hint="eastAsia" w:ascii="宋体" w:hAnsi="宋体" w:eastAsia="宋体" w:cs="宋体"/>
                <w:b w:val="0"/>
                <w:bCs w:val="0"/>
                <w:i w:val="0"/>
                <w:iCs w:val="0"/>
                <w:color w:val="auto"/>
                <w:sz w:val="22"/>
                <w:szCs w:val="22"/>
                <w:u w:val="none"/>
              </w:rPr>
            </w:pPr>
          </w:p>
        </w:tc>
        <w:tc>
          <w:tcPr>
            <w:tcW w:w="1048" w:type="dxa"/>
            <w:vMerge w:val="continue"/>
            <w:tcBorders>
              <w:tl2br w:val="nil"/>
              <w:tr2bl w:val="nil"/>
            </w:tcBorders>
            <w:shd w:val="clear" w:color="auto" w:fill="auto"/>
            <w:vAlign w:val="center"/>
          </w:tcPr>
          <w:p w14:paraId="43BBA1D4">
            <w:pPr>
              <w:jc w:val="center"/>
              <w:rPr>
                <w:rFonts w:hint="eastAsia" w:ascii="宋体" w:hAnsi="宋体" w:eastAsia="宋体" w:cs="宋体"/>
                <w:b w:val="0"/>
                <w:bCs w:val="0"/>
                <w:i w:val="0"/>
                <w:iCs w:val="0"/>
                <w:color w:val="auto"/>
                <w:sz w:val="22"/>
                <w:szCs w:val="22"/>
                <w:u w:val="none"/>
              </w:rPr>
            </w:pPr>
          </w:p>
        </w:tc>
        <w:tc>
          <w:tcPr>
            <w:tcW w:w="1558" w:type="dxa"/>
            <w:tcBorders>
              <w:tl2br w:val="nil"/>
              <w:tr2bl w:val="nil"/>
            </w:tcBorders>
            <w:shd w:val="clear" w:color="auto" w:fill="auto"/>
            <w:vAlign w:val="center"/>
          </w:tcPr>
          <w:p w14:paraId="2707A25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vMerge w:val="restart"/>
            <w:tcBorders>
              <w:tl2br w:val="nil"/>
              <w:tr2bl w:val="nil"/>
            </w:tcBorders>
            <w:shd w:val="clear" w:color="auto" w:fill="auto"/>
            <w:vAlign w:val="center"/>
          </w:tcPr>
          <w:p w14:paraId="6E3CD7C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＞50</w:t>
            </w:r>
          </w:p>
        </w:tc>
        <w:tc>
          <w:tcPr>
            <w:tcW w:w="2954" w:type="dxa"/>
            <w:tcBorders>
              <w:tl2br w:val="nil"/>
              <w:tr2bl w:val="nil"/>
            </w:tcBorders>
            <w:shd w:val="clear" w:color="auto" w:fill="auto"/>
            <w:noWrap/>
            <w:vAlign w:val="center"/>
          </w:tcPr>
          <w:p w14:paraId="79F4DB2E">
            <w:pPr>
              <w:jc w:val="center"/>
              <w:rPr>
                <w:rFonts w:hint="default"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kern w:val="0"/>
                <w:sz w:val="22"/>
                <w:szCs w:val="22"/>
                <w:u w:val="none"/>
                <w:lang w:val="en-US" w:eastAsia="zh-CN" w:bidi="ar"/>
              </w:rPr>
              <w:t>每超1%，扣10元/吨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14:paraId="09CC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869" w:type="dxa"/>
            <w:vMerge w:val="continue"/>
            <w:tcBorders>
              <w:tl2br w:val="nil"/>
              <w:tr2bl w:val="nil"/>
            </w:tcBorders>
            <w:shd w:val="clear" w:color="auto" w:fill="auto"/>
            <w:vAlign w:val="center"/>
          </w:tcPr>
          <w:p w14:paraId="35618810">
            <w:pPr>
              <w:keepNext w:val="0"/>
              <w:keepLines w:val="0"/>
              <w:widowControl/>
              <w:suppressLineNumbers w:val="0"/>
              <w:jc w:val="center"/>
              <w:textAlignment w:val="center"/>
            </w:pPr>
          </w:p>
        </w:tc>
        <w:tc>
          <w:tcPr>
            <w:tcW w:w="1529" w:type="dxa"/>
            <w:vMerge w:val="continue"/>
            <w:tcBorders>
              <w:tl2br w:val="nil"/>
              <w:tr2bl w:val="nil"/>
            </w:tcBorders>
            <w:shd w:val="clear" w:color="auto" w:fill="auto"/>
            <w:vAlign w:val="center"/>
          </w:tcPr>
          <w:p w14:paraId="5A79E059">
            <w:pPr>
              <w:keepNext w:val="0"/>
              <w:keepLines w:val="0"/>
              <w:widowControl/>
              <w:suppressLineNumbers w:val="0"/>
              <w:jc w:val="center"/>
              <w:textAlignment w:val="center"/>
            </w:pPr>
          </w:p>
        </w:tc>
        <w:tc>
          <w:tcPr>
            <w:tcW w:w="1048" w:type="dxa"/>
            <w:vMerge w:val="continue"/>
            <w:tcBorders>
              <w:tl2br w:val="nil"/>
              <w:tr2bl w:val="nil"/>
            </w:tcBorders>
            <w:shd w:val="clear" w:color="auto" w:fill="auto"/>
            <w:vAlign w:val="center"/>
          </w:tcPr>
          <w:p w14:paraId="4D0F22AF">
            <w:pPr>
              <w:keepNext w:val="0"/>
              <w:keepLines w:val="0"/>
              <w:widowControl/>
              <w:suppressLineNumbers w:val="0"/>
              <w:jc w:val="center"/>
              <w:textAlignment w:val="center"/>
            </w:pPr>
          </w:p>
        </w:tc>
        <w:tc>
          <w:tcPr>
            <w:tcW w:w="1558" w:type="dxa"/>
            <w:tcBorders>
              <w:tl2br w:val="nil"/>
              <w:tr2bl w:val="nil"/>
            </w:tcBorders>
            <w:shd w:val="clear" w:color="auto" w:fill="auto"/>
            <w:vAlign w:val="center"/>
          </w:tcPr>
          <w:p w14:paraId="3B3AD587">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vMerge w:val="continue"/>
            <w:tcBorders>
              <w:tl2br w:val="nil"/>
              <w:tr2bl w:val="nil"/>
            </w:tcBorders>
            <w:shd w:val="clear" w:color="auto" w:fill="auto"/>
            <w:vAlign w:val="center"/>
          </w:tcPr>
          <w:p w14:paraId="4FA823E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954" w:type="dxa"/>
            <w:tcBorders>
              <w:tl2br w:val="nil"/>
              <w:tr2bl w:val="nil"/>
            </w:tcBorders>
            <w:shd w:val="clear" w:color="auto" w:fill="auto"/>
            <w:noWrap/>
            <w:vAlign w:val="center"/>
          </w:tcPr>
          <w:p w14:paraId="662A33C4">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按照合同第八条退货处理</w:t>
            </w:r>
          </w:p>
        </w:tc>
      </w:tr>
      <w:tr w14:paraId="30DC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1" w:hRule="atLeast"/>
          <w:jc w:val="center"/>
        </w:trPr>
        <w:tc>
          <w:tcPr>
            <w:tcW w:w="9483" w:type="dxa"/>
            <w:gridSpan w:val="6"/>
            <w:tcBorders>
              <w:tl2br w:val="nil"/>
              <w:tr2bl w:val="nil"/>
            </w:tcBorders>
            <w:shd w:val="clear" w:color="auto" w:fill="auto"/>
            <w:vAlign w:val="center"/>
          </w:tcPr>
          <w:p w14:paraId="58CB68C8">
            <w:pPr>
              <w:rPr>
                <w:rFonts w:hint="default" w:ascii="宋体" w:hAnsi="宋体" w:eastAsia="宋体" w:cs="宋体"/>
                <w:b w:val="0"/>
                <w:bCs w:val="0"/>
                <w:i w:val="0"/>
                <w:iCs w:val="0"/>
                <w:color w:val="000000"/>
                <w:sz w:val="22"/>
                <w:szCs w:val="22"/>
                <w:u w:val="none"/>
                <w:lang w:val="en-US"/>
              </w:rPr>
            </w:pPr>
            <w:r>
              <w:rPr>
                <w:rFonts w:hint="eastAsia" w:ascii="宋体" w:hAnsi="宋体" w:eastAsia="宋体" w:cs="宋体"/>
                <w:color w:val="auto"/>
                <w:sz w:val="24"/>
                <w:szCs w:val="24"/>
                <w:highlight w:val="none"/>
                <w:lang w:val="en-US" w:eastAsia="zh-CN"/>
              </w:rPr>
              <w:t>注：上述扣款不分段计算。</w:t>
            </w:r>
          </w:p>
        </w:tc>
      </w:tr>
    </w:tbl>
    <w:p w14:paraId="69103BF5">
      <w:pPr>
        <w:pStyle w:val="4"/>
        <w:spacing w:line="240" w:lineRule="auto"/>
        <w:rPr>
          <w:rFonts w:hint="eastAsia"/>
          <w:highlight w:val="yellow"/>
          <w:lang w:val="en-US" w:eastAsia="zh-CN"/>
        </w:rPr>
      </w:pPr>
    </w:p>
    <w:tbl>
      <w:tblPr>
        <w:tblStyle w:val="14"/>
        <w:tblpPr w:leftFromText="180" w:rightFromText="180" w:vertAnchor="text" w:horzAnchor="page" w:tblpX="1467" w:tblpY="343"/>
        <w:tblOverlap w:val="never"/>
        <w:tblW w:w="5338" w:type="pct"/>
        <w:tblInd w:w="0" w:type="dxa"/>
        <w:tblLayout w:type="autofit"/>
        <w:tblCellMar>
          <w:top w:w="0" w:type="dxa"/>
          <w:left w:w="108" w:type="dxa"/>
          <w:bottom w:w="0" w:type="dxa"/>
          <w:right w:w="108" w:type="dxa"/>
        </w:tblCellMar>
      </w:tblPr>
      <w:tblGrid>
        <w:gridCol w:w="4462"/>
        <w:gridCol w:w="4636"/>
      </w:tblGrid>
      <w:tr w14:paraId="572CB03E">
        <w:tblPrEx>
          <w:tblCellMar>
            <w:top w:w="0" w:type="dxa"/>
            <w:left w:w="108" w:type="dxa"/>
            <w:bottom w:w="0" w:type="dxa"/>
            <w:right w:w="108" w:type="dxa"/>
          </w:tblCellMar>
        </w:tblPrEx>
        <w:trPr>
          <w:trHeight w:val="5986" w:hRule="atLeast"/>
        </w:trPr>
        <w:tc>
          <w:tcPr>
            <w:tcW w:w="2452" w:type="pct"/>
            <w:tcBorders>
              <w:top w:val="single" w:color="auto" w:sz="4" w:space="0"/>
              <w:left w:val="single" w:color="auto" w:sz="4" w:space="0"/>
              <w:bottom w:val="single" w:color="auto" w:sz="4" w:space="0"/>
              <w:right w:val="single" w:color="auto" w:sz="4" w:space="0"/>
            </w:tcBorders>
            <w:shd w:val="clear" w:color="auto" w:fill="auto"/>
          </w:tcPr>
          <w:p w14:paraId="4302F40B">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甲方：田林百矿田田碳素有限公司</w:t>
            </w:r>
          </w:p>
          <w:p w14:paraId="01AFA3D7">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法定代表人或授权代表人：</w:t>
            </w:r>
          </w:p>
          <w:p w14:paraId="7E7B5E15">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电 话：0776-7310600</w:t>
            </w:r>
          </w:p>
          <w:p w14:paraId="2C46F9DE">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开户行：</w:t>
            </w:r>
            <w:r>
              <w:rPr>
                <w:rFonts w:ascii="宋体" w:hAnsi="宋体" w:eastAsia="宋体" w:cs="宋体"/>
                <w:sz w:val="24"/>
                <w:szCs w:val="24"/>
              </w:rPr>
              <w:t>兴业银行股份有限公司钦州支行</w:t>
            </w:r>
            <w:r>
              <w:rPr>
                <w:rFonts w:hint="eastAsia" w:ascii="宋体" w:hAnsi="宋体" w:eastAsia="宋体" w:cs="宋体"/>
                <w:sz w:val="24"/>
                <w:lang w:val="en-US" w:eastAsia="zh-CN"/>
              </w:rPr>
              <w:t xml:space="preserve">账 号：800114239666666  </w:t>
            </w:r>
          </w:p>
          <w:p w14:paraId="55B0A7CD">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税 号：</w:t>
            </w:r>
            <w:r>
              <w:rPr>
                <w:rFonts w:ascii="宋体" w:hAnsi="宋体" w:eastAsia="宋体" w:cs="宋体"/>
                <w:sz w:val="24"/>
                <w:szCs w:val="24"/>
              </w:rPr>
              <w:t>554010100100387693</w:t>
            </w:r>
          </w:p>
          <w:p w14:paraId="3AAD98A2">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地 址：田林县旧州镇板坚工业园区内（广西田林百矿铝业有限公司内）</w:t>
            </w:r>
          </w:p>
          <w:p w14:paraId="0AFD204B">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邮政编码：430200</w:t>
            </w:r>
          </w:p>
          <w:p w14:paraId="4A6810ED">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邮政编码：/</w:t>
            </w:r>
          </w:p>
          <w:p w14:paraId="746994DD">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签订日期：2025年   月   日</w:t>
            </w:r>
          </w:p>
        </w:tc>
        <w:tc>
          <w:tcPr>
            <w:tcW w:w="2547" w:type="pct"/>
            <w:tcBorders>
              <w:top w:val="single" w:color="auto" w:sz="4" w:space="0"/>
              <w:left w:val="single" w:color="auto" w:sz="4" w:space="0"/>
              <w:bottom w:val="single" w:color="auto" w:sz="4" w:space="0"/>
              <w:right w:val="single" w:color="auto" w:sz="4" w:space="0"/>
            </w:tcBorders>
            <w:shd w:val="clear" w:color="auto" w:fill="auto"/>
          </w:tcPr>
          <w:p w14:paraId="2B07DBED">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乙方：</w:t>
            </w:r>
          </w:p>
          <w:p w14:paraId="4DC556EE">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法定代表人或授权代表人：</w:t>
            </w:r>
          </w:p>
          <w:p w14:paraId="1DC3AA3F">
            <w:pPr>
              <w:spacing w:before="145" w:beforeLines="50" w:after="145" w:afterLines="50" w:line="440" w:lineRule="exact"/>
              <w:rPr>
                <w:rFonts w:hint="default" w:ascii="宋体" w:hAnsi="宋体" w:eastAsia="宋体" w:cs="宋体"/>
                <w:sz w:val="24"/>
                <w:lang w:val="en-US" w:eastAsia="zh-CN"/>
              </w:rPr>
            </w:pPr>
            <w:r>
              <w:rPr>
                <w:rFonts w:hint="eastAsia" w:ascii="宋体" w:hAnsi="宋体" w:eastAsia="宋体" w:cs="宋体"/>
                <w:sz w:val="24"/>
                <w:lang w:val="en-US" w:eastAsia="zh-CN"/>
              </w:rPr>
              <w:t>电 话：</w:t>
            </w:r>
          </w:p>
          <w:p w14:paraId="7E33D6AB">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开户行：</w:t>
            </w:r>
          </w:p>
          <w:p w14:paraId="37095809">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账 号：</w:t>
            </w:r>
          </w:p>
          <w:p w14:paraId="256774D3">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税 号：</w:t>
            </w:r>
          </w:p>
          <w:p w14:paraId="7E038A04">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 xml:space="preserve">地 址： </w:t>
            </w:r>
          </w:p>
          <w:p w14:paraId="3B125DC6">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邮政编码：</w:t>
            </w:r>
          </w:p>
          <w:p w14:paraId="786A9B63">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签订日期：2025年  月   日</w:t>
            </w:r>
          </w:p>
        </w:tc>
      </w:tr>
    </w:tbl>
    <w:p w14:paraId="63B28EBF">
      <w:pPr>
        <w:keepNext w:val="0"/>
        <w:keepLines w:val="0"/>
        <w:pageBreakBefore w:val="0"/>
        <w:widowControl/>
        <w:suppressLineNumbers w:val="0"/>
        <w:shd w:val="clear" w:color="auto"/>
        <w:kinsoku/>
        <w:wordWrap/>
        <w:overflowPunct/>
        <w:topLinePunct w:val="0"/>
        <w:autoSpaceDE/>
        <w:autoSpaceDN/>
        <w:bidi w:val="0"/>
        <w:adjustRightInd/>
        <w:snapToGrid/>
        <w:spacing w:line="380" w:lineRule="exact"/>
        <w:jc w:val="left"/>
        <w:textAlignment w:val="center"/>
        <w:rPr>
          <w:rFonts w:hint="default" w:asciiTheme="minorEastAsia" w:hAnsiTheme="minorEastAsia" w:eastAsiaTheme="minorEastAsia" w:cstheme="minorEastAsia"/>
          <w:sz w:val="24"/>
          <w:szCs w:val="24"/>
          <w:highlight w:val="none"/>
          <w:lang w:val="en-US" w:eastAsia="zh-CN"/>
        </w:rPr>
      </w:pPr>
    </w:p>
    <w:sectPr>
      <w:headerReference r:id="rId9" w:type="first"/>
      <w:headerReference r:id="rId7" w:type="default"/>
      <w:footerReference r:id="rId10" w:type="default"/>
      <w:headerReference r:id="rId8"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86FA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CE74E">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99CE74E">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B94F8">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30693">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0230693">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9E0CA"/>
  <w:p w14:paraId="70A7B9FE">
    <w:r>
      <w:pict>
        <v:shape id="_x0000_s4099" o:spid="_x0000_s4099" o:spt="75" type="#_x0000_t75" style="position:absolute;left:0pt;height:56pt;width:120pt;mso-position-horizontal:right;mso-position-horizontal-relative:page;mso-position-vertical:top;mso-position-vertical-relative:page;z-index:251685888;mso-width-relative:page;mso-height-relative:page;" filled="f" o:preferrelative="t" stroked="f" coordsize="21600,21600">
          <v:path/>
          <v:fill on="f" focussize="0,0"/>
          <v:stroke on="f" joinstyle="miter"/>
          <v:imagedata r:id="rId1" o:title=""/>
          <o:lock v:ext="edit" aspectratio="t"/>
        </v:shape>
      </w:pict>
    </w:r>
  </w:p>
  <w:p w14:paraId="3A0F6DE0">
    <w:r>
      <w:pict>
        <v:shape id="_x0000_s4100" o:spid="_x0000_s4100" o:spt="75" type="#_x0000_t75" style="position:absolute;left:0pt;height:56pt;width:120pt;mso-position-horizontal:right;mso-position-horizontal-relative:page;mso-position-vertical:top;mso-position-vertical-relative:page;z-index:251680768;mso-width-relative:page;mso-height-relative:page;" filled="f" o:preferrelative="t" stroked="f" coordsize="21600,21600">
          <v:path/>
          <v:fill on="f" focussize="0,0"/>
          <v:stroke on="f" joinstyle="miter"/>
          <v:imagedata r:id="rId1" o:title=""/>
          <o:lock v:ext="edit" aspectratio="t"/>
        </v:shape>
      </w:pict>
    </w:r>
  </w:p>
  <w:p w14:paraId="5356DC28">
    <w:r>
      <w:pict>
        <v:shape id="_x0000_s4101" o:spid="_x0000_s4101" o:spt="75" type="#_x0000_t75" style="position:absolute;left:0pt;height:56pt;width:120pt;mso-position-horizontal:right;mso-position-horizontal-relative:page;mso-position-vertical:top;mso-position-vertical-relative:page;z-index:251675648;mso-width-relative:page;mso-height-relative:page;" filled="f" o:preferrelative="t" stroked="f" coordsize="21600,21600">
          <v:path/>
          <v:fill on="f" focussize="0,0"/>
          <v:stroke on="f" joinstyle="miter"/>
          <v:imagedata r:id="rId1" o:title=""/>
          <o:lock v:ext="edit" aspectratio="t"/>
        </v:shape>
      </w:pict>
    </w:r>
  </w:p>
  <w:p w14:paraId="0E00956A">
    <w:r>
      <w:pict>
        <v:shape id="_x0000_s4102" o:spid="_x0000_s4102" o:spt="75" alt="Title: EayslinkWatermark" type="#_x0000_t75" style="position:absolute;left:0pt;height:56pt;width:120pt;mso-position-horizontal:right;mso-position-horizontal-relative:page;mso-position-vertical:top;mso-position-vertical-relative:page;z-index:251670528;mso-width-relative:page;mso-height-relative:page;" filled="f" o:preferrelative="t" stroked="f" coordsize="21600,21600">
          <v:path/>
          <v:fill on="f" focussize="0,0"/>
          <v:stroke on="f" joinstyle="miter"/>
          <v:imagedata r:id="rId1" o:title=""/>
          <o:lock v:ext="edit" aspectratio="t"/>
        </v:shape>
      </w:pict>
    </w:r>
  </w:p>
  <w:p w14:paraId="5CED898B">
    <w:r>
      <w:pict>
        <v:shape id="_x0000_s4103" o:spid="_x0000_s4103" o:spt="75" alt="Title: EayslinkWatermark" type="#_x0000_t75" style="position:absolute;left:0pt;height:56pt;width:120pt;mso-position-horizontal:right;mso-position-horizontal-relative:page;mso-position-vertical:top;mso-position-vertical-relative:page;z-index:251665408;mso-width-relative:page;mso-height-relative:page;" filled="f" o:preferrelative="t" stroked="f" coordsize="21600,21600">
          <v:path/>
          <v:fill on="f" focussize="0,0"/>
          <v:stroke on="f" joinstyle="miter"/>
          <v:imagedata r:id="rId1" o:title=""/>
          <o:lock v:ext="edit" aspectratio="t"/>
        </v:shape>
      </w:pict>
    </w:r>
  </w:p>
  <w:p w14:paraId="3625E244">
    <w:r>
      <w:pict>
        <v:shape id="_x0000_s4104" o:spid="_x0000_s4104" o:spt="75" alt="Title: EayslinkWatermark" type="#_x0000_t75" style="position:absolute;left:0pt;height:56pt;width:120pt;mso-position-horizontal:right;mso-position-horizontal-relative:page;mso-position-vertical:top;mso-position-vertical-relative:page;z-index:251660288;mso-width-relative:page;mso-height-relative:page;" filled="f" o:preferrelative="t" stroked="f" coordsize="21600,21600">
          <v:path/>
          <v:fill on="f" focussize="0,0"/>
          <v:stroke on="f" joinstyle="miter"/>
          <v:imagedata r:id="rId1"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EDD11">
    <w:r>
      <w:pict>
        <v:shape id="_x0000_s4105" o:spid="_x0000_s4105" o:spt="75" type="#_x0000_t75" style="position:absolute;left:0pt;height:56pt;width:120pt;mso-position-horizontal:right;mso-position-horizontal-relative:page;mso-position-vertical:top;mso-position-vertical-relative:page;z-index:251692032;mso-width-relative:page;mso-height-relative:page;" filled="f" o:preferrelative="t" stroked="f" coordsize="21600,21600">
          <v:path/>
          <v:fill on="f" focussize="0,0"/>
          <v:stroke on="f" joinstyle="miter"/>
          <v:imagedata r:id="rId1" o:title=""/>
          <o:lock v:ext="edit" aspectratio="t"/>
        </v:shape>
      </w:pict>
    </w:r>
  </w:p>
  <w:p w14:paraId="740810B0">
    <w:r>
      <w:pict>
        <v:shape id="_x0000_s4106" o:spid="_x0000_s4106" o:spt="75" type="#_x0000_t75" style="position:absolute;left:0pt;height:56pt;width:120pt;mso-position-horizontal:right;mso-position-horizontal-relative:page;mso-position-vertical:top;mso-position-vertical-relative:page;z-index:251686912;mso-width-relative:page;mso-height-relative:page;" filled="f" o:preferrelative="t" stroked="f" coordsize="21600,21600">
          <v:path/>
          <v:fill on="f" focussize="0,0"/>
          <v:stroke on="f" joinstyle="miter"/>
          <v:imagedata r:id="rId1" o:title=""/>
          <o:lock v:ext="edit" aspectratio="t"/>
        </v:shape>
      </w:pict>
    </w:r>
  </w:p>
  <w:p w14:paraId="1DE65C3F">
    <w:r>
      <w:pict>
        <v:shape id="_x0000_s4107" o:spid="_x0000_s4107" o:spt="75" type="#_x0000_t75" style="position:absolute;left:0pt;height:56pt;width:120pt;mso-position-horizontal:right;mso-position-horizontal-relative:page;mso-position-vertical:top;mso-position-vertical-relative:page;z-index:251681792;mso-width-relative:page;mso-height-relative:page;" filled="f" o:preferrelative="t" stroked="f" coordsize="21600,21600">
          <v:path/>
          <v:fill on="f" focussize="0,0"/>
          <v:stroke on="f" joinstyle="miter"/>
          <v:imagedata r:id="rId1" o:title=""/>
          <o:lock v:ext="edit" aspectratio="t"/>
        </v:shape>
      </w:pict>
    </w:r>
  </w:p>
  <w:p w14:paraId="2CE74EAA">
    <w:r>
      <w:pict>
        <v:shape id="_x0000_s4108" o:spid="_x0000_s4108" o:spt="75" type="#_x0000_t75" style="position:absolute;left:0pt;height:56pt;width:120pt;mso-position-horizontal:right;mso-position-horizontal-relative:page;mso-position-vertical:top;mso-position-vertical-relative:page;z-index:251676672;mso-width-relative:page;mso-height-relative:page;" filled="f" o:preferrelative="t" stroked="f" coordsize="21600,21600">
          <v:path/>
          <v:fill on="f" focussize="0,0"/>
          <v:stroke on="f" joinstyle="miter"/>
          <v:imagedata r:id="rId1" o:title=""/>
          <o:lock v:ext="edit" aspectratio="t"/>
        </v:shape>
      </w:pict>
    </w:r>
  </w:p>
  <w:p w14:paraId="73A64ACC">
    <w:r>
      <w:pict>
        <v:shape id="_x0000_s4109" o:spid="_x0000_s4109" o:spt="75" alt="Title: EayslinkWatermark" type="#_x0000_t75" style="position:absolute;left:0pt;height:56pt;width:120pt;mso-position-horizontal:right;mso-position-horizontal-relative:page;mso-position-vertical:top;mso-position-vertical-relative:page;z-index:251671552;mso-width-relative:page;mso-height-relative:page;" filled="f" o:preferrelative="t" stroked="f" coordsize="21600,21600">
          <v:path/>
          <v:fill on="f" focussize="0,0"/>
          <v:stroke on="f" joinstyle="miter"/>
          <v:imagedata r:id="rId1" o:title=""/>
          <o:lock v:ext="edit" aspectratio="t"/>
        </v:shape>
      </w:pict>
    </w:r>
  </w:p>
  <w:p w14:paraId="7189D638">
    <w:r>
      <w:pict>
        <v:shape id="_x0000_s4110" o:spid="_x0000_s4110" o:spt="75" alt="Title: EayslinkWatermark" type="#_x0000_t75" style="position:absolute;left:0pt;height:56pt;width:120pt;mso-position-horizontal:right;mso-position-horizontal-relative:page;mso-position-vertical:top;mso-position-vertical-relative:page;z-index:251666432;mso-width-relative:page;mso-height-relative:page;" filled="f" o:preferrelative="t" stroked="f" coordsize="21600,21600">
          <v:path/>
          <v:fill on="f" focussize="0,0"/>
          <v:stroke on="f" joinstyle="miter"/>
          <v:imagedata r:id="rId1" o:title=""/>
          <o:lock v:ext="edit" aspectratio="t"/>
        </v:shape>
      </w:pict>
    </w:r>
  </w:p>
  <w:p w14:paraId="2D789054">
    <w:r>
      <w:pict>
        <v:shape id="_x0000_s4111" o:spid="_x0000_s4111" o:spt="75" alt="Title: EayslinkWatermark" type="#_x0000_t75" style="position:absolute;left:0pt;height:56pt;width:120pt;mso-position-horizontal:right;mso-position-horizontal-relative:page;mso-position-vertical:top;mso-position-vertical-relative:page;z-index:251661312;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3EFCE">
    <w:r>
      <w:pict>
        <v:shape id="_x0000_s4097" o:spid="_x0000_s4097" o:spt="75" type="#_x0000_t75" style="position:absolute;left:0pt;height:56pt;width:120pt;mso-position-horizontal:right;mso-position-horizontal-relative:page;mso-position-vertical:top;mso-position-vertical-relative:page;z-index:251691008;mso-width-relative:page;mso-height-relative:page;" filled="f" o:preferrelative="t" stroked="f" coordsize="21600,21600">
          <v:path/>
          <v:fill on="f" focussize="0,0"/>
          <v:stroke on="f" joinstyle="miter"/>
          <v:imagedata r:id="rId1" o:title=""/>
          <o:lock v:ext="edit" aspectratio="t"/>
        </v:shape>
      </w:pict>
    </w:r>
  </w:p>
  <w:p w14:paraId="7846B2FE"/>
  <w:p w14:paraId="0BE65702"/>
  <w:p w14:paraId="2F0DC63B"/>
  <w:p w14:paraId="40A389AC"/>
  <w:p w14:paraId="2308BCC3"/>
  <w:p w14:paraId="4BB9877A">
    <w:r>
      <w:pict>
        <v:shape id="EayslinkWatermark" o:spid="_x0000_s4098" o:spt="75" alt="Title: EayslinkWatermark" type="#_x0000_t75" style="position:absolute;left:0pt;height:56pt;width:120pt;mso-position-horizontal:right;mso-position-horizontal-relative:page;mso-position-vertical:top;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0C085">
    <w:pPr>
      <w:pStyle w:val="9"/>
      <w:pBdr>
        <w:bottom w:val="none" w:color="auto" w:sz="0" w:space="1"/>
      </w:pBdr>
      <w:jc w:val="left"/>
      <w:rPr>
        <w:rFonts w:ascii="黑体" w:hAnsi="黑体" w:eastAsia="黑体" w:cs="黑体"/>
        <w:sz w:val="21"/>
        <w:szCs w:val="21"/>
      </w:rPr>
    </w:pPr>
  </w:p>
  <w:p w14:paraId="6EBC42D3">
    <w:r>
      <w:pict>
        <v:shape id="_x0000_s4119" o:spid="_x0000_s4119" o:spt="75" type="#_x0000_t75" style="position:absolute;left:0pt;height:56pt;width:120pt;mso-position-horizontal:right;mso-position-horizontal-relative:page;mso-position-vertical:top;mso-position-vertical-relative:page;z-index:251693056;mso-width-relative:page;mso-height-relative:page;" filled="f" o:preferrelative="t" stroked="f" coordsize="21600,21600">
          <v:path/>
          <v:fill on="f" focussize="0,0"/>
          <v:stroke on="f" joinstyle="miter"/>
          <v:imagedata r:id="rId1" o:title=""/>
          <o:lock v:ext="edit" aspectratio="t"/>
        </v:shape>
      </w:pict>
    </w:r>
    <w:r>
      <w:pict>
        <v:shape id="_x0000_s4120" o:spid="_x0000_s4120" o:spt="75" type="#_x0000_t75" style="position:absolute;left:0pt;height:56pt;width:120pt;mso-position-horizontal:right;mso-position-horizontal-relative:page;mso-position-vertical:top;mso-position-vertical-relative:page;z-index:251688960;mso-width-relative:page;mso-height-relative:page;" filled="f" o:preferrelative="t" stroked="f" coordsize="21600,21600">
          <v:path/>
          <v:fill on="f" focussize="0,0"/>
          <v:stroke on="f" joinstyle="miter"/>
          <v:imagedata r:id="rId1" o:title=""/>
          <o:lock v:ext="edit" aspectratio="t"/>
        </v:shape>
      </w:pict>
    </w:r>
    <w:r>
      <w:pict>
        <v:shape id="_x0000_s4121" o:spid="_x0000_s4121" o:spt="75" type="#_x0000_t75" style="position:absolute;left:0pt;height:56pt;width:120pt;mso-position-horizontal:right;mso-position-horizontal-relative:page;mso-position-vertical:top;mso-position-vertical-relative:page;z-index:251683840;mso-width-relative:page;mso-height-relative:page;" filled="f" o:preferrelative="t" stroked="f" coordsize="21600,21600">
          <v:path/>
          <v:fill on="f" focussize="0,0"/>
          <v:stroke on="f" joinstyle="miter"/>
          <v:imagedata r:id="rId1" o:title=""/>
          <o:lock v:ext="edit" aspectratio="t"/>
        </v:shape>
      </w:pict>
    </w:r>
    <w:r>
      <w:pict>
        <v:shape id="_x0000_s4122" o:spid="_x0000_s4122" o:spt="75" type="#_x0000_t75" style="position:absolute;left:0pt;height:56pt;width:120pt;mso-position-horizontal:right;mso-position-horizontal-relative:page;mso-position-vertical:top;mso-position-vertical-relative:page;z-index:251678720;mso-width-relative:page;mso-height-relative:page;" filled="f" o:preferrelative="t" stroked="f" coordsize="21600,21600">
          <v:path/>
          <v:fill on="f" focussize="0,0"/>
          <v:stroke on="f" joinstyle="miter"/>
          <v:imagedata r:id="rId1" o:title=""/>
          <o:lock v:ext="edit" aspectratio="t"/>
        </v:shape>
      </w:pict>
    </w:r>
    <w:r>
      <w:pict>
        <v:shape id="_x0000_s4123" o:spid="_x0000_s4123" o:spt="75" alt="Title: EayslinkWatermark" type="#_x0000_t75" style="position:absolute;left:0pt;height:56pt;width:120pt;mso-position-horizontal:right;mso-position-horizontal-relative:page;mso-position-vertical:top;mso-position-vertical-relative:page;z-index:251673600;mso-width-relative:page;mso-height-relative:page;" filled="f" o:preferrelative="t" stroked="f" coordsize="21600,21600">
          <v:path/>
          <v:fill on="f" focussize="0,0"/>
          <v:stroke on="f" joinstyle="miter"/>
          <v:imagedata r:id="rId1" o:title=""/>
          <o:lock v:ext="edit" aspectratio="t"/>
        </v:shape>
      </w:pict>
    </w:r>
    <w:r>
      <w:pict>
        <v:shape id="_x0000_s4124" o:spid="_x0000_s4124" o:spt="75" alt="Title: EayslinkWatermark" type="#_x0000_t75" style="position:absolute;left:0pt;height:56pt;width:120pt;mso-position-horizontal:right;mso-position-horizontal-relative:page;mso-position-vertical:top;mso-position-vertical-relative:page;z-index:251668480;mso-width-relative:page;mso-height-relative:page;" filled="f" o:preferrelative="t" stroked="f" coordsize="21600,21600">
          <v:path/>
          <v:fill on="f" focussize="0,0"/>
          <v:stroke on="f" joinstyle="miter"/>
          <v:imagedata r:id="rId1" o:title=""/>
          <o:lock v:ext="edit" aspectratio="t"/>
        </v:shape>
      </w:pict>
    </w:r>
    <w:r>
      <w:pict>
        <v:shape id="_x0000_s4125" o:spid="_x0000_s4125" o:spt="75" alt="Title: EayslinkWatermark" type="#_x0000_t75" style="position:absolute;left:0pt;height:56pt;width:120pt;mso-position-horizontal:right;mso-position-horizontal-relative:page;mso-position-vertical:top;mso-position-vertical-relative:page;z-index:251663360;mso-width-relative:page;mso-height-relative:page;" filled="f" o:preferrelative="t" stroked="f" coordsize="21600,21600">
          <v:path/>
          <v:fill on="f" focussize="0,0"/>
          <v:stroke on="f" joinstyle="miter"/>
          <v:imagedata r:id="rId1" o:title=""/>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1BC8B">
    <w:r>
      <w:pict>
        <v:shape id="_x0000_s4126" o:spid="_x0000_s4126" o:spt="75" type="#_x0000_t75" style="position:absolute;left:0pt;height:56pt;width:120pt;mso-position-horizontal:right;mso-position-horizontal-relative:page;mso-position-vertical:top;mso-position-vertical-relative:page;z-index:251695104;mso-width-relative:page;mso-height-relative:page;" filled="f" o:preferrelative="t" stroked="f" coordsize="21600,21600">
          <v:path/>
          <v:fill on="f" focussize="0,0"/>
          <v:stroke on="f" joinstyle="miter"/>
          <v:imagedata r:id="rId1" o:title=""/>
          <o:lock v:ext="edit" aspectratio="t"/>
        </v:shape>
      </w:pict>
    </w:r>
  </w:p>
  <w:p w14:paraId="28756EB8">
    <w:r>
      <w:pict>
        <v:shape id="_x0000_s4127" o:spid="_x0000_s4127" o:spt="75" type="#_x0000_t75" style="position:absolute;left:0pt;height:56pt;width:120pt;mso-position-horizontal:right;mso-position-horizontal-relative:page;mso-position-vertical:top;mso-position-vertical-relative:page;z-index:251689984;mso-width-relative:page;mso-height-relative:page;" filled="f" o:preferrelative="t" stroked="f" coordsize="21600,21600">
          <v:path/>
          <v:fill on="f" focussize="0,0"/>
          <v:stroke on="f" joinstyle="miter"/>
          <v:imagedata r:id="rId1" o:title=""/>
          <o:lock v:ext="edit" aspectratio="t"/>
        </v:shape>
      </w:pict>
    </w:r>
  </w:p>
  <w:p w14:paraId="609F8C04">
    <w:r>
      <w:pict>
        <v:shape id="_x0000_s4128" o:spid="_x0000_s4128" o:spt="75" type="#_x0000_t75" style="position:absolute;left:0pt;height:56pt;width:120pt;mso-position-horizontal:right;mso-position-horizontal-relative:page;mso-position-vertical:top;mso-position-vertical-relative:page;z-index:251684864;mso-width-relative:page;mso-height-relative:page;" filled="f" o:preferrelative="t" stroked="f" coordsize="21600,21600">
          <v:path/>
          <v:fill on="f" focussize="0,0"/>
          <v:stroke on="f" joinstyle="miter"/>
          <v:imagedata r:id="rId1" o:title=""/>
          <o:lock v:ext="edit" aspectratio="t"/>
        </v:shape>
      </w:pict>
    </w:r>
  </w:p>
  <w:p w14:paraId="2BB13552">
    <w:r>
      <w:pict>
        <v:shape id="_x0000_s4129" o:spid="_x0000_s4129" o:spt="75" type="#_x0000_t75" style="position:absolute;left:0pt;height:56pt;width:120pt;mso-position-horizontal:right;mso-position-horizontal-relative:page;mso-position-vertical:top;mso-position-vertical-relative:page;z-index:251679744;mso-width-relative:page;mso-height-relative:page;" filled="f" o:preferrelative="t" stroked="f" coordsize="21600,21600">
          <v:path/>
          <v:fill on="f" focussize="0,0"/>
          <v:stroke on="f" joinstyle="miter"/>
          <v:imagedata r:id="rId1" o:title=""/>
          <o:lock v:ext="edit" aspectratio="t"/>
        </v:shape>
      </w:pict>
    </w:r>
  </w:p>
  <w:p w14:paraId="3C9AD6A6">
    <w:r>
      <w:pict>
        <v:shape id="_x0000_s4130" o:spid="_x0000_s4130" o:spt="75" alt="Title: EayslinkWatermark" type="#_x0000_t75" style="position:absolute;left:0pt;height:56pt;width:120pt;mso-position-horizontal:right;mso-position-horizontal-relative:page;mso-position-vertical:top;mso-position-vertical-relative:page;z-index:251674624;mso-width-relative:page;mso-height-relative:page;" filled="f" o:preferrelative="t" stroked="f" coordsize="21600,21600">
          <v:path/>
          <v:fill on="f" focussize="0,0"/>
          <v:stroke on="f" joinstyle="miter"/>
          <v:imagedata r:id="rId1" o:title=""/>
          <o:lock v:ext="edit" aspectratio="t"/>
        </v:shape>
      </w:pict>
    </w:r>
  </w:p>
  <w:p w14:paraId="5A2E3808">
    <w:r>
      <w:pict>
        <v:shape id="_x0000_s4131" o:spid="_x0000_s4131" o:spt="75" alt="Title: EayslinkWatermark" type="#_x0000_t75" style="position:absolute;left:0pt;height:56pt;width:120pt;mso-position-horizontal:right;mso-position-horizontal-relative:page;mso-position-vertical:top;mso-position-vertical-relative:page;z-index:251669504;mso-width-relative:page;mso-height-relative:page;" filled="f" o:preferrelative="t" stroked="f" coordsize="21600,21600">
          <v:path/>
          <v:fill on="f" focussize="0,0"/>
          <v:stroke on="f" joinstyle="miter"/>
          <v:imagedata r:id="rId1" o:title=""/>
          <o:lock v:ext="edit" aspectratio="t"/>
        </v:shape>
      </w:pict>
    </w:r>
  </w:p>
  <w:p w14:paraId="4063FA09">
    <w:r>
      <w:pict>
        <v:shape id="_x0000_s4132" o:spid="_x0000_s4132" o:spt="75" alt="Title: EayslinkWatermark" type="#_x0000_t75" style="position:absolute;left:0pt;height:56pt;width:120pt;mso-position-horizontal:right;mso-position-horizontal-relative:page;mso-position-vertical:top;mso-position-vertical-relative:page;z-index:251664384;mso-width-relative:page;mso-height-relative:page;" filled="f" o:preferrelative="t" stroked="f" coordsize="21600,21600">
          <v:path/>
          <v:fill on="f" focussize="0,0"/>
          <v:stroke on="f" joinstyle="miter"/>
          <v:imagedata r:id="rId1" o:title=""/>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A21DB">
    <w:r>
      <w:pict>
        <v:shape id="_x0000_s4112" o:spid="_x0000_s4112" o:spt="75" type="#_x0000_t75" style="position:absolute;left:0pt;height:56pt;width:120pt;mso-position-horizontal:right;mso-position-horizontal-relative:page;mso-position-vertical:top;mso-position-vertical-relative:page;z-index:251694080;mso-width-relative:page;mso-height-relative:page;" filled="f" o:preferrelative="t" stroked="f" coordsize="21600,21600">
          <v:path/>
          <v:fill on="f" focussize="0,0"/>
          <v:stroke on="f" joinstyle="miter"/>
          <v:imagedata r:id="rId1" o:title=""/>
          <o:lock v:ext="edit" aspectratio="t"/>
        </v:shape>
      </w:pict>
    </w:r>
  </w:p>
  <w:p w14:paraId="7A9C68C5">
    <w:r>
      <w:pict>
        <v:shape id="_x0000_s4113" o:spid="_x0000_s4113" o:spt="75" type="#_x0000_t75" style="position:absolute;left:0pt;height:56pt;width:120pt;mso-position-horizontal:right;mso-position-horizontal-relative:page;mso-position-vertical:top;mso-position-vertical-relative:page;z-index:251687936;mso-width-relative:page;mso-height-relative:page;" filled="f" o:preferrelative="t" stroked="f" coordsize="21600,21600">
          <v:path/>
          <v:fill on="f" focussize="0,0"/>
          <v:stroke on="f" joinstyle="miter"/>
          <v:imagedata r:id="rId1" o:title=""/>
          <o:lock v:ext="edit" aspectratio="t"/>
        </v:shape>
      </w:pict>
    </w:r>
  </w:p>
  <w:p w14:paraId="002006C7">
    <w:r>
      <w:pict>
        <v:shape id="_x0000_s4114" o:spid="_x0000_s4114" o:spt="75" type="#_x0000_t75" style="position:absolute;left:0pt;height:56pt;width:120pt;mso-position-horizontal:right;mso-position-horizontal-relative:page;mso-position-vertical:top;mso-position-vertical-relative:page;z-index:251682816;mso-width-relative:page;mso-height-relative:page;" filled="f" o:preferrelative="t" stroked="f" coordsize="21600,21600">
          <v:path/>
          <v:fill on="f" focussize="0,0"/>
          <v:stroke on="f" joinstyle="miter"/>
          <v:imagedata r:id="rId1" o:title=""/>
          <o:lock v:ext="edit" aspectratio="t"/>
        </v:shape>
      </w:pict>
    </w:r>
  </w:p>
  <w:p w14:paraId="5A6C464C">
    <w:r>
      <w:pict>
        <v:shape id="_x0000_s4115" o:spid="_x0000_s4115" o:spt="75" type="#_x0000_t75" style="position:absolute;left:0pt;height:56pt;width:120pt;mso-position-horizontal:right;mso-position-horizontal-relative:page;mso-position-vertical:top;mso-position-vertical-relative:page;z-index:251677696;mso-width-relative:page;mso-height-relative:page;" filled="f" o:preferrelative="t" stroked="f" coordsize="21600,21600">
          <v:path/>
          <v:fill on="f" focussize="0,0"/>
          <v:stroke on="f" joinstyle="miter"/>
          <v:imagedata r:id="rId1" o:title=""/>
          <o:lock v:ext="edit" aspectratio="t"/>
        </v:shape>
      </w:pict>
    </w:r>
  </w:p>
  <w:p w14:paraId="46C1E1B8">
    <w:r>
      <w:pict>
        <v:shape id="_x0000_s4116" o:spid="_x0000_s4116" o:spt="75" alt="Title: EayslinkWatermark" type="#_x0000_t75" style="position:absolute;left:0pt;height:56pt;width:120pt;mso-position-horizontal:right;mso-position-horizontal-relative:page;mso-position-vertical:top;mso-position-vertical-relative:page;z-index:251672576;mso-width-relative:page;mso-height-relative:page;" filled="f" o:preferrelative="t" stroked="f" coordsize="21600,21600">
          <v:path/>
          <v:fill on="f" focussize="0,0"/>
          <v:stroke on="f" joinstyle="miter"/>
          <v:imagedata r:id="rId1" o:title=""/>
          <o:lock v:ext="edit" aspectratio="t"/>
        </v:shape>
      </w:pict>
    </w:r>
  </w:p>
  <w:p w14:paraId="0F02F41E">
    <w:r>
      <w:pict>
        <v:shape id="_x0000_s4117" o:spid="_x0000_s4117" o:spt="75" alt="Title: EayslinkWatermark" type="#_x0000_t75" style="position:absolute;left:0pt;height:56pt;width:120pt;mso-position-horizontal:right;mso-position-horizontal-relative:page;mso-position-vertical:top;mso-position-vertical-relative:page;z-index:251667456;mso-width-relative:page;mso-height-relative:page;" filled="f" o:preferrelative="t" stroked="f" coordsize="21600,21600">
          <v:path/>
          <v:fill on="f" focussize="0,0"/>
          <v:stroke on="f" joinstyle="miter"/>
          <v:imagedata r:id="rId1" o:title=""/>
          <o:lock v:ext="edit" aspectratio="t"/>
        </v:shape>
      </w:pict>
    </w:r>
  </w:p>
  <w:p w14:paraId="2F1A8589">
    <w:r>
      <w:pict>
        <v:shape id="_x0000_s4118" o:spid="_x0000_s4118" o:spt="75" alt="Title: EayslinkWatermark" type="#_x0000_t75" style="position:absolute;left:0pt;height:56pt;width:120pt;mso-position-horizontal:right;mso-position-horizontal-relative:page;mso-position-vertical:top;mso-position-vertical-relative:page;z-index:251662336;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85C17"/>
    <w:multiLevelType w:val="singleLevel"/>
    <w:tmpl w:val="EDA85C17"/>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yMWZmNmFlOWZiMTE0ZGFiYzNmMTVkMDM3YTcyNTgifQ=="/>
  </w:docVars>
  <w:rsids>
    <w:rsidRoot w:val="50DF45EC"/>
    <w:rsid w:val="01262D43"/>
    <w:rsid w:val="02E5725D"/>
    <w:rsid w:val="033E3E9F"/>
    <w:rsid w:val="05143E2A"/>
    <w:rsid w:val="05746E39"/>
    <w:rsid w:val="05E84ADB"/>
    <w:rsid w:val="067803E8"/>
    <w:rsid w:val="073D0CEA"/>
    <w:rsid w:val="09320D22"/>
    <w:rsid w:val="09706A8B"/>
    <w:rsid w:val="0B173DA0"/>
    <w:rsid w:val="0BC3114D"/>
    <w:rsid w:val="0C591F54"/>
    <w:rsid w:val="0CF47651"/>
    <w:rsid w:val="0D3745EB"/>
    <w:rsid w:val="0D3A6AC1"/>
    <w:rsid w:val="0D7A67F4"/>
    <w:rsid w:val="0D7C17EC"/>
    <w:rsid w:val="0E611D41"/>
    <w:rsid w:val="0E947D89"/>
    <w:rsid w:val="0E9B42AF"/>
    <w:rsid w:val="0EAA425E"/>
    <w:rsid w:val="10F35DA7"/>
    <w:rsid w:val="118A47C7"/>
    <w:rsid w:val="12541D09"/>
    <w:rsid w:val="127C6B6A"/>
    <w:rsid w:val="13047A3D"/>
    <w:rsid w:val="13426006"/>
    <w:rsid w:val="136C4E31"/>
    <w:rsid w:val="13E96481"/>
    <w:rsid w:val="141D25CF"/>
    <w:rsid w:val="156A53A0"/>
    <w:rsid w:val="16FF3949"/>
    <w:rsid w:val="18CE20EA"/>
    <w:rsid w:val="19236FA8"/>
    <w:rsid w:val="19D35C0A"/>
    <w:rsid w:val="1B9C71DA"/>
    <w:rsid w:val="1C2F02C3"/>
    <w:rsid w:val="1C7F34F4"/>
    <w:rsid w:val="1CD62DE7"/>
    <w:rsid w:val="1D024523"/>
    <w:rsid w:val="1D9F386C"/>
    <w:rsid w:val="1EE839A2"/>
    <w:rsid w:val="20627962"/>
    <w:rsid w:val="20CE712B"/>
    <w:rsid w:val="21752023"/>
    <w:rsid w:val="21BE73A7"/>
    <w:rsid w:val="21C74D03"/>
    <w:rsid w:val="22207E30"/>
    <w:rsid w:val="238D53A0"/>
    <w:rsid w:val="23BD5235"/>
    <w:rsid w:val="240D64C0"/>
    <w:rsid w:val="24A13C25"/>
    <w:rsid w:val="24A75B2E"/>
    <w:rsid w:val="2572061E"/>
    <w:rsid w:val="26AF355A"/>
    <w:rsid w:val="26BB5599"/>
    <w:rsid w:val="28041684"/>
    <w:rsid w:val="28884063"/>
    <w:rsid w:val="297D6DAB"/>
    <w:rsid w:val="29C41402"/>
    <w:rsid w:val="2A4346E5"/>
    <w:rsid w:val="2AA15E72"/>
    <w:rsid w:val="2AE00186"/>
    <w:rsid w:val="2B681F2A"/>
    <w:rsid w:val="2C65739B"/>
    <w:rsid w:val="2CA90A4C"/>
    <w:rsid w:val="2EB6242A"/>
    <w:rsid w:val="2FD80E15"/>
    <w:rsid w:val="30850E88"/>
    <w:rsid w:val="30B31893"/>
    <w:rsid w:val="31230DCD"/>
    <w:rsid w:val="319A1817"/>
    <w:rsid w:val="321179F6"/>
    <w:rsid w:val="32414601"/>
    <w:rsid w:val="324F174E"/>
    <w:rsid w:val="32D700C1"/>
    <w:rsid w:val="34D954BA"/>
    <w:rsid w:val="356918F4"/>
    <w:rsid w:val="36767BF1"/>
    <w:rsid w:val="37904CE2"/>
    <w:rsid w:val="37E868CC"/>
    <w:rsid w:val="37F42FDB"/>
    <w:rsid w:val="38B92017"/>
    <w:rsid w:val="39954F5E"/>
    <w:rsid w:val="39A13D28"/>
    <w:rsid w:val="3B117EE8"/>
    <w:rsid w:val="3B1C37C3"/>
    <w:rsid w:val="3B245E6D"/>
    <w:rsid w:val="3B660FAA"/>
    <w:rsid w:val="3B8057A4"/>
    <w:rsid w:val="3BBE3495"/>
    <w:rsid w:val="3D5F71AF"/>
    <w:rsid w:val="3DBB596A"/>
    <w:rsid w:val="3E9555FA"/>
    <w:rsid w:val="4105229D"/>
    <w:rsid w:val="430345BA"/>
    <w:rsid w:val="43E32AE5"/>
    <w:rsid w:val="43EF461A"/>
    <w:rsid w:val="45662D6A"/>
    <w:rsid w:val="457479F1"/>
    <w:rsid w:val="45C65B42"/>
    <w:rsid w:val="470A109D"/>
    <w:rsid w:val="4871646A"/>
    <w:rsid w:val="48C90054"/>
    <w:rsid w:val="49B52386"/>
    <w:rsid w:val="49C35638"/>
    <w:rsid w:val="4BEA22B9"/>
    <w:rsid w:val="4BEC1ED7"/>
    <w:rsid w:val="4BF91035"/>
    <w:rsid w:val="4CD049B3"/>
    <w:rsid w:val="4E9133C2"/>
    <w:rsid w:val="4E944C60"/>
    <w:rsid w:val="4EDD67EF"/>
    <w:rsid w:val="50340025"/>
    <w:rsid w:val="50DF45EC"/>
    <w:rsid w:val="51B372AF"/>
    <w:rsid w:val="520E6AD8"/>
    <w:rsid w:val="529260CB"/>
    <w:rsid w:val="533A7098"/>
    <w:rsid w:val="53BF4D82"/>
    <w:rsid w:val="53D04847"/>
    <w:rsid w:val="55947CC8"/>
    <w:rsid w:val="55AB702A"/>
    <w:rsid w:val="56D00CE3"/>
    <w:rsid w:val="56FE711B"/>
    <w:rsid w:val="58FA6008"/>
    <w:rsid w:val="5923730C"/>
    <w:rsid w:val="5A3D61AC"/>
    <w:rsid w:val="5AED1980"/>
    <w:rsid w:val="5B707E22"/>
    <w:rsid w:val="5BB22BCA"/>
    <w:rsid w:val="5C3A6E47"/>
    <w:rsid w:val="5C632B37"/>
    <w:rsid w:val="5CA23A9A"/>
    <w:rsid w:val="5F1A2F60"/>
    <w:rsid w:val="5FFA0406"/>
    <w:rsid w:val="61D90EB0"/>
    <w:rsid w:val="61DD7B6E"/>
    <w:rsid w:val="62164378"/>
    <w:rsid w:val="63E26D11"/>
    <w:rsid w:val="64A357A5"/>
    <w:rsid w:val="64B90B25"/>
    <w:rsid w:val="64C90877"/>
    <w:rsid w:val="65674A25"/>
    <w:rsid w:val="66E2035A"/>
    <w:rsid w:val="66E73D5E"/>
    <w:rsid w:val="674934C0"/>
    <w:rsid w:val="674C3ED2"/>
    <w:rsid w:val="675A2DDC"/>
    <w:rsid w:val="68637725"/>
    <w:rsid w:val="6930038B"/>
    <w:rsid w:val="6A2D7FEB"/>
    <w:rsid w:val="6B380A50"/>
    <w:rsid w:val="6BA82277"/>
    <w:rsid w:val="6D090BCD"/>
    <w:rsid w:val="6E3F6E82"/>
    <w:rsid w:val="6F2A6F6F"/>
    <w:rsid w:val="6F4C29A7"/>
    <w:rsid w:val="70412B49"/>
    <w:rsid w:val="70BB10E8"/>
    <w:rsid w:val="7147138D"/>
    <w:rsid w:val="743E1047"/>
    <w:rsid w:val="74913594"/>
    <w:rsid w:val="7544443B"/>
    <w:rsid w:val="7608190C"/>
    <w:rsid w:val="760E5F3E"/>
    <w:rsid w:val="76910A96"/>
    <w:rsid w:val="76CB3A77"/>
    <w:rsid w:val="76E47C83"/>
    <w:rsid w:val="77FE2FC7"/>
    <w:rsid w:val="79BB0942"/>
    <w:rsid w:val="7ADD070B"/>
    <w:rsid w:val="7B1A0795"/>
    <w:rsid w:val="7B244657"/>
    <w:rsid w:val="7CED7166"/>
    <w:rsid w:val="7CF63147"/>
    <w:rsid w:val="7D53426D"/>
    <w:rsid w:val="7D5B4A17"/>
    <w:rsid w:val="7DFC26E0"/>
    <w:rsid w:val="7E852685"/>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9"/>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next w:val="4"/>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customStyle="1" w:styleId="4">
    <w:name w:val="正文1"/>
    <w:basedOn w:val="1"/>
    <w:qFormat/>
    <w:uiPriority w:val="0"/>
    <w:pPr>
      <w:adjustRightInd w:val="0"/>
      <w:spacing w:line="360" w:lineRule="atLeast"/>
      <w:jc w:val="left"/>
    </w:pPr>
    <w:rPr>
      <w:rFonts w:ascii="宋体"/>
      <w:kern w:val="0"/>
      <w:sz w:val="24"/>
    </w:rPr>
  </w:style>
  <w:style w:type="paragraph" w:styleId="6">
    <w:name w:val="annotation text"/>
    <w:basedOn w:val="1"/>
    <w:autoRedefine/>
    <w:qFormat/>
    <w:uiPriority w:val="0"/>
    <w:pPr>
      <w:jc w:val="left"/>
    </w:pPr>
  </w:style>
  <w:style w:type="paragraph" w:styleId="7">
    <w:name w:val="Body Text"/>
    <w:basedOn w:val="1"/>
    <w:qFormat/>
    <w:uiPriority w:val="1"/>
    <w:rPr>
      <w:rFonts w:ascii="宋体" w:hAnsi="宋体" w:eastAsia="宋体" w:cs="宋体"/>
      <w:sz w:val="19"/>
      <w:szCs w:val="19"/>
    </w:rPr>
  </w:style>
  <w:style w:type="paragraph" w:styleId="8">
    <w:name w:val="footer"/>
    <w:basedOn w:val="1"/>
    <w:autoRedefine/>
    <w:qFormat/>
    <w:uiPriority w:val="99"/>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qFormat/>
    <w:uiPriority w:val="0"/>
  </w:style>
  <w:style w:type="paragraph" w:styleId="11">
    <w:name w:val="toc 2"/>
    <w:basedOn w:val="1"/>
    <w:next w:val="1"/>
    <w:autoRedefine/>
    <w:qFormat/>
    <w:uiPriority w:val="0"/>
    <w:pPr>
      <w:ind w:left="420" w:leftChars="200"/>
    </w:pPr>
  </w:style>
  <w:style w:type="paragraph" w:styleId="12">
    <w:name w:val="Normal (Web)"/>
    <w:basedOn w:val="1"/>
    <w:autoRedefine/>
    <w:unhideWhenUsed/>
    <w:qFormat/>
    <w:uiPriority w:val="99"/>
    <w:rPr>
      <w:sz w:val="24"/>
    </w:rPr>
  </w:style>
  <w:style w:type="paragraph" w:styleId="13">
    <w:name w:val="Title"/>
    <w:basedOn w:val="1"/>
    <w:autoRedefine/>
    <w:qFormat/>
    <w:uiPriority w:val="10"/>
    <w:pPr>
      <w:spacing w:before="240" w:after="60"/>
      <w:jc w:val="center"/>
      <w:outlineLvl w:val="0"/>
    </w:pPr>
    <w:rPr>
      <w:rFonts w:ascii="Arial" w:hAnsi="Arial"/>
      <w:b/>
      <w:sz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文 A"/>
    <w:basedOn w:val="1"/>
    <w:autoRedefine/>
    <w:qFormat/>
    <w:uiPriority w:val="0"/>
    <w:rPr>
      <w:rFonts w:eastAsia="Arial Unicode MS" w:cs="Arial Unicode MS"/>
      <w:color w:val="000000"/>
      <w:szCs w:val="21"/>
    </w:rPr>
  </w:style>
  <w:style w:type="paragraph" w:customStyle="1" w:styleId="18">
    <w:name w:val="样式1"/>
    <w:basedOn w:val="1"/>
    <w:autoRedefine/>
    <w:qFormat/>
    <w:uiPriority w:val="0"/>
    <w:rPr>
      <w:b/>
      <w:color w:val="538135"/>
      <w:sz w:val="28"/>
    </w:rPr>
  </w:style>
  <w:style w:type="character" w:customStyle="1" w:styleId="19">
    <w:name w:val="标题 1 Char"/>
    <w:link w:val="5"/>
    <w:autoRedefine/>
    <w:qFormat/>
    <w:uiPriority w:val="0"/>
    <w:rPr>
      <w:b/>
      <w:kern w:val="44"/>
      <w:sz w:val="44"/>
    </w:rPr>
  </w:style>
  <w:style w:type="paragraph" w:styleId="20">
    <w:name w:val="List Paragraph"/>
    <w:basedOn w:val="1"/>
    <w:qFormat/>
    <w:uiPriority w:val="1"/>
    <w:pPr>
      <w:ind w:left="1068" w:hanging="408"/>
    </w:pPr>
    <w:rPr>
      <w:rFonts w:ascii="宋体" w:hAnsi="宋体" w:eastAsia="宋体" w:cs="宋体"/>
    </w:rPr>
  </w:style>
  <w:style w:type="character" w:customStyle="1" w:styleId="21">
    <w:name w:val="font01"/>
    <w:basedOn w:val="16"/>
    <w:autoRedefine/>
    <w:qFormat/>
    <w:uiPriority w:val="0"/>
    <w:rPr>
      <w:rFonts w:hint="eastAsia" w:ascii="仿宋" w:hAnsi="仿宋" w:eastAsia="仿宋" w:cs="仿宋"/>
      <w:b/>
      <w:bCs/>
      <w:color w:val="000000"/>
      <w:sz w:val="24"/>
      <w:szCs w:val="24"/>
      <w:u w:val="none"/>
    </w:rPr>
  </w:style>
  <w:style w:type="paragraph" w:customStyle="1" w:styleId="22">
    <w:name w:val="Table Text"/>
    <w:basedOn w:val="1"/>
    <w:autoRedefine/>
    <w:semiHidden/>
    <w:qFormat/>
    <w:uiPriority w:val="0"/>
    <w:rPr>
      <w:rFonts w:ascii="宋体" w:hAnsi="宋体" w:eastAsia="宋体" w:cs="宋体"/>
      <w:sz w:val="20"/>
      <w:szCs w:val="20"/>
      <w:lang w:val="en-US" w:eastAsia="en-US" w:bidi="ar-SA"/>
    </w:rPr>
  </w:style>
  <w:style w:type="character" w:customStyle="1" w:styleId="23">
    <w:name w:val="font21"/>
    <w:basedOn w:val="16"/>
    <w:autoRedefine/>
    <w:qFormat/>
    <w:uiPriority w:val="0"/>
    <w:rPr>
      <w:rFonts w:hint="default" w:ascii="Times New Roman" w:hAnsi="Times New Roman" w:cs="Times New Roman"/>
      <w:color w:val="181818"/>
      <w:sz w:val="22"/>
      <w:szCs w:val="22"/>
      <w:u w:val="none"/>
    </w:rPr>
  </w:style>
  <w:style w:type="character" w:customStyle="1" w:styleId="24">
    <w:name w:val="font11"/>
    <w:basedOn w:val="16"/>
    <w:autoRedefine/>
    <w:qFormat/>
    <w:uiPriority w:val="0"/>
    <w:rPr>
      <w:rFonts w:hint="eastAsia" w:ascii="宋体" w:hAnsi="宋体" w:eastAsia="宋体" w:cs="宋体"/>
      <w:color w:val="4B4B4B"/>
      <w:sz w:val="22"/>
      <w:szCs w:val="22"/>
      <w:u w:val="none"/>
    </w:rPr>
  </w:style>
  <w:style w:type="character" w:customStyle="1" w:styleId="25">
    <w:name w:val="font31"/>
    <w:basedOn w:val="16"/>
    <w:autoRedefine/>
    <w:qFormat/>
    <w:uiPriority w:val="0"/>
    <w:rPr>
      <w:rFonts w:hint="eastAsia" w:ascii="宋体" w:hAnsi="宋体" w:eastAsia="宋体" w:cs="宋体"/>
      <w:color w:val="4B4B4B"/>
      <w:sz w:val="22"/>
      <w:szCs w:val="22"/>
      <w:u w:val="none"/>
    </w:rPr>
  </w:style>
  <w:style w:type="character" w:customStyle="1" w:styleId="26">
    <w:name w:val="font101"/>
    <w:basedOn w:val="16"/>
    <w:autoRedefine/>
    <w:qFormat/>
    <w:uiPriority w:val="0"/>
    <w:rPr>
      <w:rFonts w:hint="eastAsia" w:ascii="宋体" w:hAnsi="宋体" w:eastAsia="宋体" w:cs="宋体"/>
      <w:color w:val="181818"/>
      <w:sz w:val="22"/>
      <w:szCs w:val="22"/>
      <w:u w:val="none"/>
    </w:rPr>
  </w:style>
  <w:style w:type="character" w:customStyle="1" w:styleId="27">
    <w:name w:val="font91"/>
    <w:basedOn w:val="16"/>
    <w:autoRedefine/>
    <w:qFormat/>
    <w:uiPriority w:val="0"/>
    <w:rPr>
      <w:rFonts w:hint="default" w:ascii="Times New Roman" w:hAnsi="Times New Roman" w:cs="Times New Roman"/>
      <w:color w:val="2A2A2A"/>
      <w:sz w:val="22"/>
      <w:szCs w:val="22"/>
      <w:u w:val="none"/>
    </w:rPr>
  </w:style>
  <w:style w:type="character" w:customStyle="1" w:styleId="28">
    <w:name w:val="font81"/>
    <w:basedOn w:val="16"/>
    <w:autoRedefine/>
    <w:qFormat/>
    <w:uiPriority w:val="0"/>
    <w:rPr>
      <w:rFonts w:hint="default" w:ascii="Times New Roman" w:hAnsi="Times New Roman" w:cs="Times New Roman"/>
      <w:color w:val="4B4B4B"/>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097"/>
    <customShpInfo spid="_x0000_s4098"/>
    <customShpInfo spid="_x0000_s1026" textRotate="1"/>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4130"/>
    <customShpInfo spid="_x0000_s4131"/>
    <customShpInfo spid="_x0000_s4132"/>
    <customShpInfo spid="_x0000_s4112"/>
    <customShpInfo spid="_x0000_s4113"/>
    <customShpInfo spid="_x0000_s4114"/>
    <customShpInfo spid="_x0000_s4115"/>
    <customShpInfo spid="_x0000_s4116"/>
    <customShpInfo spid="_x0000_s4117"/>
    <customShpInfo spid="_x0000_s411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8144</Words>
  <Characters>8763</Characters>
  <Lines>0</Lines>
  <Paragraphs>0</Paragraphs>
  <TotalTime>8</TotalTime>
  <ScaleCrop>false</ScaleCrop>
  <LinksUpToDate>false</LinksUpToDate>
  <CharactersWithSpaces>8946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2024-01-22T06:06:00Z</dcterms:created>
  <dc:creator>螺丝粉</dc:creator>
  <cp:lastModifiedBy>彭素华</cp:lastModifiedBy>
  <dcterms:modified xsi:type="dcterms:W3CDTF">2025-09-25T07:11:59Z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187A714C876F4E158BE764380350201A_13</vt:lpwstr>
  </property>
  <property fmtid="{D5CDD505-2E9C-101B-9397-08002B2CF9AE}" pid="3" name="KSOProductBuildVer">
    <vt:lpwstr>2052-12.1.0.21915</vt:lpwstr>
  </property>
  <property fmtid="{D5CDD505-2E9C-101B-9397-08002B2CF9AE}" pid="4" name="KSOTemplateDocerSaveRecord">
    <vt:lpwstr>eyJoZGlkIjoiZjYyMWZmNmFlOWZiMTE0ZGFiYzNmMTVkMDM3YTcyNTgiLCJ1c2VySWQiOiIzNTM4NDQyNDYifQ==</vt:lpwstr>
  </property>
  <property fmtid="{D5CDD505-2E9C-101B-9397-08002B2CF9AE}" pid="5" name="EagleCloud">
    <vt:lpwstr>61676334b4e8422151e43967553014381f5e06876ebe2bbce66cedec39aecaac7d38f4a188ee032ed1e8ff2b0bf1df31742d7106b42b239e466ee460f8f8c81839364240fb3cb2ed3f5b47b5a74b7b51eca1dc56ed36b7dfb05418cc0131dde66cdeaf27ea3238d96013eee4b1748d5bba0cdb83724b6a99cc719fcf58e855b</vt:lpwstr>
  </property>
  <property fmtid="{D5CDD505-2E9C-101B-9397-08002B2CF9AE}" pid="6" name="EagleCloud1">
    <vt:lpwstr>9c507dcfcb27b240d5db00e3b79c2464581cf4c9b76de1b2c912977b7d4196f05e9ac0afdcd1028abf68d0176bbb810d8cfaa9b6c7f0c404cd6fdd76dd855580ab102894d64e2267abe9b7e3a10e02415e72d0deb07372aaa8e49578edc9a0da29c59c3f57690f828cd0a8edddfcbf5976b1cae8fbd5c2840052df7bebf90d9</vt:lpwstr>
  </property>
  <property fmtid="{D5CDD505-2E9C-101B-9397-08002B2CF9AE}" pid="7" name="EagleCloud2">
    <vt:lpwstr>be8bfb24aa93b0ab36d70d88d7432a2afa0fe83b6ff531ceba37820154ab818699447e133530a7ed196a7322611bd4de69092d671b679be2d338b0e95c6d364e3e840fe6c5b05bf5c6a0d019bcfdfd5fea4ffce177ef8b07c5450e4a64065efc92a1154bb6703c4c6f1524034d304105e191172c1fb1eed1779971d20da54d0</vt:lpwstr>
  </property>
  <property fmtid="{D5CDD505-2E9C-101B-9397-08002B2CF9AE}" pid="8" name="EagleCloud3">
    <vt:lpwstr>7dd9790178ba5b2cf454540ddcea6fe64a5c5b80d00d75282aa982ae2a3ec6b2c37a784aaf57a9c2c02eb24e4ece18b672f173ab10ca3436ad83bfb2e50a0705a0fd592383ebc3d2c7cb116e663995d8a8d1078658420bbec7d206b19626c1fa393f40922a761b87da47c208ea6a791707a447e133530a7ed196a7322611bd4</vt:lpwstr>
  </property>
  <property fmtid="{D5CDD505-2E9C-101B-9397-08002B2CF9AE}" pid="9" name="EagleCloud4">
    <vt:lpwstr>de69092d671b679be2d338b0e95c6d364e3e32fcdee61ea20da7d1ffa3864710ab28870adb6af685a8494ff93e5be861fcf66a185bf87d79169ef1e3f71c78262ed844a1f7590165cd092070029d0a19c30991a80654d5daf7ceb9110c700641f1a0d668d364679ae7c1f278119041d9ac7cd06d90bcc4b474ea34cc205ff83</vt:lpwstr>
  </property>
  <property fmtid="{D5CDD505-2E9C-101B-9397-08002B2CF9AE}" pid="10" name="EagleCloud5">
    <vt:lpwstr>bf53f98c2136d977e0c5854addb927dc1f65cc44cf8a00e0b22f9bdb05f81d77bba02333a096eba0fab9325d4d05f9cd5a2a24ff4ff480824ae4edaf096280df6295a774054a91f6ba7a7a2ef33341fcee164a3749af53a49aa708964e0a0657cfd2cce404ec59e02629b8817c63eb8ba1f7a21a804facb34091820b3f5cb0f</vt:lpwstr>
  </property>
  <property fmtid="{D5CDD505-2E9C-101B-9397-08002B2CF9AE}" pid="11" name="EagleCloud6">
    <vt:lpwstr>56eed9400c024ad8281f4b142f24fc9c832ed9a853126888a6cd4c86d7ee184fb71e81cfc515fb94866606610791931f4b31b63742c30d8f6d6e780a8e96cd5e891a1a1116ecab749c7dc3735751770d2e54c6374b226cf800557090f4406022ff416c3ed5c16a8e1dbe36d35e01a60b6d394df925c9294ac7c9375eef1e06b</vt:lpwstr>
  </property>
  <property fmtid="{D5CDD505-2E9C-101B-9397-08002B2CF9AE}" pid="12" name="EagleCloud7">
    <vt:lpwstr>6f58ce1974a8e00dfee2b34d382b660c24d6a5a8683d76df275908f535bd564c8786d071930d700e416ce2a2ccfb9f5b72fbd4ac6a6499657fe7f11f55e2eb4aceca902ce404ec59e02629b8817c63eb8ba1f7a21a804facb34091820b3f5cb0f56eed9400c024ad8281f4b142f24fc9c832ed950e61929e48e1998721d2915</vt:lpwstr>
  </property>
  <property fmtid="{D5CDD505-2E9C-101B-9397-08002B2CF9AE}" pid="13" name="EagleCloud8">
    <vt:lpwstr>b135c3356e63825329c523cd4422a1de6a8d21a625ed221d2eb5bd6679de768088c03c97614537caf5cfb2dcee67d717bc4e0b2c05e737c03c371978af7661abce0a3a13f8e956fe8b39f1150b57aaf45f86d03d961848884454db1835f85f821b4078393addb4cd781cdf0ad5ba035703f5b8d5201a2d75387e34f64fdd4ea</vt:lpwstr>
  </property>
  <property fmtid="{D5CDD505-2E9C-101B-9397-08002B2CF9AE}" pid="14" name="EagleCloud9">
    <vt:lpwstr>10501f8156c039d4a17d41077cf94aff3b3ff58a28acb96b132a8e1c199c0a9be00e9d65c4dfc3fbe47ed1172b35c415b02e0acf48180f4fd5f3f89ea9f247693c8381056a38977c68a62f512e51139dd8d877b255f4d6cd277d984330fbf99abc5d211436686a32c3404cc2b1b7b9ccd871245b25d550fc1610f4755d965ac</vt:lpwstr>
  </property>
  <property fmtid="{D5CDD505-2E9C-101B-9397-08002B2CF9AE}" pid="15" name="EagleCloud10">
    <vt:lpwstr>2ba717d0c5745bbc414aec6c55103b6f7f1e4a6ae9ac9984b91e8a8557ed6f659dbbb08774d58b66743a56a57165e3d18818d87308824deb7cdbd719c30c6226b23a086be895da094ca23cd3bcb37977d27be9be24a36cf1eafff9003dc5a670823004e209fa622bbcfb17931028601366177e0b4e3edc1ed6918ffb3d53369</vt:lpwstr>
  </property>
  <property fmtid="{D5CDD505-2E9C-101B-9397-08002B2CF9AE}" pid="16" name="EagleCloud11">
    <vt:lpwstr>adaf8684cc07f3864f1c015c0a4330d7f229b4d467d420f672d80eba356caf0e24f4e03e92bce9d92a0db9baa79e09fc0b37fdb3e33f3a1381d587d6531bdcab39fa577db1da29069c3c395f12a9814b4aff9f52b63f195d67ab91294735f55d4530ae7e24eed8e7eb3a34113cae1bc1ac9756b2f1c9c383a293625bc261566</vt:lpwstr>
  </property>
  <property fmtid="{D5CDD505-2E9C-101B-9397-08002B2CF9AE}" pid="17" name="EagleCloud12">
    <vt:lpwstr>27afe1502e463e74f911d88ff4486ff8434331383de79640ac2cefb291a79b4d124eeae5dc813893eb759d3c6a37c4648d0ee1f5821e88d48688588c2f28ee25681e51dbe63d4b97da1e18935a65ea90e87098a3ef038b35e8e50f97c200db1f3d398d0adccb98d22d3da6bc8ec3b40694753ef45e5819e1d7413cc85e0d809</vt:lpwstr>
  </property>
  <property fmtid="{D5CDD505-2E9C-101B-9397-08002B2CF9AE}" pid="18" name="EagleCloud13">
    <vt:lpwstr>baacd8d9b464a61676334b4e8422151e43967553014381f5e06876ebe2bbce66cedec39aecaace13a7a50d2e78fc24905f2d5154311574c272938ea905355ee380a76de1dc99839364240fb3cb2ed3f5b47b5a74b7b51f7f4e99e930901432b8fe8143e53976cf60cc91b16779059f9d3caa8328599d2dfe30a86b7e8cf6b92</vt:lpwstr>
  </property>
  <property fmtid="{D5CDD505-2E9C-101B-9397-08002B2CF9AE}" pid="19" name="EagleCloud14">
    <vt:lpwstr>f05afce0517871ffad8598204963fa1084faf90e32be1d88d48688588c2f28ee25681e51dbe63d4b97da1e18935a65ea90e87098a3ef038b35e8e50f97c200db1f3d398d0adccbcbe1255457f96a218f9d7c671e10fd89b38379442b5211035d0725354a02fcda8b553933a214dde2fea918b7f657c4c0d4ec9245432e88637</vt:lpwstr>
  </property>
  <property fmtid="{D5CDD505-2E9C-101B-9397-08002B2CF9AE}" pid="20" name="EagleCloud15">
    <vt:lpwstr>7085ec0dd8336d6cd41781d59caf813cf07cc231fab2f000770af2f4c7af094db300e3175dc7a8e35e1f0837b9e63d8c2c19809d59f46537d268687d26a3070e953769e702e47c79a28813d4f642741c1f7c4c0d0a65e75d1f2b32c3e12338e99fec78341071f891baae7c686c91c6f384e458ec0693f978d54b4186674f691</vt:lpwstr>
  </property>
  <property fmtid="{D5CDD505-2E9C-101B-9397-08002B2CF9AE}" pid="21" name="EagleCloud16">
    <vt:lpwstr>e0fcfcd9e2cb945ea3cad1290091237d6d8640b3b0beed190f2f56a4f2b9db7e3d630633861e7ac7f5720a060e0716b955436f973a2c7e4bc7546db911e20e4617b25d0ed2faeee96ab090de3ae06d8e4cdd12e2cbd63c51096747520d580748d52274527dd504a5f40922a761b87da47c208ea6a791707a447e133530a7ed1</vt:lpwstr>
  </property>
  <property fmtid="{D5CDD505-2E9C-101B-9397-08002B2CF9AE}" pid="22" name="EagleCloud17">
    <vt:lpwstr>96a7322611bd4de69092d671b679be2d338b0e95c6d364e3e32fcdee61ea20da7d1ffa3864710ab28870adb6af685a8494ff93e5be861fcf66a185bf87d79169ef1e3f71c78262ed844a1f7590165cd092070029d0a19c30991a80654d5daf7ceb9110c700641f1a0d668d364679ae7c1f278119041d9ac7ce41e72fe3a92af</vt:lpwstr>
  </property>
  <property fmtid="{D5CDD505-2E9C-101B-9397-08002B2CF9AE}" pid="23" name="EagleCloud18">
    <vt:lpwstr>005ead3c47a2c019a436a104896287cf11523f846453a093f004f85cc877ea9f508c7b3f157bfb5e3900c78fa0e81063fddeffb5b42e5553c0140e56ba7bfafd7b155d6dc583272e14a89a7f266ba34c655cbe96259c7b451dd60e13f10ff1e03166fd72d90b6c291d8292be911d6e62c2bc6259901a7295a5621cebc3bf00e</vt:lpwstr>
  </property>
  <property fmtid="{D5CDD505-2E9C-101B-9397-08002B2CF9AE}" pid="24" name="EagleCloud19">
    <vt:lpwstr>95ced970517c452425a9798245c2caaad1249fb17d62b3c3b858b1933359b6ff4794e181ba3750d2861ff51563f5d7fdc5737c1ba1b43a2af4246feaf1389bf468d71ffca0b2b8b5818e019725097054ac0d534bf8a8b9e44d5b40825dbc9689c7271dfeeb318c45c41cdb1076eba7eba7de83256d7887b27a12b653564bc2e</vt:lpwstr>
  </property>
  <property fmtid="{D5CDD505-2E9C-101B-9397-08002B2CF9AE}" pid="25" name="EagleCloud20">
    <vt:lpwstr>58a8fa5731743e984a06d8f1800e445b143a451eaaf10a4c56238651a655f6786d404c16662a8e119b35aa392fc9087b8651f9676691039edca5def129b4eb30a0884320a8d59ce46db0080ad439b3870296863115ebb51c3071621cebc3bf00e95ced970517c452425a9798245c2caaad1249fb17d62b3c3b858b1933359b6</vt:lpwstr>
  </property>
  <property fmtid="{D5CDD505-2E9C-101B-9397-08002B2CF9AE}" pid="26" name="EagleCloud21">
    <vt:lpwstr>ff4794e181ba3750d2861b665ee4850031fbacea7acb561b594b17f7135c89e795cc0f55d7402e81a1acb961503fc3170a28aeab97dfa8b21231218e6c42c46b947454629472eb3a56bf04d6440ae8df70a3250e6c3c07c0c88551e85ac8d91fb9259532a97c89664e32d0dc2d6c85a77adbc1756cbfe0054165cad8b9cbafd</vt:lpwstr>
  </property>
  <property fmtid="{D5CDD505-2E9C-101B-9397-08002B2CF9AE}" pid="27" name="EagleCloud22">
    <vt:lpwstr>f0e62c2a315a78e3d59909512c54879c55ab2fac48926813bdbec0773ff173f8f53453a318cee1d091732cf8af2eba6052201a222115b15ab15fd3f7b9c2757e87e1579dfff2a803bc368b4adcacb034ce8c1cbe6f24c2561191c8bc94ace47afddda194daa56cbc39da17713c67ad111932efd10a48504a4a48223fe623f8d</vt:lpwstr>
  </property>
  <property fmtid="{D5CDD505-2E9C-101B-9397-08002B2CF9AE}" pid="28" name="EagleCloud23">
    <vt:lpwstr>844678c7f21355b87803f19cf9fcedcaebb32c0124a0927d5da3a7e4f0523d6b03baf04de4c6876e05b9a124826304c34ae0e65a9543c0d73b74ef01d2e76a17f9794e18169c998f29eb859ad8b9cbafdf0e62c2a315a78e3d59909f015f6a846b58f5ca54d80259de7adf20e41c78716a97e173a72e08942eebff4f6b32c32</vt:lpwstr>
  </property>
  <property fmtid="{D5CDD505-2E9C-101B-9397-08002B2CF9AE}" pid="29" name="EagleCloud24">
    <vt:lpwstr>427f02383c85a11e702ad76e9935152cce5b3193c59eb0a7fddeaa9c011ce02a3365e84ae226d9d4c8e917367edcfe1128e7c2e85ec9eda7d21119f69f68378eba60e89222222ab77eaa56567d80e94c520c43cf994d582a6592884869a0c4e3af4acd38d1074f54f69ae034dc4d3927fd3f157c25c68e603e22e3f4836fba7</vt:lpwstr>
  </property>
  <property fmtid="{D5CDD505-2E9C-101B-9397-08002B2CF9AE}" pid="30" name="EagleCloud25">
    <vt:lpwstr>b4e50ca959bcea3674b48332604201817bbe65dca3d863e16db070a53e54ae29f4ec0dbf26011f0f9f31cbe40d0768e62e027fe437123c33ed8078ff9f59bcbab3b7a4ccd221b2bfb3d87112f7f072c2fe95102c4b2380415f2ac57da4c8ee267b8c253f0612ef003f4dc131fddbfedb1cad1c03306780db8ebc369aa21ae3d</vt:lpwstr>
  </property>
  <property fmtid="{D5CDD505-2E9C-101B-9397-08002B2CF9AE}" pid="31" name="EagleCloud26">
    <vt:lpwstr>a97f6c33997afa1cb0c108896e310744ca17afc7a904e3efdcdb3ebc4f9ab2c3bd248c0b2d699da6f30e132505cfef093ed159a2ff146d3923237f089b88aa2edfb5b6c9c36e49c9d36484a0cc7981cb6029295712c817adac33a3f2d4b0cabb2a49ea1dc0f6fefd90646216cad4345b59d1cada21190c019e082c0e5437787</vt:lpwstr>
  </property>
  <property fmtid="{D5CDD505-2E9C-101B-9397-08002B2CF9AE}" pid="32" name="EagleCloud27">
    <vt:lpwstr>c87066fd0c65d93167e1161fa962668db91c1b440c9592c29399dc6bbbff59bcbab3b7a4ccd221b2bfb3d87112f7f072c2fe95102c4b2380415f2ac57da4c8ee267b8c253f0612ef003f4dc131f0aa694df90ada92af18565af5e5bea10856aecf187ffce125d855a6652102b1c3dc1bbe99040591c5320a4f1efc71e425ed7</vt:lpwstr>
  </property>
  <property fmtid="{D5CDD505-2E9C-101B-9397-08002B2CF9AE}" pid="33" name="EagleCloud28">
    <vt:lpwstr>8368c24735cd191ba9ee0310955fc0fe9ca27395cff83086cf113192770ae67a2dc0176470c620cb1c46aadb59d18683d76df275908f535bd564c8786d071930d700e416ce2a2ccfb9f5b72fbd4a8c012ef25cf41d082511e24475b57ed2816f8d9f9f72ad6f1e050ec912674a8baa1bd07e8b40b02fc07a37951a5505faadc</vt:lpwstr>
  </property>
  <property fmtid="{D5CDD505-2E9C-101B-9397-08002B2CF9AE}" pid="34" name="EagleCloud29">
    <vt:lpwstr>c3fe4b309508ca834c819682441d021638bcb9685a28542f5671e1776967a43d858a6251b44ebfbea761bc09d7df4f6c0e48e5c1108d20f3831ae8d002bff5ed871d6ebb8c47b765d58d5d1847a6f3153d373ec66cfa4f75331dbe9a6217cef81ed0c73ac0270975751a4f5f32c26974a8e00dfee2b34d382b660c24d6a5a86</vt:lpwstr>
  </property>
  <property fmtid="{D5CDD505-2E9C-101B-9397-08002B2CF9AE}" pid="35" name="EagleCloud30">
    <vt:lpwstr>83d76df275908f535bd564c8786d071930d700e416ce2a2ccfb9f5b72fbd4ac6a6499657fe7f11f55e2eb4aceca902ce404ec59e02629b8817c63eb8ba1f7a21a804facb34091820b3f5cb0f56eed9400c024ad8281f4b142f24fc9c832ed950e61929e48e1998721d2915b135c335f30212ab28c359e2ccfa92392095f43d3</vt:lpwstr>
  </property>
  <property fmtid="{D5CDD505-2E9C-101B-9397-08002B2CF9AE}" pid="36" name="EagleCloud31">
    <vt:lpwstr>6a104896287cf11523f846453a093f004f85cc877ea9f508c7b3f157bfb5e398b8b4388004f7929de9b4686049861fbca583cf32ccf0211f70aaf447d1894daa89a7f266ba34c655cbe96259c7b451dd60e13f10ff1e03166fd72d90b6c291d8292be911d6e62c2bc6259901a7295a5621cebc3bf00e95ced970517c452425a</vt:lpwstr>
  </property>
  <property fmtid="{D5CDD505-2E9C-101B-9397-08002B2CF9AE}" pid="37" name="EagleCloud32">
    <vt:lpwstr>9798245c2caaad1249fb17d62b3c3b858b1933359b6ff4794e181ba3750d2861ff51563f5d7fdc5737c1ba1b43a2af4246feaf1389bf468d71ffca0b2b8b5818e019725097054ac0d534bf8a8b9e44d5b40825dbc9689c7271dfeeb318c45c41cdb1076eba7eba7de83256d7887b27a1758846a58044191049add740fd2a0ab</vt:lpwstr>
  </property>
  <property fmtid="{D5CDD505-2E9C-101B-9397-08002B2CF9AE}" pid="38" name="EagleCloud33">
    <vt:lpwstr>501edf0778feb1ebbfe8f0a9aa191c5e7d3f7b7d02b77b9100532a77fbd093204f333358bb58ff82a08eaefe160a5a53708f3fb08d07e2647fad5ce4544abe1308e7a62366c525ac72520a02fde0dc03f3a26abbcec9f3bea9704f59516e477b57d48be117e071bb59d3427c38c47f5d9de3a14e2e21444d70fc9d1dc289f81</vt:lpwstr>
  </property>
  <property fmtid="{D5CDD505-2E9C-101B-9397-08002B2CF9AE}" pid="39" name="EagleCloud34">
    <vt:lpwstr>824b1012dce0ba8ce0a2e1795766e62c060fdfe254dfe4bf309128cf64e15f537c2a26ae37cdbd44ab980306b0650129af8bdf54be3a5cd38f8498747de18370394c55aa3553e9f97aa462b5a4e172062000c78fa0e81063fddeffb5b42e5553c0140e56ba7bfafd7b155d6dc583272e146a0f15326ab20cb5d93f90186ae03</vt:lpwstr>
  </property>
  <property fmtid="{D5CDD505-2E9C-101B-9397-08002B2CF9AE}" pid="40" name="EagleCloud35">
    <vt:lpwstr>0dae4ff58982197f8bff2ca8af0c6bb91bda3e0b0b724bc62d125503e8bd1a7dfad3a26abbcec9f3bea9704f59516e477b57d48be117e071bb59d3427c38c47f5d9de3a14e2e21444d70fc9d1dc289f81822b85b6622ae1a2c68cbf08d52c0871825a2d6ba87fe9bf4f9eade940ba787767a215f3437f215ce697a05257ab52</vt:lpwstr>
  </property>
  <property fmtid="{D5CDD505-2E9C-101B-9397-08002B2CF9AE}" pid="41" name="EagleCloud36">
    <vt:lpwstr>b9b3f5720a060e0716b955436f973a2c7e4bc7546db911e20e4617b25d0ed2faeee96ab090de3ae06d8e4cdd12e2cbd63c51641480dd28fcd081e31f6e844edbc856de30fc20d0b10152d78ec8434d15558535e1f0837b9e63d8c2c19809d59f46537d268687d26a3070e953769e702e47c704ce2bc7f1517ab5d43bbc678b2</vt:lpwstr>
  </property>
  <property fmtid="{D5CDD505-2E9C-101B-9397-08002B2CF9AE}" pid="42" name="EagleCloud37">
    <vt:lpwstr>0dc09fa12e57a025d1b53952e58995440abafa597b5f4012716f2fb14d673ac75bce79e642641ff43e65a7ee2b04f31a4e2cde9a953fb79767933584618881b6a3381181193a359f48447e66763c1c9461cd060036c85ad3877b65eb7c4d80cd04379361f0e34a11f4372681b06fc9a8812176d23cca156b30cf7e8be61c75d</vt:lpwstr>
  </property>
  <property fmtid="{D5CDD505-2E9C-101B-9397-08002B2CF9AE}" pid="43" name="EagleCloud38">
    <vt:lpwstr>c84c1f02270bc3b8eec68509fd5cfde8d4fde2b894245594d08b106930090d4c5d76bff333358bb58ff82a08eaefe160a5a53710bcc9ca458c2ae9214ae95ba14f18f292b27fccbe65cd9458abe9c5c3aa398993bf5eb309127fe74a1583814bf63ebd534240357677320bccbdc4535754328be71d676933f76a2d490c2126f</vt:lpwstr>
  </property>
  <property fmtid="{D5CDD505-2E9C-101B-9397-08002B2CF9AE}" pid="44" name="EagleCloud39">
    <vt:lpwstr>b42105539eb6d281cc5a548ddebdaeca0f9328af013b9cfd6bed2dcdd5f33ff2fddbbec</vt:lpwstr>
  </property>
</Properties>
</file>