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70140">
      <w:pPr>
        <w:spacing w:before="312" w:beforeLines="100" w:after="312" w:afterLines="100"/>
        <w:jc w:val="center"/>
        <w:rPr>
          <w:rFonts w:ascii="宋体" w:hAnsi="宋体" w:eastAsia="宋体" w:cs="宋体"/>
          <w:b/>
          <w:bCs/>
          <w:sz w:val="44"/>
          <w:szCs w:val="44"/>
        </w:rPr>
      </w:pPr>
      <w:bookmarkStart w:id="0" w:name="OLE_LINK2"/>
      <w:r>
        <w:rPr>
          <w:rFonts w:hint="eastAsia" w:ascii="宋体" w:hAnsi="宋体" w:eastAsia="宋体" w:cs="宋体"/>
          <w:b/>
          <w:bCs/>
          <w:sz w:val="40"/>
          <w:szCs w:val="40"/>
        </w:rPr>
        <w:t>田田碳素石油焦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14:paraId="4E8124AB">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56012294">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2E4D8A5F">
      <w:pPr>
        <w:pStyle w:val="14"/>
        <w:rPr>
          <w:rFonts w:ascii="宋体" w:hAnsi="宋体" w:eastAsia="宋体" w:cs="宋体"/>
          <w:bCs/>
          <w:color w:val="000000"/>
          <w:sz w:val="24"/>
        </w:rPr>
      </w:pPr>
    </w:p>
    <w:p w14:paraId="6E8AFA04">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71AA692D">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14:paraId="58365834">
      <w:pPr>
        <w:pStyle w:val="14"/>
      </w:pPr>
    </w:p>
    <w:p w14:paraId="42A2723F">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项目名称:</w:t>
      </w:r>
      <w:r>
        <w:rPr>
          <w:rFonts w:hint="eastAsia" w:hAnsi="宋体" w:cs="宋体"/>
          <w:b/>
          <w:bCs/>
          <w:color w:val="auto"/>
          <w:sz w:val="32"/>
          <w:szCs w:val="32"/>
        </w:rPr>
        <w:t>【键入内容】</w:t>
      </w:r>
    </w:p>
    <w:p w14:paraId="359DFE2C">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合同编号:</w:t>
      </w:r>
      <w:r>
        <w:rPr>
          <w:rFonts w:hint="eastAsia" w:hAnsi="宋体" w:cs="宋体"/>
          <w:b/>
          <w:bCs/>
          <w:color w:val="auto"/>
          <w:sz w:val="32"/>
          <w:szCs w:val="32"/>
        </w:rPr>
        <w:t>【键入内容】</w:t>
      </w:r>
    </w:p>
    <w:p w14:paraId="0407BC62">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签订地点:</w:t>
      </w:r>
      <w:bookmarkStart w:id="1" w:name="OLE_LINK1"/>
      <w:r>
        <w:rPr>
          <w:rFonts w:hint="eastAsia" w:hAnsi="宋体" w:cs="宋体"/>
          <w:b/>
          <w:bCs/>
          <w:color w:val="auto"/>
          <w:sz w:val="32"/>
          <w:szCs w:val="32"/>
        </w:rPr>
        <w:t>【键入内容】</w:t>
      </w:r>
    </w:p>
    <w:bookmarkEnd w:id="1"/>
    <w:p w14:paraId="41008A85">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签订时间:</w:t>
      </w:r>
      <w:r>
        <w:rPr>
          <w:rFonts w:hint="eastAsia" w:hAnsi="宋体" w:cs="宋体"/>
          <w:b/>
          <w:bCs/>
          <w:color w:val="auto"/>
          <w:sz w:val="32"/>
          <w:szCs w:val="32"/>
        </w:rPr>
        <w:t>【键入内容】</w:t>
      </w:r>
    </w:p>
    <w:p w14:paraId="18E692DF">
      <w:pPr>
        <w:pStyle w:val="2"/>
        <w:spacing w:line="480" w:lineRule="auto"/>
        <w:ind w:firstLine="2440" w:firstLineChars="500"/>
        <w:jc w:val="left"/>
        <w:rPr>
          <w:rFonts w:hAnsi="宋体"/>
          <w:color w:val="auto"/>
          <w:spacing w:val="84"/>
          <w:sz w:val="32"/>
          <w:szCs w:val="32"/>
        </w:rPr>
      </w:pPr>
    </w:p>
    <w:p w14:paraId="4BB7FBAE">
      <w:pPr>
        <w:tabs>
          <w:tab w:val="left" w:pos="567"/>
        </w:tabs>
        <w:snapToGrid w:val="0"/>
        <w:spacing w:before="156" w:beforeLines="50" w:after="156" w:afterLines="50" w:line="440" w:lineRule="exact"/>
        <w:jc w:val="center"/>
        <w:rPr>
          <w:rFonts w:ascii="宋体" w:hAnsi="宋体"/>
          <w:spacing w:val="84"/>
          <w:sz w:val="40"/>
          <w:szCs w:val="32"/>
        </w:rPr>
      </w:pPr>
    </w:p>
    <w:p w14:paraId="6B7C3394">
      <w:pPr>
        <w:rPr>
          <w:rFonts w:ascii="宋体" w:hAnsi="宋体" w:eastAsia="宋体" w:cs="宋体"/>
          <w:sz w:val="24"/>
        </w:rPr>
      </w:pPr>
    </w:p>
    <w:p w14:paraId="55D94F53">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14:paraId="4BCDA2AD">
      <w:pPr>
        <w:spacing w:before="312" w:beforeLines="100" w:after="312" w:afterLines="100"/>
        <w:ind w:firstLine="883" w:firstLineChars="200"/>
        <w:jc w:val="center"/>
      </w:pPr>
      <w:r>
        <w:rPr>
          <w:rFonts w:hint="eastAsia" w:ascii="宋体" w:hAnsi="宋体" w:eastAsia="宋体" w:cs="宋体"/>
          <w:b/>
          <w:bCs/>
          <w:sz w:val="44"/>
          <w:szCs w:val="44"/>
        </w:rPr>
        <w:t>石油焦采购合同</w:t>
      </w:r>
    </w:p>
    <w:p w14:paraId="078D8224">
      <w:pPr>
        <w:spacing w:before="145" w:beforeLines="50" w:after="145" w:afterLines="50" w:line="440" w:lineRule="exact"/>
        <w:ind w:firstLine="482" w:firstLineChars="200"/>
        <w:jc w:val="left"/>
        <w:rPr>
          <w:rFonts w:hint="eastAsia" w:ascii="宋体" w:hAnsi="宋体" w:cs="宋体"/>
          <w:b/>
          <w:sz w:val="24"/>
        </w:rPr>
      </w:pPr>
      <w:r>
        <w:rPr>
          <w:rFonts w:hint="eastAsia" w:ascii="宋体" w:hAnsi="宋体" w:cs="宋体"/>
          <w:b/>
          <w:sz w:val="24"/>
          <w:lang w:val="en-US" w:eastAsia="zh-CN"/>
        </w:rPr>
        <w:t>甲</w:t>
      </w:r>
      <w:r>
        <w:rPr>
          <w:rFonts w:hint="eastAsia" w:ascii="宋体" w:hAnsi="宋体" w:cs="宋体"/>
          <w:b/>
          <w:sz w:val="24"/>
        </w:rPr>
        <w:t>方：【键入内容】</w:t>
      </w:r>
    </w:p>
    <w:p w14:paraId="5898F213">
      <w:pPr>
        <w:spacing w:before="145" w:beforeLines="50" w:after="145" w:afterLines="50" w:line="440" w:lineRule="exact"/>
        <w:ind w:firstLine="482" w:firstLineChars="200"/>
        <w:jc w:val="left"/>
        <w:rPr>
          <w:rFonts w:hint="eastAsia" w:ascii="宋体" w:hAnsi="宋体" w:cs="宋体"/>
          <w:b/>
          <w:sz w:val="24"/>
        </w:rPr>
      </w:pPr>
      <w:r>
        <w:rPr>
          <w:rFonts w:hint="eastAsia" w:ascii="宋体" w:hAnsi="宋体" w:cs="宋体"/>
          <w:b/>
          <w:sz w:val="24"/>
        </w:rPr>
        <w:t>统一社会信用代码：【键入内容】</w:t>
      </w:r>
    </w:p>
    <w:p w14:paraId="164C75F9">
      <w:pPr>
        <w:spacing w:before="145" w:beforeLines="50" w:after="145" w:afterLines="50" w:line="440" w:lineRule="exact"/>
        <w:ind w:firstLine="482" w:firstLineChars="200"/>
        <w:jc w:val="left"/>
        <w:rPr>
          <w:rFonts w:hint="default" w:ascii="宋体" w:hAnsi="宋体" w:cs="宋体" w:eastAsiaTheme="minorEastAsia"/>
          <w:b/>
          <w:sz w:val="24"/>
          <w:highlight w:val="none"/>
          <w:u w:val="single"/>
          <w:lang w:val="en-US" w:eastAsia="zh-CN"/>
        </w:rPr>
      </w:pPr>
      <w:r>
        <w:rPr>
          <w:rFonts w:hint="eastAsia" w:ascii="宋体" w:hAnsi="宋体" w:cs="宋体"/>
          <w:b/>
          <w:sz w:val="24"/>
          <w:highlight w:val="none"/>
          <w:lang w:val="en-US" w:eastAsia="zh-CN"/>
        </w:rPr>
        <w:t>乙</w:t>
      </w:r>
      <w:r>
        <w:rPr>
          <w:rFonts w:hint="eastAsia" w:ascii="宋体" w:hAnsi="宋体" w:cs="宋体"/>
          <w:b/>
          <w:sz w:val="24"/>
          <w:highlight w:val="none"/>
        </w:rPr>
        <w:t>方：</w:t>
      </w:r>
      <w:r>
        <w:rPr>
          <w:rFonts w:hint="eastAsia" w:ascii="宋体" w:hAnsi="宋体" w:cs="宋体"/>
          <w:b/>
          <w:sz w:val="24"/>
        </w:rPr>
        <w:t>【键入内容】</w:t>
      </w:r>
    </w:p>
    <w:p w14:paraId="75FDF5EE">
      <w:pPr>
        <w:spacing w:before="145" w:beforeLines="50" w:after="145" w:afterLines="50" w:line="440" w:lineRule="exact"/>
        <w:ind w:firstLine="482" w:firstLineChars="200"/>
        <w:jc w:val="left"/>
        <w:rPr>
          <w:rFonts w:ascii="宋体" w:hAnsi="宋体" w:eastAsia="宋体" w:cs="宋体"/>
          <w:sz w:val="24"/>
          <w:highlight w:val="none"/>
        </w:rPr>
      </w:pPr>
      <w:r>
        <w:rPr>
          <w:rFonts w:hint="eastAsia" w:ascii="宋体" w:hAnsi="宋体" w:cs="宋体"/>
          <w:b/>
          <w:sz w:val="24"/>
          <w:highlight w:val="none"/>
        </w:rPr>
        <w:t>统一社会信用代码：</w:t>
      </w:r>
      <w:r>
        <w:rPr>
          <w:rFonts w:hint="eastAsia" w:ascii="宋体" w:hAnsi="宋体" w:cs="宋体"/>
          <w:b/>
          <w:sz w:val="24"/>
        </w:rPr>
        <w:t>【键入内容】</w:t>
      </w:r>
    </w:p>
    <w:p w14:paraId="39F059D6">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为明确甲乙双方权利、义务和责任，根据《中华人民共和国民法典》及相关法律法规的规定，本着自愿公平、诚实信用原则，就石油焦</w:t>
      </w:r>
      <w:r>
        <w:rPr>
          <w:rFonts w:hint="eastAsia" w:ascii="宋体" w:hAnsi="宋体" w:eastAsia="宋体" w:cs="宋体"/>
          <w:sz w:val="24"/>
          <w:lang w:val="en-US" w:eastAsia="zh-CN"/>
        </w:rPr>
        <w:t>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14:paraId="3B5B5178">
      <w:pPr>
        <w:spacing w:before="10" w:after="10" w:line="440" w:lineRule="exact"/>
        <w:rPr>
          <w:rFonts w:ascii="宋体" w:hAnsi="宋体" w:eastAsia="宋体" w:cs="宋体"/>
          <w:b/>
          <w:bCs/>
          <w:sz w:val="24"/>
        </w:rPr>
      </w:pPr>
      <w:r>
        <w:rPr>
          <w:rFonts w:hint="eastAsia" w:ascii="宋体" w:hAnsi="宋体" w:eastAsia="宋体" w:cs="宋体"/>
          <w:b/>
          <w:bCs/>
          <w:sz w:val="24"/>
        </w:rPr>
        <w:t>第一条 石油焦技术指标</w:t>
      </w:r>
    </w:p>
    <w:p w14:paraId="19B05712">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1.1货物名称：石油焦。</w:t>
      </w:r>
    </w:p>
    <w:p w14:paraId="63A83D2B">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bidi="ar"/>
        </w:rPr>
        <w:t>石油焦采购技术指标（N</w:t>
      </w:r>
      <w:r>
        <w:rPr>
          <w:rFonts w:hint="eastAsia" w:ascii="宋体" w:hAnsi="宋体" w:eastAsia="宋体" w:cs="宋体"/>
          <w:sz w:val="24"/>
        </w:rPr>
        <w:t>B-SH-T 0527-2019）</w:t>
      </w:r>
    </w:p>
    <w:p w14:paraId="23868F56">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6"/>
        <w:tblpPr w:leftFromText="180" w:rightFromText="180" w:vertAnchor="text" w:horzAnchor="page" w:tblpXSpec="center" w:tblpY="46"/>
        <w:tblOverlap w:val="never"/>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948"/>
        <w:gridCol w:w="1039"/>
        <w:gridCol w:w="1190"/>
        <w:gridCol w:w="1000"/>
        <w:gridCol w:w="990"/>
        <w:gridCol w:w="880"/>
        <w:gridCol w:w="880"/>
        <w:gridCol w:w="1000"/>
        <w:gridCol w:w="1100"/>
        <w:gridCol w:w="1100"/>
      </w:tblGrid>
      <w:tr w14:paraId="063A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77" w:type="dxa"/>
            <w:vAlign w:val="center"/>
          </w:tcPr>
          <w:p w14:paraId="2CB49662">
            <w:pPr>
              <w:pStyle w:val="2"/>
              <w:jc w:val="center"/>
              <w:rPr>
                <w:rFonts w:ascii="宋体" w:hAnsi="宋体" w:cs="宋体"/>
                <w:color w:val="auto"/>
              </w:rPr>
            </w:pPr>
            <w:r>
              <w:rPr>
                <w:rFonts w:hint="eastAsia" w:ascii="宋体" w:hAnsi="宋体" w:cs="宋体"/>
                <w:color w:val="auto"/>
              </w:rPr>
              <w:t>序号</w:t>
            </w:r>
          </w:p>
        </w:tc>
        <w:tc>
          <w:tcPr>
            <w:tcW w:w="948" w:type="dxa"/>
            <w:vAlign w:val="center"/>
          </w:tcPr>
          <w:p w14:paraId="2FB95D38">
            <w:pPr>
              <w:pStyle w:val="2"/>
              <w:jc w:val="center"/>
              <w:rPr>
                <w:rFonts w:ascii="宋体" w:hAnsi="宋体" w:cs="宋体"/>
                <w:color w:val="auto"/>
              </w:rPr>
            </w:pPr>
            <w:r>
              <w:rPr>
                <w:rFonts w:hint="eastAsia" w:ascii="宋体" w:hAnsi="宋体" w:cs="宋体"/>
                <w:color w:val="auto"/>
              </w:rPr>
              <w:t>名称</w:t>
            </w:r>
          </w:p>
        </w:tc>
        <w:tc>
          <w:tcPr>
            <w:tcW w:w="1039" w:type="dxa"/>
            <w:vAlign w:val="center"/>
          </w:tcPr>
          <w:p w14:paraId="4D88C6DF">
            <w:pPr>
              <w:pStyle w:val="2"/>
              <w:jc w:val="center"/>
              <w:rPr>
                <w:rFonts w:ascii="宋体" w:hAnsi="宋体" w:cs="宋体"/>
                <w:color w:val="auto"/>
              </w:rPr>
            </w:pPr>
            <w:r>
              <w:rPr>
                <w:rFonts w:hint="eastAsia" w:ascii="宋体" w:hAnsi="宋体" w:cs="宋体"/>
                <w:color w:val="auto"/>
              </w:rPr>
              <w:t>硫含量/%(S)</w:t>
            </w:r>
          </w:p>
        </w:tc>
        <w:tc>
          <w:tcPr>
            <w:tcW w:w="1190" w:type="dxa"/>
            <w:vAlign w:val="center"/>
          </w:tcPr>
          <w:p w14:paraId="26869453">
            <w:pPr>
              <w:pStyle w:val="2"/>
              <w:jc w:val="center"/>
              <w:rPr>
                <w:rFonts w:ascii="宋体" w:hAnsi="宋体" w:cs="宋体"/>
                <w:color w:val="auto"/>
              </w:rPr>
            </w:pPr>
            <w:r>
              <w:rPr>
                <w:rFonts w:hint="eastAsia" w:ascii="宋体" w:hAnsi="宋体" w:cs="宋体"/>
                <w:color w:val="auto"/>
              </w:rPr>
              <w:t>挥发分/%(V)</w:t>
            </w:r>
          </w:p>
        </w:tc>
        <w:tc>
          <w:tcPr>
            <w:tcW w:w="1000" w:type="dxa"/>
            <w:vAlign w:val="center"/>
          </w:tcPr>
          <w:p w14:paraId="79E1220E">
            <w:pPr>
              <w:pStyle w:val="2"/>
              <w:jc w:val="center"/>
              <w:rPr>
                <w:rFonts w:ascii="宋体" w:hAnsi="宋体" w:cs="宋体"/>
                <w:color w:val="auto"/>
              </w:rPr>
            </w:pPr>
            <w:r>
              <w:rPr>
                <w:rFonts w:hint="eastAsia" w:ascii="宋体" w:hAnsi="宋体" w:cs="宋体"/>
                <w:color w:val="auto"/>
              </w:rPr>
              <w:t>微量元素钒含量/ppm</w:t>
            </w:r>
          </w:p>
        </w:tc>
        <w:tc>
          <w:tcPr>
            <w:tcW w:w="990" w:type="dxa"/>
            <w:vAlign w:val="center"/>
          </w:tcPr>
          <w:p w14:paraId="7DEEDCCE">
            <w:pPr>
              <w:pStyle w:val="2"/>
              <w:jc w:val="center"/>
              <w:rPr>
                <w:rFonts w:ascii="宋体" w:hAnsi="宋体" w:cs="宋体"/>
                <w:color w:val="auto"/>
              </w:rPr>
            </w:pPr>
            <w:r>
              <w:rPr>
                <w:rFonts w:hint="eastAsia" w:ascii="宋体" w:hAnsi="宋体" w:cs="宋体"/>
                <w:color w:val="auto"/>
              </w:rPr>
              <w:t>灰分/%(A)</w:t>
            </w:r>
          </w:p>
        </w:tc>
        <w:tc>
          <w:tcPr>
            <w:tcW w:w="880" w:type="dxa"/>
            <w:vAlign w:val="center"/>
          </w:tcPr>
          <w:p w14:paraId="10D7A992">
            <w:pPr>
              <w:pStyle w:val="2"/>
              <w:jc w:val="center"/>
              <w:rPr>
                <w:rFonts w:hint="default" w:ascii="宋体" w:hAnsi="宋体" w:eastAsia="宋体" w:cs="宋体"/>
                <w:color w:val="auto"/>
                <w:lang w:val="en-US" w:eastAsia="zh-CN"/>
              </w:rPr>
            </w:pPr>
            <w:r>
              <w:rPr>
                <w:rFonts w:hint="eastAsia" w:ascii="宋体" w:hAnsi="宋体" w:cs="宋体"/>
                <w:color w:val="auto"/>
                <w:lang w:val="en-US" w:eastAsia="zh-CN"/>
              </w:rPr>
              <w:t>粉焦量</w:t>
            </w:r>
            <w:r>
              <w:rPr>
                <w:rFonts w:hint="eastAsia" w:ascii="宋体" w:hAnsi="宋体" w:cs="宋体"/>
                <w:color w:val="auto"/>
              </w:rPr>
              <w:t>/%</w:t>
            </w:r>
          </w:p>
        </w:tc>
        <w:tc>
          <w:tcPr>
            <w:tcW w:w="880" w:type="dxa"/>
            <w:vAlign w:val="center"/>
          </w:tcPr>
          <w:p w14:paraId="2D3391FC">
            <w:pPr>
              <w:pStyle w:val="2"/>
              <w:jc w:val="center"/>
              <w:rPr>
                <w:rFonts w:ascii="宋体" w:hAnsi="宋体" w:cs="宋体"/>
                <w:color w:val="auto"/>
              </w:rPr>
            </w:pPr>
            <w:r>
              <w:rPr>
                <w:rFonts w:hint="eastAsia" w:ascii="宋体" w:hAnsi="宋体" w:cs="宋体"/>
                <w:color w:val="auto"/>
              </w:rPr>
              <w:t>水分/</w:t>
            </w:r>
          </w:p>
        </w:tc>
        <w:tc>
          <w:tcPr>
            <w:tcW w:w="1000" w:type="dxa"/>
            <w:vAlign w:val="center"/>
          </w:tcPr>
          <w:p w14:paraId="510C0A3F">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铁</w:t>
            </w:r>
            <w:r>
              <w:rPr>
                <w:rFonts w:hint="eastAsia" w:ascii="宋体" w:hAnsi="宋体" w:cs="宋体"/>
                <w:color w:val="auto"/>
              </w:rPr>
              <w:t>含量/ppm</w:t>
            </w:r>
          </w:p>
        </w:tc>
        <w:tc>
          <w:tcPr>
            <w:tcW w:w="1100" w:type="dxa"/>
            <w:vAlign w:val="center"/>
          </w:tcPr>
          <w:p w14:paraId="7A37E6E7">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硅</w:t>
            </w:r>
            <w:r>
              <w:rPr>
                <w:rFonts w:hint="eastAsia" w:ascii="宋体" w:hAnsi="宋体" w:cs="宋体"/>
                <w:color w:val="auto"/>
              </w:rPr>
              <w:t>含量/ppm</w:t>
            </w:r>
          </w:p>
        </w:tc>
        <w:tc>
          <w:tcPr>
            <w:tcW w:w="1100" w:type="dxa"/>
            <w:vAlign w:val="center"/>
          </w:tcPr>
          <w:p w14:paraId="7A8AB713">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钠</w:t>
            </w:r>
            <w:r>
              <w:rPr>
                <w:rFonts w:hint="eastAsia" w:ascii="宋体" w:hAnsi="宋体" w:cs="宋体"/>
                <w:color w:val="auto"/>
              </w:rPr>
              <w:t>含量/ppm</w:t>
            </w:r>
          </w:p>
        </w:tc>
      </w:tr>
      <w:tr w14:paraId="2881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77" w:type="dxa"/>
            <w:vAlign w:val="top"/>
          </w:tcPr>
          <w:p w14:paraId="4C0B4C39">
            <w:pPr>
              <w:pStyle w:val="2"/>
              <w:jc w:val="center"/>
              <w:rPr>
                <w:rFonts w:ascii="宋体" w:hAnsi="宋体" w:cs="宋体"/>
                <w:color w:val="auto"/>
              </w:rPr>
            </w:pPr>
            <w:r>
              <w:rPr>
                <w:rFonts w:hint="eastAsia" w:ascii="宋体" w:hAnsi="宋体" w:cs="宋体"/>
                <w:color w:val="auto"/>
              </w:rPr>
              <w:t>1</w:t>
            </w:r>
          </w:p>
        </w:tc>
        <w:tc>
          <w:tcPr>
            <w:tcW w:w="948" w:type="dxa"/>
            <w:vAlign w:val="top"/>
          </w:tcPr>
          <w:p w14:paraId="565C5DE2">
            <w:pPr>
              <w:autoSpaceDE w:val="0"/>
              <w:autoSpaceDN w:val="0"/>
              <w:adjustRightInd w:val="0"/>
              <w:jc w:val="center"/>
              <w:rPr>
                <w:rFonts w:ascii="宋体" w:hAnsi="宋体" w:eastAsia="宋体" w:cs="宋体"/>
                <w:sz w:val="24"/>
              </w:rPr>
            </w:pPr>
            <w:r>
              <w:rPr>
                <w:rFonts w:hint="eastAsia" w:ascii="宋体" w:hAnsi="宋体" w:cs="宋体"/>
                <w:b/>
                <w:sz w:val="24"/>
              </w:rPr>
              <w:t>【键入内容】</w:t>
            </w:r>
          </w:p>
        </w:tc>
        <w:tc>
          <w:tcPr>
            <w:tcW w:w="1039" w:type="dxa"/>
            <w:vAlign w:val="center"/>
          </w:tcPr>
          <w:p w14:paraId="39D6EBCA">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90" w:type="dxa"/>
            <w:vAlign w:val="center"/>
          </w:tcPr>
          <w:p w14:paraId="49DD8763">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b/>
                <w:sz w:val="24"/>
              </w:rPr>
              <w:t>【键入内容】</w:t>
            </w:r>
          </w:p>
        </w:tc>
        <w:tc>
          <w:tcPr>
            <w:tcW w:w="1000" w:type="dxa"/>
            <w:vAlign w:val="center"/>
          </w:tcPr>
          <w:p w14:paraId="5A67758C">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990" w:type="dxa"/>
            <w:vAlign w:val="center"/>
          </w:tcPr>
          <w:p w14:paraId="19102433">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880" w:type="dxa"/>
            <w:vAlign w:val="center"/>
          </w:tcPr>
          <w:p w14:paraId="7625066B">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880" w:type="dxa"/>
            <w:vAlign w:val="center"/>
          </w:tcPr>
          <w:p w14:paraId="2D10DD9D">
            <w:pPr>
              <w:autoSpaceDE w:val="0"/>
              <w:autoSpaceDN w:val="0"/>
              <w:adjustRightInd w:val="0"/>
              <w:jc w:val="center"/>
              <w:rPr>
                <w:rFonts w:ascii="宋体" w:hAnsi="宋体" w:eastAsia="宋体" w:cs="宋体"/>
                <w:sz w:val="24"/>
              </w:rPr>
            </w:pPr>
            <w:r>
              <w:rPr>
                <w:rFonts w:hint="eastAsia" w:ascii="宋体" w:hAnsi="宋体" w:eastAsia="宋体" w:cs="宋体"/>
                <w:sz w:val="24"/>
              </w:rPr>
              <w:t>≤</w:t>
            </w:r>
            <w:r>
              <w:rPr>
                <w:rFonts w:hint="eastAsia" w:ascii="宋体" w:hAnsi="宋体" w:cs="宋体"/>
                <w:b/>
                <w:sz w:val="24"/>
              </w:rPr>
              <w:t>【键入内容】</w:t>
            </w:r>
          </w:p>
        </w:tc>
        <w:tc>
          <w:tcPr>
            <w:tcW w:w="1000" w:type="dxa"/>
            <w:vAlign w:val="center"/>
          </w:tcPr>
          <w:p w14:paraId="1BA0E594">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00" w:type="dxa"/>
            <w:vAlign w:val="center"/>
          </w:tcPr>
          <w:p w14:paraId="655D9F38">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00" w:type="dxa"/>
            <w:vAlign w:val="center"/>
          </w:tcPr>
          <w:p w14:paraId="2D16FB4F">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r>
    </w:tbl>
    <w:p w14:paraId="7AAED501">
      <w:pPr>
        <w:pStyle w:val="2"/>
      </w:pPr>
    </w:p>
    <w:p w14:paraId="567CE8E8">
      <w:pPr>
        <w:widowControl/>
        <w:spacing w:before="145" w:beforeLines="50" w:after="145" w:afterLines="50" w:line="440" w:lineRule="exact"/>
        <w:ind w:firstLine="482" w:firstLineChars="200"/>
        <w:rPr>
          <w:rFonts w:ascii="宋体" w:hAnsi="宋体" w:eastAsia="宋体" w:cs="宋体"/>
          <w:b/>
          <w:bCs/>
          <w:sz w:val="24"/>
        </w:rPr>
      </w:pPr>
      <w:r>
        <w:rPr>
          <w:rFonts w:hint="eastAsia" w:ascii="宋体" w:hAnsi="宋体" w:eastAsia="宋体" w:cs="宋体"/>
          <w:b/>
          <w:bCs/>
          <w:sz w:val="24"/>
        </w:rPr>
        <w:t>注明：</w:t>
      </w:r>
    </w:p>
    <w:p w14:paraId="66EA46E4">
      <w:pPr>
        <w:widowControl/>
        <w:spacing w:before="145" w:beforeLines="50" w:after="145" w:afterLines="50" w:line="440" w:lineRule="exact"/>
        <w:ind w:firstLine="480" w:firstLineChars="200"/>
        <w:rPr>
          <w:rFonts w:hint="eastAsia" w:ascii="宋体" w:hAnsi="宋体" w:cs="宋体" w:eastAsiaTheme="minorEastAsia"/>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焦种及</w:t>
      </w:r>
      <w:r>
        <w:rPr>
          <w:rFonts w:hint="eastAsia" w:ascii="宋体" w:hAnsi="宋体" w:eastAsia="宋体" w:cs="宋体"/>
          <w:b w:val="0"/>
          <w:bCs w:val="0"/>
          <w:sz w:val="24"/>
          <w:lang w:val="en-US" w:eastAsia="zh-CN"/>
        </w:rPr>
        <w:t>产地：焦种：</w:t>
      </w:r>
      <w:r>
        <w:rPr>
          <w:rFonts w:hint="eastAsia" w:ascii="宋体" w:hAnsi="宋体" w:cs="宋体"/>
          <w:b/>
          <w:sz w:val="24"/>
        </w:rPr>
        <w:t>【键入内容】</w:t>
      </w:r>
      <w:r>
        <w:rPr>
          <w:rFonts w:hint="eastAsia" w:ascii="宋体" w:hAnsi="宋体" w:cs="宋体"/>
          <w:b/>
          <w:sz w:val="24"/>
          <w:lang w:eastAsia="zh-CN"/>
        </w:rPr>
        <w:t>，</w:t>
      </w:r>
      <w:r>
        <w:rPr>
          <w:rFonts w:hint="eastAsia" w:ascii="宋体" w:hAnsi="宋体" w:cs="宋体"/>
          <w:b w:val="0"/>
          <w:bCs/>
          <w:sz w:val="24"/>
          <w:lang w:val="en-US" w:eastAsia="zh-CN"/>
        </w:rPr>
        <w:t>产地：</w:t>
      </w:r>
      <w:r>
        <w:rPr>
          <w:rFonts w:hint="eastAsia" w:ascii="宋体" w:hAnsi="宋体" w:cs="宋体"/>
          <w:b/>
          <w:sz w:val="24"/>
        </w:rPr>
        <w:t>【键入内容】</w:t>
      </w:r>
      <w:r>
        <w:rPr>
          <w:rFonts w:hint="eastAsia" w:ascii="宋体" w:hAnsi="宋体" w:cs="宋体"/>
          <w:b/>
          <w:sz w:val="24"/>
          <w:lang w:eastAsia="zh-CN"/>
        </w:rPr>
        <w:t>。</w:t>
      </w:r>
    </w:p>
    <w:p w14:paraId="391EDBC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)供货前，乙方需按甲方要求提供石油焦，石油焦硫分、挥发分、钒、灰分、报告及相应产品资料，甲方根据乙方提供的石油焦按合同附件2</w:t>
      </w:r>
      <w:r>
        <w:rPr>
          <w:rFonts w:hint="eastAsia" w:ascii="宋体" w:hAnsi="宋体" w:eastAsia="宋体" w:cs="宋体"/>
          <w:sz w:val="24"/>
          <w:lang w:val="en-US" w:eastAsia="zh-CN"/>
        </w:rPr>
        <w:t>《石油焦质量协议》</w:t>
      </w:r>
      <w:r>
        <w:rPr>
          <w:rFonts w:hint="eastAsia" w:ascii="宋体" w:hAnsi="宋体" w:eastAsia="宋体" w:cs="宋体"/>
          <w:sz w:val="24"/>
        </w:rPr>
        <w:t>进行验收并作相应处理措施及扣款。</w:t>
      </w:r>
    </w:p>
    <w:p w14:paraId="39EFE1B8">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14:paraId="4B34B4B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ascii="Times New Roman" w:hAnsi="Times New Roman" w:eastAsia="宋体" w:cs="Times New Roman"/>
          <w:sz w:val="24"/>
        </w:rPr>
        <w:t>【键入内容】</w:t>
      </w:r>
      <w:r>
        <w:rPr>
          <w:rFonts w:hint="eastAsia" w:ascii="宋体" w:hAnsi="宋体" w:eastAsia="宋体" w:cs="宋体"/>
          <w:sz w:val="24"/>
        </w:rPr>
        <w:t>吨（上下浮动</w:t>
      </w:r>
      <w:r>
        <w:rPr>
          <w:rFonts w:ascii="Times New Roman" w:hAnsi="Times New Roman" w:eastAsia="宋体" w:cs="Times New Roman"/>
          <w:sz w:val="24"/>
        </w:rPr>
        <w:t>【键入内容】</w:t>
      </w:r>
      <w:r>
        <w:rPr>
          <w:rFonts w:hint="eastAsia" w:ascii="宋体" w:hAnsi="宋体" w:eastAsia="宋体" w:cs="宋体"/>
          <w:sz w:val="24"/>
        </w:rPr>
        <w:t>）。甲方实际采购量以甲方汽车衡计量数据为准。</w:t>
      </w:r>
    </w:p>
    <w:p w14:paraId="0AB05D9C">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sz w:val="24"/>
        </w:rPr>
        <w:t>2.2 交货期限</w:t>
      </w:r>
      <w:r>
        <w:rPr>
          <w:rFonts w:hint="eastAsia" w:ascii="宋体" w:hAnsi="宋体" w:eastAsia="宋体" w:cs="宋体"/>
          <w:color w:val="auto"/>
          <w:sz w:val="24"/>
        </w:rPr>
        <w:t>：</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年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月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日</w:t>
      </w:r>
      <w:r>
        <w:rPr>
          <w:rFonts w:hint="eastAsia" w:ascii="宋体" w:hAnsi="宋体" w:eastAsia="宋体" w:cs="宋体"/>
          <w:color w:val="auto"/>
          <w:sz w:val="24"/>
        </w:rPr>
        <w:t>起至</w:t>
      </w:r>
      <w:r>
        <w:rPr>
          <w:rFonts w:hint="eastAsia" w:ascii="宋体" w:hAnsi="宋体" w:eastAsia="宋体" w:cs="宋体"/>
          <w:color w:val="auto"/>
          <w:sz w:val="24"/>
          <w:lang w:val="en-US" w:eastAsia="zh-CN"/>
        </w:rPr>
        <w:t xml:space="preserve">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年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月</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日</w:t>
      </w:r>
      <w:r>
        <w:rPr>
          <w:rFonts w:hint="eastAsia" w:ascii="宋体" w:hAnsi="宋体" w:eastAsia="宋体" w:cs="宋体"/>
          <w:color w:val="auto"/>
          <w:sz w:val="24"/>
        </w:rPr>
        <w:t>止。</w:t>
      </w:r>
    </w:p>
    <w:p w14:paraId="659BEE22">
      <w:pPr>
        <w:pStyle w:val="2"/>
        <w:ind w:firstLine="480" w:firstLineChars="200"/>
        <w:rPr>
          <w:rFonts w:hint="default"/>
          <w:lang w:val="en-US" w:eastAsia="zh-CN"/>
        </w:rPr>
      </w:pPr>
      <w:r>
        <w:rPr>
          <w:rFonts w:hint="eastAsia" w:ascii="宋体" w:hAnsi="宋体" w:cs="宋体"/>
          <w:color w:val="auto"/>
          <w:sz w:val="24"/>
          <w:lang w:val="en-US" w:eastAsia="zh-CN"/>
        </w:rPr>
        <w:t>2.3 交货期限内供货计划如下：</w:t>
      </w:r>
    </w:p>
    <w:tbl>
      <w:tblPr>
        <w:tblStyle w:val="15"/>
        <w:tblpPr w:leftFromText="180" w:rightFromText="180" w:vertAnchor="text" w:horzAnchor="page" w:tblpXSpec="center" w:tblpY="342"/>
        <w:tblOverlap w:val="never"/>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241"/>
        <w:gridCol w:w="1440"/>
        <w:gridCol w:w="1561"/>
      </w:tblGrid>
      <w:tr w14:paraId="4BCF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6" w:type="dxa"/>
            <w:vAlign w:val="center"/>
          </w:tcPr>
          <w:p w14:paraId="29DD8925">
            <w:pPr>
              <w:pStyle w:val="4"/>
              <w:jc w:val="both"/>
              <w:rPr>
                <w:rFonts w:hint="default" w:hAnsi="宋体" w:eastAsia="宋体" w:cs="宋体"/>
                <w:lang w:val="en-US" w:eastAsia="zh-CN"/>
              </w:rPr>
            </w:pPr>
            <w:r>
              <w:rPr>
                <w:rFonts w:hint="eastAsia" w:hAnsi="宋体" w:eastAsia="宋体" w:cs="宋体"/>
                <w:lang w:val="en-US" w:eastAsia="zh-CN"/>
              </w:rPr>
              <w:t>序号</w:t>
            </w:r>
          </w:p>
        </w:tc>
        <w:tc>
          <w:tcPr>
            <w:tcW w:w="4241" w:type="dxa"/>
            <w:vAlign w:val="center"/>
          </w:tcPr>
          <w:p w14:paraId="6E9AE5B1">
            <w:pPr>
              <w:pStyle w:val="4"/>
              <w:jc w:val="center"/>
              <w:rPr>
                <w:rFonts w:hAnsi="宋体" w:eastAsia="宋体" w:cs="宋体"/>
              </w:rPr>
            </w:pPr>
            <w:r>
              <w:rPr>
                <w:rFonts w:hint="eastAsia" w:hAnsi="宋体" w:eastAsia="宋体" w:cs="宋体"/>
              </w:rPr>
              <w:t>供货时间</w:t>
            </w:r>
          </w:p>
        </w:tc>
        <w:tc>
          <w:tcPr>
            <w:tcW w:w="1440" w:type="dxa"/>
            <w:vAlign w:val="center"/>
          </w:tcPr>
          <w:p w14:paraId="586B7310">
            <w:pPr>
              <w:pStyle w:val="4"/>
              <w:jc w:val="center"/>
              <w:rPr>
                <w:rFonts w:hint="eastAsia" w:hAnsi="宋体" w:eastAsia="宋体" w:cs="宋体"/>
              </w:rPr>
            </w:pPr>
            <w:r>
              <w:rPr>
                <w:rFonts w:hint="eastAsia" w:hAnsi="宋体" w:eastAsia="宋体" w:cs="宋体"/>
                <w:lang w:val="en-US" w:eastAsia="zh-CN"/>
              </w:rPr>
              <w:t>数</w:t>
            </w:r>
            <w:r>
              <w:rPr>
                <w:rFonts w:hint="eastAsia" w:hAnsi="宋体" w:eastAsia="宋体" w:cs="宋体"/>
              </w:rPr>
              <w:t>量（吨）</w:t>
            </w:r>
          </w:p>
          <w:p w14:paraId="750221AC">
            <w:pPr>
              <w:pStyle w:val="4"/>
              <w:jc w:val="center"/>
              <w:rPr>
                <w:rFonts w:hAnsi="宋体" w:eastAsia="宋体" w:cs="宋体"/>
              </w:rPr>
            </w:pPr>
            <w:r>
              <w:rPr>
                <w:rFonts w:hint="eastAsia" w:hAnsi="宋体" w:eastAsia="宋体" w:cs="宋体"/>
              </w:rPr>
              <w:t>（±</w:t>
            </w:r>
            <w:r>
              <w:rPr>
                <w:rFonts w:hint="eastAsia" w:ascii="Times New Roman" w:hAnsi="Times New Roman" w:eastAsia="宋体" w:cs="Times New Roman"/>
                <w:lang w:val="en-US" w:eastAsia="zh-CN"/>
              </w:rPr>
              <w:t>5%</w:t>
            </w:r>
            <w:r>
              <w:rPr>
                <w:rFonts w:hint="eastAsia" w:hAnsi="宋体" w:eastAsia="宋体" w:cs="宋体"/>
              </w:rPr>
              <w:t>）</w:t>
            </w:r>
          </w:p>
        </w:tc>
        <w:tc>
          <w:tcPr>
            <w:tcW w:w="1561" w:type="dxa"/>
            <w:vAlign w:val="center"/>
          </w:tcPr>
          <w:p w14:paraId="5A620B26">
            <w:pPr>
              <w:pStyle w:val="4"/>
              <w:jc w:val="center"/>
              <w:rPr>
                <w:rFonts w:hAnsi="宋体" w:eastAsia="宋体" w:cs="宋体"/>
              </w:rPr>
            </w:pPr>
            <w:r>
              <w:rPr>
                <w:rFonts w:hint="eastAsia" w:hAnsi="宋体" w:eastAsia="宋体" w:cs="宋体"/>
              </w:rPr>
              <w:t>备注</w:t>
            </w:r>
          </w:p>
        </w:tc>
      </w:tr>
      <w:tr w14:paraId="2B28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vAlign w:val="center"/>
          </w:tcPr>
          <w:p w14:paraId="4650D9FE">
            <w:pPr>
              <w:pStyle w:val="4"/>
              <w:jc w:val="center"/>
              <w:rPr>
                <w:rFonts w:hint="default" w:ascii="宋体" w:hAnsi="宋体" w:eastAsia="宋体" w:cs="宋体"/>
                <w:color w:val="auto"/>
                <w:sz w:val="24"/>
                <w:lang w:val="en-US" w:eastAsia="zh-CN"/>
              </w:rPr>
            </w:pPr>
            <w:r>
              <w:rPr>
                <w:rFonts w:hint="eastAsia" w:hAnsi="宋体" w:eastAsia="宋体" w:cs="宋体"/>
                <w:color w:val="auto"/>
                <w:sz w:val="24"/>
                <w:lang w:val="en-US" w:eastAsia="zh-CN"/>
              </w:rPr>
              <w:t>1</w:t>
            </w:r>
          </w:p>
        </w:tc>
        <w:tc>
          <w:tcPr>
            <w:tcW w:w="4241" w:type="dxa"/>
            <w:vAlign w:val="center"/>
          </w:tcPr>
          <w:p w14:paraId="22297E33">
            <w:pPr>
              <w:pStyle w:val="2"/>
              <w:spacing w:line="480" w:lineRule="exact"/>
              <w:jc w:val="both"/>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年</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日至</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年</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日</w:t>
            </w:r>
          </w:p>
        </w:tc>
        <w:tc>
          <w:tcPr>
            <w:tcW w:w="1440" w:type="dxa"/>
            <w:vAlign w:val="center"/>
          </w:tcPr>
          <w:p w14:paraId="6A28E10F">
            <w:pPr>
              <w:pStyle w:val="4"/>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c>
          <w:tcPr>
            <w:tcW w:w="1561" w:type="dxa"/>
            <w:vAlign w:val="center"/>
          </w:tcPr>
          <w:p w14:paraId="05C7A305">
            <w:pPr>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r>
      <w:tr w14:paraId="0046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6" w:type="dxa"/>
            <w:vAlign w:val="center"/>
          </w:tcPr>
          <w:p w14:paraId="21E4229A">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2</w:t>
            </w:r>
          </w:p>
        </w:tc>
        <w:tc>
          <w:tcPr>
            <w:tcW w:w="4241" w:type="dxa"/>
            <w:vAlign w:val="center"/>
          </w:tcPr>
          <w:p w14:paraId="2A45A3E2">
            <w:pPr>
              <w:pStyle w:val="2"/>
              <w:spacing w:line="480" w:lineRule="exact"/>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月</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日至</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日</w:t>
            </w:r>
          </w:p>
        </w:tc>
        <w:tc>
          <w:tcPr>
            <w:tcW w:w="1440" w:type="dxa"/>
            <w:vAlign w:val="center"/>
          </w:tcPr>
          <w:p w14:paraId="40A8C954">
            <w:pPr>
              <w:pStyle w:val="4"/>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c>
          <w:tcPr>
            <w:tcW w:w="1561" w:type="dxa"/>
            <w:vAlign w:val="center"/>
          </w:tcPr>
          <w:p w14:paraId="74B22758">
            <w:pPr>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r>
      <w:tr w14:paraId="21EB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Align w:val="center"/>
          </w:tcPr>
          <w:p w14:paraId="4FB35488">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w:t>
            </w:r>
          </w:p>
        </w:tc>
        <w:tc>
          <w:tcPr>
            <w:tcW w:w="4241" w:type="dxa"/>
            <w:vAlign w:val="center"/>
          </w:tcPr>
          <w:p w14:paraId="0690DCA1">
            <w:pPr>
              <w:pStyle w:val="2"/>
              <w:spacing w:line="480" w:lineRule="exact"/>
              <w:jc w:val="center"/>
              <w:rPr>
                <w:rFonts w:hint="eastAsia" w:ascii="宋体" w:hAnsi="宋体" w:eastAsia="宋体" w:cs="宋体"/>
                <w:color w:val="auto"/>
                <w:kern w:val="2"/>
                <w:sz w:val="24"/>
                <w:szCs w:val="24"/>
                <w:lang w:val="en-US" w:eastAsia="zh-CN" w:bidi="ar-SA"/>
              </w:rPr>
            </w:pPr>
          </w:p>
        </w:tc>
        <w:tc>
          <w:tcPr>
            <w:tcW w:w="1440" w:type="dxa"/>
            <w:vAlign w:val="center"/>
          </w:tcPr>
          <w:p w14:paraId="3F61A33B">
            <w:pPr>
              <w:pStyle w:val="4"/>
              <w:jc w:val="center"/>
              <w:rPr>
                <w:rFonts w:hint="default" w:ascii="宋体" w:hAnsi="宋体" w:eastAsia="宋体" w:cs="宋体"/>
                <w:color w:val="auto"/>
                <w:kern w:val="2"/>
                <w:sz w:val="24"/>
                <w:szCs w:val="24"/>
                <w:lang w:val="en-US" w:eastAsia="zh-CN" w:bidi="ar-SA"/>
              </w:rPr>
            </w:pPr>
          </w:p>
        </w:tc>
        <w:tc>
          <w:tcPr>
            <w:tcW w:w="1561" w:type="dxa"/>
            <w:vAlign w:val="center"/>
          </w:tcPr>
          <w:p w14:paraId="3D3554F2">
            <w:pPr>
              <w:jc w:val="center"/>
              <w:rPr>
                <w:rFonts w:hint="default" w:ascii="宋体" w:hAnsi="宋体" w:eastAsia="宋体" w:cs="宋体"/>
                <w:color w:val="auto"/>
                <w:kern w:val="2"/>
                <w:sz w:val="24"/>
                <w:szCs w:val="24"/>
                <w:lang w:val="en-US" w:eastAsia="zh-CN" w:bidi="ar-SA"/>
              </w:rPr>
            </w:pPr>
          </w:p>
        </w:tc>
      </w:tr>
      <w:tr w14:paraId="2337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Align w:val="center"/>
          </w:tcPr>
          <w:p w14:paraId="7917533C">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3</w:t>
            </w:r>
          </w:p>
        </w:tc>
        <w:tc>
          <w:tcPr>
            <w:tcW w:w="4241" w:type="dxa"/>
            <w:vAlign w:val="center"/>
          </w:tcPr>
          <w:p w14:paraId="2468FDE5">
            <w:pPr>
              <w:pStyle w:val="2"/>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合计</w:t>
            </w:r>
          </w:p>
        </w:tc>
        <w:tc>
          <w:tcPr>
            <w:tcW w:w="1440" w:type="dxa"/>
            <w:vAlign w:val="center"/>
          </w:tcPr>
          <w:p w14:paraId="727EBB4C">
            <w:pPr>
              <w:pStyle w:val="4"/>
              <w:jc w:val="center"/>
              <w:rPr>
                <w:rFonts w:hint="default" w:ascii="宋体" w:hAnsi="宋体" w:eastAsia="宋体" w:cs="宋体"/>
                <w:color w:val="auto"/>
                <w:kern w:val="2"/>
                <w:sz w:val="24"/>
                <w:szCs w:val="24"/>
                <w:lang w:val="en-US" w:eastAsia="zh-CN" w:bidi="ar-SA"/>
              </w:rPr>
            </w:pPr>
            <w:r>
              <w:rPr>
                <w:rFonts w:hint="eastAsia"/>
                <w:b w:val="0"/>
                <w:bCs w:val="0"/>
                <w:i w:val="0"/>
                <w:iCs w:val="0"/>
                <w:color w:val="auto"/>
                <w:spacing w:val="15"/>
                <w:sz w:val="18"/>
                <w:szCs w:val="24"/>
                <w:highlight w:val="none"/>
              </w:rPr>
              <w:t>【键入内容】</w:t>
            </w:r>
          </w:p>
        </w:tc>
        <w:tc>
          <w:tcPr>
            <w:tcW w:w="1561" w:type="dxa"/>
            <w:vAlign w:val="center"/>
          </w:tcPr>
          <w:p w14:paraId="0E2FF900">
            <w:pPr>
              <w:jc w:val="center"/>
              <w:rPr>
                <w:rFonts w:hint="default" w:ascii="宋体" w:hAnsi="宋体" w:eastAsia="宋体" w:cs="宋体"/>
                <w:color w:val="auto"/>
                <w:kern w:val="2"/>
                <w:sz w:val="24"/>
                <w:szCs w:val="24"/>
                <w:lang w:val="en-US" w:eastAsia="zh-CN" w:bidi="ar-SA"/>
              </w:rPr>
            </w:pPr>
          </w:p>
        </w:tc>
      </w:tr>
      <w:tr w14:paraId="71B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938" w:type="dxa"/>
            <w:gridSpan w:val="4"/>
            <w:vAlign w:val="center"/>
          </w:tcPr>
          <w:p w14:paraId="2046A072">
            <w:pPr>
              <w:jc w:val="both"/>
              <w:rPr>
                <w:rFonts w:hint="default" w:hAnsi="宋体" w:eastAsia="宋体" w:cs="宋体"/>
                <w:lang w:val="en-US" w:eastAsia="zh-CN"/>
              </w:rPr>
            </w:pPr>
            <w:r>
              <w:rPr>
                <w:rFonts w:hint="eastAsia" w:ascii="宋体" w:hAnsi="宋体" w:eastAsia="宋体" w:cs="宋体"/>
                <w:sz w:val="24"/>
                <w:lang w:val="en-US" w:eastAsia="zh-CN"/>
              </w:rPr>
              <w:t>备注：根据买方生产需要，买方有权调整发货计划，经买方同意，卖方为保供可提前发货，提前发货的数量经双方确认后办理结算。</w:t>
            </w:r>
          </w:p>
        </w:tc>
      </w:tr>
    </w:tbl>
    <w:p w14:paraId="11C1D515">
      <w:pPr>
        <w:pStyle w:val="2"/>
        <w:jc w:val="left"/>
        <w:rPr>
          <w:rFonts w:hint="default"/>
          <w:lang w:val="en-US" w:eastAsia="zh-CN"/>
        </w:rPr>
      </w:pPr>
    </w:p>
    <w:p w14:paraId="21D20C51">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本合同是甲乙双方承担</w:t>
      </w:r>
      <w:r>
        <w:rPr>
          <w:rFonts w:hint="eastAsia" w:ascii="宋体" w:hAnsi="宋体" w:eastAsia="宋体" w:cs="宋体"/>
          <w:sz w:val="24"/>
          <w:lang w:val="en-US" w:eastAsia="zh-CN"/>
        </w:rPr>
        <w:t>买卖</w:t>
      </w:r>
      <w:r>
        <w:rPr>
          <w:rFonts w:hint="eastAsia" w:ascii="宋体" w:hAnsi="宋体" w:eastAsia="宋体" w:cs="宋体"/>
          <w:sz w:val="24"/>
        </w:rPr>
        <w:t>双方权利义务的基本依据，重量为预估重量。实际交货量以甲方称重实际到货量为准。乙方按甲方要求数量交货，如乙方需改变交货差额，乙方应提前15天通过书面形式向甲方告知，正负差额由甲方书面同意。</w:t>
      </w:r>
    </w:p>
    <w:p w14:paraId="0FAFA8BA">
      <w:pPr>
        <w:pStyle w:val="2"/>
        <w:ind w:firstLine="480" w:firstLineChars="200"/>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14:paraId="60A65C6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14:paraId="22AA3CC8">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14:paraId="4562D54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3.1 </w:t>
      </w:r>
      <w:r>
        <w:rPr>
          <w:rFonts w:hint="eastAsia" w:ascii="宋体" w:hAnsi="宋体" w:eastAsia="宋体" w:cs="宋体"/>
          <w:bCs/>
          <w:sz w:val="24"/>
        </w:rPr>
        <w:t>运输方式：产品运输由乙方负责，费用由乙方承担。</w:t>
      </w:r>
      <w:r>
        <w:rPr>
          <w:rFonts w:hint="eastAsia" w:ascii="宋体" w:hAnsi="宋体" w:eastAsia="宋体" w:cs="宋体"/>
          <w:sz w:val="24"/>
        </w:rPr>
        <w:t>但运输工具必须符合国家法定要求。</w:t>
      </w:r>
    </w:p>
    <w:p w14:paraId="36517EB2">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3.2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14:paraId="7B543F41">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3.3货物的装运工具(火车、汽车、轮船等)，必须在装运前清扫干净，产品不得被油类或其他杂质污染。运输过程中必须有防雨措施，保证货物在运输途中不受雨淋水浸。</w:t>
      </w:r>
    </w:p>
    <w:p w14:paraId="7C03F1DB">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3.4 交付地点：乙方将货物运至甲方指定地点：</w:t>
      </w:r>
      <w:r>
        <w:rPr>
          <w:rFonts w:ascii="Times New Roman" w:hAnsi="Times New Roman" w:eastAsia="宋体" w:cs="Times New Roman"/>
          <w:sz w:val="24"/>
        </w:rPr>
        <w:t>【键入内容】</w:t>
      </w:r>
      <w:r>
        <w:rPr>
          <w:rFonts w:hint="eastAsia" w:ascii="宋体" w:hAnsi="宋体" w:eastAsia="宋体" w:cs="宋体"/>
          <w:sz w:val="24"/>
        </w:rPr>
        <w:t>。</w:t>
      </w:r>
    </w:p>
    <w:p w14:paraId="5D2A5FBB">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3.5 交货方式：由乙方配送到甲方生产现场，并根据本技术任务书规定的标准、规程、规范进行验收，验收合格后货物的所有权及货物损毁灭失风险才转移给甲方，在货物交付完成前，货物的损毁灭失风险由乙方自行承担。</w:t>
      </w:r>
    </w:p>
    <w:p w14:paraId="0E2145F5">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14:paraId="3EAC69BD">
      <w:pPr>
        <w:tabs>
          <w:tab w:val="left" w:pos="567"/>
        </w:tabs>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元/吨，其中不含税价格</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元/吨，增值税税额</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w:t>
      </w:r>
    </w:p>
    <w:p w14:paraId="6879EAE3">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14:paraId="3174A9DF">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14:paraId="7DB27BDF">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w:t>
      </w:r>
      <w:r>
        <w:rPr>
          <w:rFonts w:ascii="Times New Roman" w:hAnsi="Times New Roman" w:eastAsia="宋体" w:cs="Times New Roman"/>
          <w:sz w:val="24"/>
        </w:rPr>
        <w:t>【键入内容】</w:t>
      </w:r>
      <w:r>
        <w:rPr>
          <w:rFonts w:hint="eastAsia" w:ascii="宋体" w:hAnsi="宋体" w:eastAsia="宋体" w:cs="宋体"/>
          <w:sz w:val="24"/>
        </w:rPr>
        <w:t>，签订合同后按约定的月交货量开始供货，最终结算量按当月验收合格的实际交货量及考核指标化验结果进行结算。乙方按约定时间交货后，甲方应于5个工作日内核定该批数量、价格及质量并确认（存在质量异议除外），以甲方化验结果及甲方磅单的实际收货重量作为结算依据办理结算，实际交货量中化验结果为不合格的部分将不计入结算重量。</w:t>
      </w:r>
    </w:p>
    <w:p w14:paraId="6C3A0148">
      <w:pPr>
        <w:pStyle w:val="18"/>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吨结算一次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【键入内容】</w:t>
      </w:r>
      <w:r>
        <w:rPr>
          <w:rFonts w:hint="eastAsia" w:ascii="宋体" w:hAnsi="宋体" w:eastAsia="宋体" w:cs="宋体"/>
          <w:color w:val="auto"/>
          <w:sz w:val="24"/>
          <w:szCs w:val="24"/>
        </w:rPr>
        <w:t>天内付款，如遇节假日相应顺延。</w:t>
      </w:r>
    </w:p>
    <w:p w14:paraId="660063F2">
      <w:pPr>
        <w:pStyle w:val="18"/>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甲方每次付款前，乙方均应向甲方开具13%增值税专用发票，否则甲方有权拒绝付款，并不承担逾期付款的责任。若因发票不合法产生的一切税款、费用、损失由乙方全额承担。</w:t>
      </w:r>
    </w:p>
    <w:p w14:paraId="07D3A3CF">
      <w:pPr>
        <w:pStyle w:val="18"/>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合同生效后三个工作日内，乙方应以现汇形式向买方支付相当于本合同总货款5%基准货款作为履约保证金(或用货款转履约保证金)，共计人民币(大写)</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元整(¥</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)汇至此账户(单位全称:【键入内容】，账号:【键入内容】，开户行:【键入内容】)。乙方已经缴的投标保证金在本合同签订后自动转为履约保证金。</w:t>
      </w:r>
      <w:r>
        <w:rPr>
          <w:rFonts w:ascii="宋体" w:hAnsi="宋体" w:eastAsia="宋体" w:cs="宋体"/>
          <w:sz w:val="24"/>
          <w:szCs w:val="24"/>
        </w:rPr>
        <w:t>乙方逾期缴纳或补足履约保证金的，应每日按照逾期金额的万分之五向甲方支付违约金，并且甲方有权按照逾期金额从甲方及其相关公司的所有应付款项中暂扣对应金额的合同应付款项作为履约保证金。</w:t>
      </w:r>
    </w:p>
    <w:p w14:paraId="704C253C">
      <w:pPr>
        <w:pStyle w:val="18"/>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14:paraId="4D2D1F6D">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14:paraId="4C0B232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6.1（石油焦）的质量要求以第1.3条为准。</w:t>
      </w:r>
    </w:p>
    <w:p w14:paraId="74D6F7D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14:paraId="32EBA82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《石油焦质量协议》</w:t>
      </w:r>
      <w:r>
        <w:rPr>
          <w:rFonts w:hint="eastAsia" w:ascii="宋体" w:hAnsi="宋体" w:eastAsia="宋体" w:cs="宋体"/>
          <w:sz w:val="24"/>
        </w:rPr>
        <w:t>规定进行扣款。</w:t>
      </w:r>
    </w:p>
    <w:p w14:paraId="6506A1B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（2）若某一批产品化验结果有一项指标达到退货标准或有一项以上（含）达到降级标准的，</w:t>
      </w:r>
      <w:r>
        <w:rPr>
          <w:rFonts w:hint="eastAsia" w:ascii="宋体" w:hAnsi="宋体" w:eastAsia="宋体" w:cs="宋体"/>
          <w:sz w:val="24"/>
          <w:lang w:val="en-US" w:eastAsia="zh-CN"/>
        </w:rPr>
        <w:t>甲方同意退货的，</w:t>
      </w:r>
      <w:r>
        <w:rPr>
          <w:rFonts w:hint="eastAsia" w:ascii="宋体" w:hAnsi="宋体" w:eastAsia="宋体" w:cs="宋体"/>
          <w:sz w:val="24"/>
        </w:rPr>
        <w:t>该批产品按退货处理，由乙方承担退货费用。（详见</w:t>
      </w:r>
      <w:r>
        <w:rPr>
          <w:rFonts w:hint="eastAsia" w:ascii="宋体" w:hAnsi="宋体" w:eastAsia="宋体" w:cs="宋体"/>
          <w:sz w:val="24"/>
          <w:lang w:val="en-US" w:eastAsia="zh-CN"/>
        </w:rPr>
        <w:t>石油焦质量协议</w:t>
      </w:r>
      <w:r>
        <w:rPr>
          <w:rFonts w:hint="eastAsia" w:ascii="宋体" w:hAnsi="宋体" w:eastAsia="宋体" w:cs="宋体"/>
          <w:sz w:val="24"/>
        </w:rPr>
        <w:t>）</w:t>
      </w:r>
    </w:p>
    <w:p w14:paraId="0903F309">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14:paraId="170988AB">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7.1乙方所供合同标的产品由甲方按合同约定的要求及国家有关规定的标准进行采样、化验，并以化验的数据作为本合同结算的依据。石油焦由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方仓库内进行抽样检验。如乙方在收到甲方的化验结果后，对该化验结果有异议的，应在收到化验结果之日起</w:t>
      </w:r>
      <w:r>
        <w:rPr>
          <w:rFonts w:hint="eastAsia" w:ascii="宋体" w:hAnsi="宋体" w:eastAsia="宋体" w:cs="宋体"/>
          <w:sz w:val="24"/>
          <w:lang w:val="en-US" w:eastAsia="zh-CN"/>
        </w:rPr>
        <w:t>3</w:t>
      </w:r>
      <w:r>
        <w:rPr>
          <w:rFonts w:hint="eastAsia" w:ascii="宋体" w:hAnsi="宋体" w:eastAsia="宋体" w:cs="宋体"/>
          <w:sz w:val="24"/>
        </w:rPr>
        <w:t>个工作日内书面提出复检要求，</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14:paraId="4A97180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7.2</w:t>
      </w:r>
      <w:r>
        <w:rPr>
          <w:rFonts w:hint="eastAsia" w:ascii="宋体" w:hAnsi="宋体" w:eastAsia="宋体" w:cs="宋体"/>
          <w:sz w:val="24"/>
          <w:lang w:val="en-US" w:eastAsia="zh-CN"/>
        </w:rPr>
        <w:t>复检样品：采用甲方到货验收时的封存样品进行复检，</w:t>
      </w:r>
      <w:r>
        <w:rPr>
          <w:rFonts w:hint="eastAsia" w:ascii="宋体" w:hAnsi="宋体" w:eastAsia="宋体" w:cs="宋体"/>
          <w:sz w:val="24"/>
        </w:rPr>
        <w:t>当复检结果在该项指标检测标准规定再现性范围内的，以</w:t>
      </w:r>
      <w:r>
        <w:rPr>
          <w:rFonts w:hint="eastAsia" w:ascii="宋体" w:hAnsi="宋体" w:eastAsia="宋体" w:cs="宋体"/>
          <w:sz w:val="24"/>
          <w:lang w:val="en-US" w:eastAsia="zh-CN"/>
        </w:rPr>
        <w:t>甲</w:t>
      </w:r>
      <w:r>
        <w:rPr>
          <w:rFonts w:hint="eastAsia" w:ascii="宋体" w:hAnsi="宋体" w:eastAsia="宋体" w:cs="宋体"/>
          <w:sz w:val="24"/>
        </w:rPr>
        <w:t>方到货验收时检测结果为结算依据，当复检结果超出该项指标检测标准规定再现性范围的，以复检结果为结算依据。</w:t>
      </w:r>
    </w:p>
    <w:p w14:paraId="03CC0BC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7.3每批次产品出厂前乙方应取样自检，检验报告随货发出。</w:t>
      </w:r>
    </w:p>
    <w:p w14:paraId="64BFDA7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14:paraId="397962C7">
      <w:pPr>
        <w:pStyle w:val="2"/>
        <w:spacing w:before="145" w:beforeLines="50" w:after="145" w:afterLines="50" w:line="440" w:lineRule="exact"/>
        <w:ind w:firstLine="480" w:firstLineChars="200"/>
        <w:jc w:val="both"/>
        <w:rPr>
          <w:rFonts w:ascii="宋体" w:hAnsi="宋体" w:cs="宋体"/>
          <w:color w:val="auto"/>
          <w:kern w:val="2"/>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lang w:val="zh-CN"/>
        </w:rPr>
        <w:t xml:space="preserve"> 石油焦的取样检验</w:t>
      </w:r>
    </w:p>
    <w:p w14:paraId="7A04F43D">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7.5.1 取样方法:按照 SH/T 0313《石油焦检验法》的规定进行</w:t>
      </w:r>
      <w:r>
        <w:rPr>
          <w:rFonts w:hint="eastAsia" w:ascii="宋体" w:hAnsi="宋体" w:eastAsia="宋体" w:cs="宋体"/>
          <w:sz w:val="24"/>
          <w:lang w:eastAsia="zh-CN"/>
        </w:rPr>
        <w:t>。</w:t>
      </w:r>
      <w:r>
        <w:rPr>
          <w:rFonts w:hint="eastAsia" w:ascii="宋体" w:hAnsi="宋体" w:eastAsia="宋体" w:cs="宋体"/>
          <w:sz w:val="24"/>
          <w:lang w:val="en-US" w:eastAsia="zh-CN"/>
        </w:rPr>
        <w:t>同一供应商，每车到货石油焦均需采</w:t>
      </w:r>
      <w:r>
        <w:rPr>
          <w:rFonts w:hint="eastAsia" w:ascii="宋体" w:hAnsi="宋体" w:eastAsia="宋体" w:cs="宋体"/>
          <w:sz w:val="24"/>
          <w:highlight w:val="none"/>
          <w:lang w:val="en-US" w:eastAsia="zh-CN"/>
        </w:rPr>
        <w:t>样（</w:t>
      </w:r>
      <w:r>
        <w:rPr>
          <w:rFonts w:ascii="宋体" w:hAnsi="宋体" w:eastAsia="宋体" w:cs="宋体"/>
          <w:sz w:val="24"/>
          <w:szCs w:val="24"/>
          <w:highlight w:val="none"/>
        </w:rPr>
        <w:t>采用</w:t>
      </w:r>
      <w:r>
        <w:rPr>
          <w:rFonts w:hint="eastAsia" w:ascii="宋体" w:hAnsi="宋体" w:eastAsia="宋体" w:cs="宋体"/>
          <w:sz w:val="24"/>
          <w:szCs w:val="24"/>
          <w:highlight w:val="none"/>
          <w:lang w:val="en-US" w:eastAsia="zh-CN"/>
        </w:rPr>
        <w:t>石油焦</w:t>
      </w:r>
      <w:r>
        <w:rPr>
          <w:rFonts w:ascii="宋体" w:hAnsi="宋体" w:eastAsia="宋体" w:cs="宋体"/>
          <w:sz w:val="24"/>
          <w:szCs w:val="24"/>
          <w:highlight w:val="none"/>
        </w:rPr>
        <w:t>自动</w:t>
      </w:r>
      <w:r>
        <w:rPr>
          <w:rFonts w:hint="eastAsia" w:ascii="宋体" w:hAnsi="宋体" w:eastAsia="宋体" w:cs="宋体"/>
          <w:sz w:val="24"/>
          <w:szCs w:val="24"/>
          <w:highlight w:val="none"/>
          <w:lang w:val="en-US" w:eastAsia="zh-CN"/>
        </w:rPr>
        <w:t>化采样</w:t>
      </w:r>
      <w:r>
        <w:rPr>
          <w:rFonts w:ascii="宋体" w:hAnsi="宋体" w:eastAsia="宋体" w:cs="宋体"/>
          <w:sz w:val="24"/>
          <w:szCs w:val="24"/>
          <w:highlight w:val="none"/>
        </w:rPr>
        <w:t>设备</w:t>
      </w:r>
      <w:r>
        <w:rPr>
          <w:rFonts w:hint="eastAsia" w:ascii="宋体" w:hAnsi="宋体" w:eastAsia="宋体" w:cs="宋体"/>
          <w:sz w:val="24"/>
          <w:szCs w:val="24"/>
          <w:highlight w:val="none"/>
          <w:lang w:val="en-US" w:eastAsia="zh-CN"/>
        </w:rPr>
        <w:t>进行采</w:t>
      </w:r>
      <w:r>
        <w:rPr>
          <w:rFonts w:ascii="宋体" w:hAnsi="宋体" w:eastAsia="宋体" w:cs="宋体"/>
          <w:sz w:val="24"/>
          <w:szCs w:val="24"/>
          <w:highlight w:val="none"/>
        </w:rPr>
        <w:t>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如当设备出现故障时，采用人工采样</w:t>
      </w:r>
      <w:r>
        <w:rPr>
          <w:rFonts w:hint="eastAsia" w:ascii="宋体" w:hAnsi="宋体" w:eastAsia="宋体" w:cs="宋体"/>
          <w:sz w:val="24"/>
          <w:highlight w:val="none"/>
          <w:lang w:val="en-US" w:eastAsia="zh-CN"/>
        </w:rPr>
        <w:t>），每5车组批检测水分</w:t>
      </w:r>
      <w:r>
        <w:rPr>
          <w:rFonts w:hint="eastAsia" w:ascii="宋体" w:hAnsi="宋体" w:eastAsia="宋体" w:cs="宋体"/>
          <w:sz w:val="24"/>
          <w:lang w:val="en-US" w:eastAsia="zh-CN"/>
        </w:rPr>
        <w:t>、挥发分、灰分、硫含量，粉焦量（连续两日内到货量不足5车的同样组批检测），每15车组批检测铁、硅、钠、钒含量。</w:t>
      </w:r>
      <w:r>
        <w:rPr>
          <w:rFonts w:hint="eastAsia" w:ascii="宋体" w:hAnsi="宋体" w:eastAsia="宋体" w:cs="宋体"/>
          <w:sz w:val="24"/>
        </w:rPr>
        <w:t>取样后充分混匀，分成两份并密封处理，同时在试样袋上填写试样基本信息并由取样人共同骑缝签名，一份进行化验，一份作备查样，备查样保存期至少叁个月。</w:t>
      </w:r>
    </w:p>
    <w:p w14:paraId="0C44C289">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石油焦质量协议</w:t>
      </w:r>
      <w:r>
        <w:rPr>
          <w:rFonts w:hint="eastAsia" w:ascii="宋体" w:hAnsi="宋体" w:eastAsia="宋体" w:cs="宋体"/>
          <w:sz w:val="24"/>
        </w:rPr>
        <w:t>进行考核。</w:t>
      </w:r>
    </w:p>
    <w:p w14:paraId="24231E1E">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7.6 复检规则：</w:t>
      </w:r>
      <w:r>
        <w:rPr>
          <w:rFonts w:hint="eastAsia" w:ascii="宋体" w:hAnsi="宋体" w:eastAsia="宋体" w:cs="宋体"/>
          <w:sz w:val="24"/>
          <w:lang w:val="en-US" w:eastAsia="zh-CN"/>
        </w:rPr>
        <w:t>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因水分会随外界环境变化，水分不接受复检申请。</w:t>
      </w:r>
    </w:p>
    <w:p w14:paraId="1BAE93C2">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14:paraId="5FEBD27D">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14:paraId="7653D47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甲方有权对乙方供应的石油焦进行监督检查，凡被甲方检查发现乙方供应的石油焦有掺假、杂质、夹层的车辆，甲方有权拒绝其进厂，已进厂卸车的，甲方有权对该车产品不予结算。因质量不符合要求，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乙方应在本合同约定的供货期内完成退货货物的回收及合格货物的重新交付，确保到货时间符合约定供货期要求。若乙方未按时完成合格货物交付，视为逾期交货，应按照本合同 “违约责任” 条款中关于逾期交货的约定承担相应责任。</w:t>
      </w:r>
      <w:bookmarkStart w:id="11" w:name="_GoBack"/>
      <w:bookmarkEnd w:id="11"/>
    </w:p>
    <w:p w14:paraId="54A2089F">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第九条 石油焦质量仲裁结果处理办法</w:t>
      </w:r>
    </w:p>
    <w:p w14:paraId="4C7E5EF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石油焦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《石油焦质量协议》</w:t>
      </w:r>
      <w:r>
        <w:rPr>
          <w:rFonts w:hint="eastAsia" w:ascii="宋体" w:hAnsi="宋体" w:eastAsia="宋体" w:cs="宋体"/>
          <w:sz w:val="24"/>
        </w:rPr>
        <w:t>进行扣款结算或退货处理，仲裁费由提出仲裁方负责。</w:t>
      </w:r>
    </w:p>
    <w:p w14:paraId="4D34AFE5">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14:paraId="12D8A8F4">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14:paraId="12257C5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14:paraId="5C9886F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14:paraId="06D42B84">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14:paraId="16C97795">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14:paraId="0B0BE7D4">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w:t>
      </w:r>
      <w:r>
        <w:rPr>
          <w:rFonts w:hint="eastAsia" w:ascii="宋体" w:hAnsi="宋体" w:eastAsia="宋体" w:cs="宋体"/>
          <w:sz w:val="24"/>
          <w:lang w:val="en-US" w:eastAsia="zh-CN"/>
        </w:rPr>
        <w:t>第2.3</w:t>
      </w:r>
      <w:r>
        <w:rPr>
          <w:rFonts w:hint="eastAsia" w:ascii="宋体" w:hAnsi="宋体" w:eastAsia="宋体" w:cs="宋体"/>
          <w:sz w:val="24"/>
        </w:rPr>
        <w:t>条供货计划中的</w:t>
      </w:r>
      <w:r>
        <w:rPr>
          <w:rFonts w:hint="eastAsia" w:ascii="宋体" w:hAnsi="宋体" w:eastAsia="宋体" w:cs="宋体"/>
          <w:color w:val="auto"/>
          <w:sz w:val="24"/>
          <w:lang w:val="en-US" w:eastAsia="zh-CN"/>
        </w:rPr>
        <w:t>阶段</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color w:val="auto"/>
          <w:sz w:val="24"/>
        </w:rPr>
        <w:t>每</w:t>
      </w:r>
      <w:r>
        <w:rPr>
          <w:rFonts w:hint="eastAsia" w:ascii="宋体" w:hAnsi="宋体" w:eastAsia="宋体" w:cs="宋体"/>
          <w:color w:val="auto"/>
          <w:sz w:val="24"/>
          <w:lang w:val="en-US" w:eastAsia="zh-CN"/>
        </w:rPr>
        <w:t>阶段</w:t>
      </w:r>
      <w:r>
        <w:rPr>
          <w:rFonts w:hint="eastAsia" w:ascii="宋体" w:hAnsi="宋体" w:eastAsia="宋体" w:cs="宋体"/>
          <w:sz w:val="24"/>
        </w:rPr>
        <w:t>实际供货数量不足本合同约定</w:t>
      </w:r>
      <w:r>
        <w:rPr>
          <w:rFonts w:hint="eastAsia" w:ascii="宋体" w:hAnsi="宋体" w:eastAsia="宋体" w:cs="宋体"/>
          <w:sz w:val="24"/>
          <w:lang w:eastAsia="zh-CN"/>
        </w:rPr>
        <w:t>的</w:t>
      </w:r>
      <w:r>
        <w:rPr>
          <w:rFonts w:hint="eastAsia" w:ascii="宋体" w:hAnsi="宋体" w:eastAsia="宋体" w:cs="宋体"/>
          <w:sz w:val="24"/>
          <w:lang w:val="en-US" w:eastAsia="zh-CN"/>
        </w:rPr>
        <w:t>该阶段</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应于5</w:t>
      </w:r>
      <w:r>
        <w:rPr>
          <w:rFonts w:hint="eastAsia" w:ascii="宋体" w:hAnsi="宋体" w:eastAsia="宋体" w:cs="宋体"/>
          <w:sz w:val="24"/>
          <w:lang w:val="en-US" w:eastAsia="zh-CN"/>
        </w:rPr>
        <w:t>日内</w:t>
      </w:r>
      <w:r>
        <w:rPr>
          <w:rFonts w:hint="eastAsia" w:ascii="宋体" w:hAnsi="宋体" w:eastAsia="宋体" w:cs="宋体"/>
          <w:sz w:val="24"/>
        </w:rPr>
        <w:t>(含)补足。</w:t>
      </w:r>
      <w:r>
        <w:rPr>
          <w:rFonts w:hint="eastAsia" w:ascii="宋体" w:hAnsi="宋体" w:eastAsia="宋体" w:cs="宋体"/>
          <w:sz w:val="24"/>
          <w:lang w:val="en-US" w:eastAsia="zh-CN"/>
        </w:rPr>
        <w:t>至第</w:t>
      </w:r>
      <w:r>
        <w:rPr>
          <w:rFonts w:hint="eastAsia" w:ascii="宋体" w:hAnsi="宋体" w:eastAsia="宋体" w:cs="宋体"/>
          <w:sz w:val="24"/>
        </w:rPr>
        <w:t>5</w:t>
      </w:r>
      <w:r>
        <w:rPr>
          <w:rFonts w:hint="eastAsia" w:ascii="宋体" w:hAnsi="宋体" w:eastAsia="宋体" w:cs="宋体"/>
          <w:sz w:val="24"/>
          <w:lang w:val="en-US" w:eastAsia="zh-CN"/>
        </w:rPr>
        <w:t>日</w:t>
      </w:r>
      <w:r>
        <w:rPr>
          <w:rFonts w:hint="eastAsia" w:ascii="宋体" w:hAnsi="宋体" w:eastAsia="宋体" w:cs="宋体"/>
          <w:sz w:val="24"/>
        </w:rPr>
        <w:t>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color w:val="auto"/>
          <w:sz w:val="24"/>
          <w:lang w:val="en-US" w:eastAsia="zh-CN"/>
        </w:rPr>
        <w:t>该</w:t>
      </w:r>
      <w:r>
        <w:rPr>
          <w:rFonts w:hint="eastAsia" w:ascii="宋体" w:hAnsi="宋体" w:eastAsia="宋体" w:cs="宋体"/>
          <w:sz w:val="24"/>
          <w:lang w:val="en-US" w:eastAsia="zh-CN"/>
        </w:rPr>
        <w:t>阶段</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【键入内容】</w:t>
      </w:r>
      <w:r>
        <w:rPr>
          <w:rFonts w:hint="eastAsia" w:ascii="宋体" w:hAnsi="宋体" w:eastAsia="宋体" w:cs="宋体"/>
          <w:sz w:val="24"/>
        </w:rPr>
        <w:t>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w:t>
      </w:r>
      <w:r>
        <w:rPr>
          <w:rFonts w:hint="eastAsia" w:ascii="宋体" w:hAnsi="宋体" w:eastAsia="宋体" w:cs="宋体"/>
          <w:color w:val="auto"/>
          <w:sz w:val="24"/>
          <w:lang w:val="en-US" w:eastAsia="zh-CN"/>
        </w:rPr>
        <w:t>第</w:t>
      </w:r>
      <w:r>
        <w:rPr>
          <w:rFonts w:hint="eastAsia" w:ascii="宋体" w:hAnsi="宋体" w:eastAsia="宋体" w:cs="宋体"/>
          <w:sz w:val="24"/>
          <w:lang w:val="en-US" w:eastAsia="zh-CN"/>
        </w:rPr>
        <w:t>10日24:00</w:t>
      </w:r>
      <w:r>
        <w:rPr>
          <w:rFonts w:hint="eastAsia" w:ascii="宋体" w:hAnsi="宋体" w:eastAsia="宋体" w:cs="宋体"/>
          <w:sz w:val="24"/>
        </w:rPr>
        <w:t>仍未完成</w:t>
      </w:r>
      <w:r>
        <w:rPr>
          <w:rFonts w:hint="eastAsia" w:ascii="宋体" w:hAnsi="宋体" w:eastAsia="宋体" w:cs="宋体"/>
          <w:color w:val="auto"/>
          <w:sz w:val="24"/>
          <w:lang w:val="en-US" w:eastAsia="zh-CN"/>
        </w:rPr>
        <w:t>该阶</w:t>
      </w:r>
      <w:r>
        <w:rPr>
          <w:rFonts w:hint="eastAsia" w:ascii="宋体" w:hAnsi="宋体" w:eastAsia="宋体" w:cs="宋体"/>
          <w:sz w:val="24"/>
          <w:lang w:val="en-US" w:eastAsia="zh-CN"/>
        </w:rPr>
        <w:t>段</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该阶段</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【键入内容】</w:t>
      </w:r>
      <w:r>
        <w:rPr>
          <w:rFonts w:hint="eastAsia" w:ascii="宋体" w:hAnsi="宋体" w:eastAsia="宋体" w:cs="宋体"/>
          <w:sz w:val="24"/>
        </w:rPr>
        <w:t>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阶段</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14:paraId="4B29CD93">
      <w:pPr>
        <w:pStyle w:val="13"/>
        <w:spacing w:before="50" w:after="50" w:line="440" w:lineRule="exact"/>
        <w:ind w:firstLine="480" w:firstLineChars="200"/>
        <w:rPr>
          <w:rFonts w:ascii="宋体" w:hAnsi="宋体" w:eastAsia="宋体" w:cs="宋体"/>
        </w:rPr>
      </w:pPr>
      <w:r>
        <w:rPr>
          <w:rFonts w:hint="eastAsia" w:ascii="宋体" w:hAnsi="宋体" w:cs="宋体"/>
          <w:sz w:val="24"/>
          <w:lang w:val="en-US" w:eastAsia="zh-CN"/>
        </w:rPr>
        <w:t xml:space="preserve">11.2 </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14:paraId="44BF3BB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u w:val="single"/>
          <w:lang w:val="en-US" w:eastAsia="zh-CN"/>
        </w:rPr>
        <w:t>【键入内容】</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14:paraId="4DF7BBE9">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乙方提供的石油焦品质应符合1.3条规格要求，如果达不到合同约定的质量要求的，如甲方同意接收，应当按质论价；如甲方不同意接收的，甲方有权退货，乙方应当承担退货而产生的实际费用</w:t>
      </w:r>
      <w:r>
        <w:rPr>
          <w:rFonts w:hint="eastAsia" w:ascii="宋体" w:hAnsi="宋体" w:eastAsia="宋体" w:cs="宋体"/>
          <w:sz w:val="24"/>
          <w:lang w:eastAsia="zh-CN"/>
        </w:rPr>
        <w:t>。</w:t>
      </w:r>
    </w:p>
    <w:p w14:paraId="25CEA19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石油焦进行监督检查，凡被甲方检查发现乙方供应的石油焦有掺假、杂质、夹层的车辆，甲方有权拒绝其进厂，已进厂卸车的，甲方有权对该车不予结算。因退货造成的损失，由乙方承担。本合同履行期间，甲方累计发现乙方供应的石油焦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14:paraId="4E09F8CD">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color w:val="auto"/>
          <w:sz w:val="24"/>
          <w:highlight w:val="none"/>
        </w:rPr>
        <w:t>若甲方不能按照本合同第五条的约定付款的，则乙方有权从第15个工作日起按全国银行间同业拆借中心一年期贷款市场报价利率标准收取未付货款利息。</w:t>
      </w:r>
    </w:p>
    <w:p w14:paraId="034B1D99">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14:paraId="5F7F7C59">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14:paraId="2D8DE79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14:paraId="493CE461">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14:paraId="509E99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14:paraId="32C37BDA">
      <w:pPr>
        <w:spacing w:before="145" w:beforeLines="50" w:after="145" w:afterLines="50" w:line="440" w:lineRule="exact"/>
        <w:ind w:firstLine="240" w:firstLineChars="1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14:paraId="2832960E">
      <w:pPr>
        <w:spacing w:before="145" w:beforeLines="50" w:after="145" w:afterLines="50" w:line="440" w:lineRule="exact"/>
        <w:ind w:firstLine="240" w:firstLineChars="1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14:paraId="429C534E">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14:paraId="1A2EF09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14:paraId="612BB9C4">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14:paraId="7D131C5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14:paraId="30DEE5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在本合同履行期间，乙方应根据甲方通知的时间和数量（石油焦）发运。本合同项下价格除非特别说明，否则均应为含税价。</w:t>
      </w:r>
    </w:p>
    <w:p w14:paraId="26EF52E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14:paraId="788FC6B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14:paraId="048008DA">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14:paraId="0797A42C">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color w:val="auto"/>
          <w:sz w:val="24"/>
        </w:rPr>
        <w:t>15.5.1</w:t>
      </w:r>
      <w:r>
        <w:rPr>
          <w:rFonts w:hint="eastAsia" w:ascii="宋体" w:hAnsi="宋体" w:eastAsia="宋体" w:cs="宋体"/>
          <w:sz w:val="24"/>
        </w:rPr>
        <w:t>甲方以当面交付方式通知乙方的，乙方联系人为：</w:t>
      </w:r>
      <w:r>
        <w:rPr>
          <w:rFonts w:ascii="Times New Roman" w:hAnsi="Times New Roman" w:eastAsia="宋体" w:cs="Times New Roman"/>
          <w:sz w:val="24"/>
        </w:rPr>
        <w:t>【键入内容】</w:t>
      </w:r>
      <w:r>
        <w:rPr>
          <w:rFonts w:hint="eastAsia" w:ascii="宋体" w:hAnsi="宋体" w:eastAsia="宋体" w:cs="宋体"/>
          <w:sz w:val="24"/>
        </w:rPr>
        <w:t>，联系电话：</w:t>
      </w:r>
      <w:r>
        <w:rPr>
          <w:rFonts w:ascii="Times New Roman" w:hAnsi="Times New Roman" w:eastAsia="宋体" w:cs="Times New Roman"/>
          <w:sz w:val="24"/>
        </w:rPr>
        <w:t>【键入内容】</w:t>
      </w:r>
      <w:r>
        <w:rPr>
          <w:rFonts w:hint="eastAsia" w:ascii="宋体" w:hAnsi="宋体" w:eastAsia="宋体" w:cs="宋体"/>
          <w:sz w:val="24"/>
        </w:rPr>
        <w:t>，自乙方联系人签字确认之时视为乙方已获悉该通知内容。</w:t>
      </w:r>
    </w:p>
    <w:p w14:paraId="46254E5E">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15.5.2甲方以邮寄方式通知乙方的，乙方邮寄地址为：</w:t>
      </w:r>
      <w:r>
        <w:rPr>
          <w:rFonts w:ascii="Times New Roman" w:hAnsi="Times New Roman" w:eastAsia="宋体" w:cs="Times New Roman"/>
          <w:sz w:val="24"/>
        </w:rPr>
        <w:t>【键入内容】</w:t>
      </w:r>
      <w:r>
        <w:rPr>
          <w:rFonts w:hint="eastAsia" w:ascii="Times New Roman" w:hAnsi="Times New Roman" w:eastAsia="宋体" w:cs="Times New Roman"/>
          <w:sz w:val="24"/>
          <w:lang w:eastAsia="zh-CN"/>
        </w:rPr>
        <w:t>，</w:t>
      </w:r>
      <w:r>
        <w:rPr>
          <w:rFonts w:hint="eastAsia" w:ascii="宋体" w:hAnsi="宋体" w:eastAsia="宋体" w:cs="宋体"/>
          <w:sz w:val="24"/>
        </w:rPr>
        <w:t>自甲方按本条约定地址快递寄出后5日视为乙方已获悉该通知内容。</w:t>
      </w:r>
    </w:p>
    <w:p w14:paraId="0F509272">
      <w:pPr>
        <w:tabs>
          <w:tab w:val="left" w:pos="567"/>
        </w:tabs>
        <w:snapToGrid w:val="0"/>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15.5.3甲方以电子邮件方式通知乙方的，乙方电子邮箱地址为：</w:t>
      </w:r>
      <w:r>
        <w:rPr>
          <w:rFonts w:ascii="Times New Roman" w:hAnsi="Times New Roman" w:eastAsia="宋体" w:cs="Times New Roman"/>
          <w:sz w:val="24"/>
        </w:rPr>
        <w:t>【键入内容】</w:t>
      </w:r>
      <w:r>
        <w:rPr>
          <w:rFonts w:hint="eastAsia" w:ascii="宋体" w:hAnsi="宋体" w:eastAsia="宋体" w:cs="宋体"/>
          <w:sz w:val="24"/>
        </w:rPr>
        <w:t>，自甲方向本条</w:t>
      </w:r>
      <w:r>
        <w:rPr>
          <w:rFonts w:hint="eastAsia" w:ascii="宋体" w:hAnsi="宋体" w:eastAsia="宋体" w:cs="宋体"/>
          <w:color w:val="auto"/>
          <w:sz w:val="24"/>
        </w:rPr>
        <w:t>约定邮箱发出邮件之时视为乙方已获悉该通知内容。</w:t>
      </w:r>
    </w:p>
    <w:p w14:paraId="4EA9E7B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14:paraId="7DA0739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14:paraId="3DD4C45E">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62C1DC6E">
      <w:pPr>
        <w:pStyle w:val="2"/>
        <w:spacing w:before="145" w:beforeLines="50" w:after="145" w:afterLines="50" w:line="440" w:lineRule="exact"/>
        <w:ind w:firstLine="240" w:firstLineChars="100"/>
        <w:jc w:val="both"/>
      </w:pPr>
      <w:r>
        <w:rPr>
          <w:rFonts w:hint="eastAsia" w:ascii="宋体" w:hAnsi="宋体" w:cs="宋体"/>
          <w:color w:val="auto"/>
        </w:rPr>
        <w:t>（以下无正文）</w:t>
      </w:r>
    </w:p>
    <w:p w14:paraId="2E7E3E4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14:paraId="481F6E51">
      <w:pPr>
        <w:spacing w:before="145" w:beforeLines="50" w:after="145" w:afterLines="50" w:line="440" w:lineRule="exact"/>
        <w:ind w:firstLine="480" w:firstLineChars="200"/>
        <w:rPr>
          <w:rFonts w:hint="eastAsia" w:ascii="宋体" w:hAnsi="宋体" w:cs="宋体"/>
          <w:b/>
          <w:color w:val="auto"/>
          <w:kern w:val="2"/>
        </w:rPr>
      </w:pPr>
      <w:r>
        <w:rPr>
          <w:rFonts w:hint="eastAsia" w:ascii="宋体" w:hAnsi="宋体" w:eastAsia="宋体" w:cs="宋体"/>
          <w:sz w:val="24"/>
        </w:rPr>
        <w:t>附件</w:t>
      </w:r>
      <w:r>
        <w:rPr>
          <w:rFonts w:hint="eastAsia" w:ascii="宋体" w:hAnsi="宋体" w:eastAsia="宋体" w:cs="宋体"/>
          <w:sz w:val="24"/>
          <w:lang w:val="en-US" w:eastAsia="zh-CN"/>
        </w:rPr>
        <w:t>2：《石油焦质量协议》</w:t>
      </w:r>
    </w:p>
    <w:p w14:paraId="279321AD">
      <w:pPr>
        <w:pStyle w:val="2"/>
        <w:rPr>
          <w:rFonts w:hint="eastAsia" w:ascii="宋体" w:hAnsi="宋体" w:cs="宋体"/>
          <w:b/>
          <w:color w:val="auto"/>
          <w:kern w:val="2"/>
        </w:rPr>
      </w:pPr>
    </w:p>
    <w:p w14:paraId="0C643B48">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14:paraId="3CFAB128">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14:paraId="66003EAD">
      <w:pPr>
        <w:spacing w:line="440" w:lineRule="exact"/>
        <w:rPr>
          <w:rFonts w:hint="eastAsia" w:ascii="宋体" w:hAnsi="宋体" w:eastAsia="宋体" w:cs="宋体"/>
          <w:sz w:val="24"/>
          <w:u w:val="single"/>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single"/>
        </w:rPr>
        <w:t>【键入内容】</w:t>
      </w:r>
    </w:p>
    <w:p w14:paraId="2628235B">
      <w:pPr>
        <w:spacing w:before="156" w:beforeLines="50" w:after="156" w:afterLines="50"/>
        <w:rPr>
          <w:rFonts w:hint="default" w:ascii="宋体" w:hAnsi="宋体" w:eastAsia="宋体" w:cs="宋体"/>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u w:val="single"/>
          <w:lang w:val="en-US" w:eastAsia="zh-CN"/>
        </w:rPr>
        <w:t>【键入内容】</w:t>
      </w:r>
    </w:p>
    <w:p w14:paraId="22A780E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14:paraId="02C6CC51">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14:paraId="0434D4D8">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14:paraId="13E462E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14:paraId="144883B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14:paraId="3B9A833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14:paraId="748710D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14:paraId="1D8320A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14:paraId="3F8C2EB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14:paraId="1A92FA38">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w:t>
      </w:r>
    </w:p>
    <w:p w14:paraId="5B4EE23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乙方同意约束其工作人员遵守上述约定并为其工作人员行为后果负责。</w:t>
      </w:r>
    </w:p>
    <w:p w14:paraId="255CB836">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14:paraId="3CB1911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14:paraId="2488688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14:paraId="1300F4B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14:paraId="5FAFD38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14:paraId="76111E4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14:paraId="20E830C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14:paraId="0ACAF13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涉嫌犯罪的，则送交司法机关追究其法律责任。</w:t>
      </w:r>
    </w:p>
    <w:p w14:paraId="77C955C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14:paraId="05091123">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14:paraId="3051CC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14:paraId="2E74ACFF">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14:paraId="23A10FFA">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5D390326">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14:paraId="7CDFC4A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2" w:name="_Hlk92788699"/>
      <w:r>
        <w:rPr>
          <w:rFonts w:hint="eastAsia" w:ascii="宋体" w:hAnsi="宋体" w:eastAsia="宋体" w:cs="宋体"/>
          <w:sz w:val="24"/>
        </w:rPr>
        <w:t>合同的变更、转让、终止或被撤销、无效不影响本诚信自律特别协议的效力。</w:t>
      </w:r>
      <w:bookmarkEnd w:id="2"/>
    </w:p>
    <w:p w14:paraId="5BB2A8FE">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14:paraId="2ABD145D">
      <w:pPr>
        <w:pStyle w:val="2"/>
        <w:spacing w:line="480" w:lineRule="exact"/>
        <w:rPr>
          <w:rFonts w:hint="eastAsia" w:ascii="宋体" w:hAnsi="宋体" w:cs="宋体"/>
          <w:b/>
          <w:bCs/>
          <w:color w:val="auto"/>
          <w:kern w:val="2"/>
        </w:rPr>
      </w:pPr>
    </w:p>
    <w:p w14:paraId="035E5C43">
      <w:pPr>
        <w:rPr>
          <w:rFonts w:hint="eastAsia"/>
          <w:b/>
          <w:bCs/>
          <w:sz w:val="24"/>
          <w:szCs w:val="24"/>
          <w:lang w:val="en-US" w:eastAsia="zh-CN"/>
        </w:rPr>
      </w:pPr>
      <w:r>
        <w:rPr>
          <w:rFonts w:hint="eastAsia"/>
          <w:b/>
          <w:bCs/>
          <w:sz w:val="24"/>
          <w:szCs w:val="24"/>
          <w:lang w:val="en-US" w:eastAsia="zh-CN"/>
        </w:rPr>
        <w:t>附件2：</w:t>
      </w:r>
    </w:p>
    <w:p w14:paraId="37F33D23">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石油焦质量协议</w:t>
      </w:r>
    </w:p>
    <w:p w14:paraId="03C97F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20"/>
          <w:rFonts w:hint="eastAsia" w:ascii="黑体" w:hAnsi="黑体" w:eastAsia="黑体" w:cs="黑体"/>
          <w:b w:val="0"/>
          <w:bCs/>
          <w:sz w:val="24"/>
          <w:szCs w:val="24"/>
          <w:lang w:val="en-US" w:eastAsia="zh-CN"/>
        </w:rPr>
      </w:pPr>
      <w:bookmarkStart w:id="3" w:name="_Toc14880"/>
      <w:r>
        <w:rPr>
          <w:rStyle w:val="20"/>
          <w:rFonts w:hint="eastAsia" w:ascii="黑体" w:hAnsi="黑体" w:eastAsia="黑体" w:cs="黑体"/>
          <w:b w:val="0"/>
          <w:bCs/>
          <w:sz w:val="24"/>
          <w:szCs w:val="24"/>
          <w:lang w:val="en-US" w:eastAsia="zh-CN"/>
        </w:rPr>
        <w:t>1石油焦（生焦）</w:t>
      </w:r>
      <w:bookmarkEnd w:id="3"/>
    </w:p>
    <w:p w14:paraId="3E34E535">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4" w:name="_Toc20273"/>
      <w:r>
        <w:rPr>
          <w:rFonts w:hint="eastAsia" w:ascii="宋体" w:hAnsi="宋体" w:eastAsia="宋体" w:cs="宋体"/>
          <w:b/>
          <w:bCs w:val="0"/>
          <w:kern w:val="10"/>
          <w:sz w:val="24"/>
          <w:lang w:val="en-US" w:eastAsia="zh-CN"/>
        </w:rPr>
        <w:t>1.1范围</w:t>
      </w:r>
      <w:bookmarkEnd w:id="4"/>
    </w:p>
    <w:p w14:paraId="4976B6C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本标准依据NB/SH/T 0527-2019石油焦（生焦）标准，结合田田碳素实际生产运行情况编制，规定了石油焦理化性能、检验频次及取样方法等要求。</w:t>
      </w:r>
    </w:p>
    <w:p w14:paraId="54A3C99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适用于田田碳素石油焦（生焦）的质量检验及质量验证。</w:t>
      </w:r>
    </w:p>
    <w:p w14:paraId="319B2C29">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5" w:name="_Toc12099"/>
      <w:r>
        <w:rPr>
          <w:rFonts w:hint="eastAsia" w:ascii="宋体" w:hAnsi="宋体" w:eastAsia="宋体" w:cs="宋体"/>
          <w:b/>
          <w:bCs w:val="0"/>
          <w:kern w:val="10"/>
          <w:sz w:val="24"/>
          <w:lang w:val="en-US" w:eastAsia="zh-CN"/>
        </w:rPr>
        <w:t>1.2规范性引用文件</w:t>
      </w:r>
      <w:bookmarkEnd w:id="5"/>
    </w:p>
    <w:p w14:paraId="2308E08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下列文件中，除正在执行的合同中有明确规定外，其最新版本（包括所有的修改单）适用于本标准。该部分标准的引用，包括（但不限于）取样方法、检测方法、重复性、再现性、数值修约等规定要求。</w:t>
      </w:r>
    </w:p>
    <w:p w14:paraId="21B98AA4">
      <w:pPr>
        <w:pStyle w:val="2"/>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14:paraId="74E807EC">
      <w:pPr>
        <w:pStyle w:val="2"/>
        <w:keepNext w:val="0"/>
        <w:keepLines w:val="0"/>
        <w:pageBreakBefore w:val="0"/>
        <w:widowControl w:val="0"/>
        <w:kinsoku/>
        <w:wordWrap/>
        <w:overflowPunct/>
        <w:topLinePunct w:val="0"/>
        <w:bidi w:val="0"/>
        <w:snapToGrid/>
        <w:spacing w:line="440" w:lineRule="exact"/>
        <w:ind w:left="0" w:leftChars="0" w:firstLine="480" w:firstLineChars="200"/>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kern w:val="10"/>
          <w:sz w:val="24"/>
          <w:lang w:val="en-US" w:eastAsia="zh-CN"/>
        </w:rPr>
        <w:t>NB/SH/T 0527</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2019石油焦（生焦）</w:t>
      </w:r>
    </w:p>
    <w:p w14:paraId="0F35CF2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YS/T 63.16铝用炭素材料检测方法 第16部份 微量元素的测定X射线荧光光谱分析方法</w:t>
      </w:r>
    </w:p>
    <w:p w14:paraId="38AF025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0026石油焦挥发分测定法</w:t>
      </w:r>
    </w:p>
    <w:p w14:paraId="5BD9F07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0029石油焦灰分测定法</w:t>
      </w:r>
    </w:p>
    <w:p w14:paraId="5F75C9A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0032石油焦总水分测定法</w:t>
      </w:r>
    </w:p>
    <w:p w14:paraId="477B702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0313石油焦检验法</w:t>
      </w:r>
    </w:p>
    <w:p w14:paraId="6EA0219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w:t>
      </w:r>
      <w:r>
        <w:rPr>
          <w:rFonts w:hint="eastAsia" w:ascii="宋体" w:hAnsi="宋体" w:eastAsia="宋体" w:cs="Times New Roman"/>
          <w:kern w:val="10"/>
          <w:sz w:val="24"/>
          <w:highlight w:val="none"/>
          <w:lang w:val="en-US" w:eastAsia="zh-CN"/>
        </w:rPr>
        <w:t xml:space="preserve"> </w:t>
      </w:r>
      <w:r>
        <w:rPr>
          <w:rFonts w:hint="default" w:ascii="宋体" w:hAnsi="宋体" w:eastAsia="宋体" w:cs="Times New Roman"/>
          <w:kern w:val="10"/>
          <w:sz w:val="24"/>
          <w:highlight w:val="none"/>
          <w:lang w:val="en-US" w:eastAsia="zh-CN"/>
        </w:rPr>
        <w:t>211煤中全水分的测定方法</w:t>
      </w:r>
    </w:p>
    <w:p w14:paraId="72E2624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214-2007煤中全硫的测定方法</w:t>
      </w:r>
    </w:p>
    <w:p w14:paraId="5824A230">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bookmarkStart w:id="6" w:name="_Toc16748"/>
      <w:r>
        <w:rPr>
          <w:rFonts w:hint="eastAsia" w:ascii="宋体" w:hAnsi="宋体" w:eastAsia="宋体" w:cs="宋体"/>
          <w:b/>
          <w:bCs w:val="0"/>
          <w:kern w:val="10"/>
          <w:sz w:val="24"/>
          <w:lang w:val="en-US" w:eastAsia="zh-CN"/>
        </w:rPr>
        <w:t>1.3技术要求和试验方法</w:t>
      </w:r>
      <w:bookmarkEnd w:id="6"/>
    </w:p>
    <w:p w14:paraId="261412D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ascii="宋体" w:hAnsi="宋体" w:eastAsia="宋体" w:cs="Times New Roman"/>
          <w:kern w:val="10"/>
          <w:sz w:val="24"/>
          <w:lang w:val="en-US" w:eastAsia="zh-CN"/>
        </w:rPr>
        <w:t>石油焦（生焦）的技术要求和试验方法应符合表1规定。</w:t>
      </w:r>
    </w:p>
    <w:p w14:paraId="7B968E21">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表1：石油焦（生焦）技术要求和试验方法</w:t>
      </w:r>
    </w:p>
    <w:tbl>
      <w:tblPr>
        <w:tblStyle w:val="15"/>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645"/>
        <w:gridCol w:w="2467"/>
      </w:tblGrid>
      <w:tr w14:paraId="24E00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14:paraId="406CDA00">
            <w:pPr>
              <w:keepNext w:val="0"/>
              <w:keepLines w:val="0"/>
              <w:pageBreakBefore w:val="0"/>
              <w:widowControl w:val="0"/>
              <w:kinsoku/>
              <w:wordWrap/>
              <w:overflowPunct/>
              <w:topLinePunct w:val="0"/>
              <w:autoSpaceDE/>
              <w:autoSpaceDN/>
              <w:bidi w:val="0"/>
              <w:adjustRightInd/>
              <w:snapToGrid/>
              <w:spacing w:line="380" w:lineRule="exact"/>
              <w:ind w:left="0" w:leftChars="0"/>
              <w:jc w:val="both"/>
              <w:textAlignment w:val="auto"/>
              <w:rPr>
                <w:rFonts w:hint="eastAsia" w:ascii="宋体" w:hAnsi="宋体" w:eastAsia="宋体" w:cs="宋体"/>
                <w:b/>
                <w:bCs/>
                <w:color w:val="auto"/>
                <w:kern w:val="10"/>
                <w:sz w:val="24"/>
                <w:szCs w:val="24"/>
                <w:lang w:val="en-US" w:eastAsia="zh-CN"/>
              </w:rPr>
            </w:pPr>
          </w:p>
          <w:p w14:paraId="32AFB163">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项</w:t>
            </w:r>
            <w:r>
              <w:rPr>
                <w:rFonts w:hint="eastAsia" w:ascii="宋体" w:hAnsi="宋体" w:eastAsia="宋体" w:cs="宋体"/>
                <w:b/>
                <w:bCs/>
                <w:color w:val="auto"/>
                <w:kern w:val="10"/>
                <w:sz w:val="24"/>
                <w:szCs w:val="24"/>
                <w:lang w:val="en-US" w:eastAsia="zh-CN"/>
              </w:rPr>
              <w:tab/>
            </w:r>
            <w:r>
              <w:rPr>
                <w:rFonts w:hint="eastAsia" w:ascii="宋体" w:hAnsi="宋体" w:eastAsia="宋体" w:cs="宋体"/>
                <w:b/>
                <w:bCs/>
                <w:color w:val="auto"/>
                <w:kern w:val="10"/>
                <w:sz w:val="24"/>
                <w:szCs w:val="24"/>
                <w:lang w:val="en-US" w:eastAsia="zh-CN"/>
              </w:rPr>
              <w:t>目</w:t>
            </w:r>
          </w:p>
        </w:tc>
        <w:tc>
          <w:tcPr>
            <w:tcW w:w="4555" w:type="dxa"/>
            <w:gridSpan w:val="3"/>
            <w:tcBorders>
              <w:left w:val="single" w:color="000000" w:sz="4" w:space="0"/>
              <w:right w:val="single" w:color="auto" w:sz="4" w:space="0"/>
            </w:tcBorders>
            <w:vAlign w:val="top"/>
          </w:tcPr>
          <w:p w14:paraId="79A1E42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质量指标</w:t>
            </w:r>
          </w:p>
        </w:tc>
        <w:tc>
          <w:tcPr>
            <w:tcW w:w="2467" w:type="dxa"/>
            <w:vMerge w:val="restart"/>
            <w:tcBorders>
              <w:left w:val="single" w:color="000000" w:sz="4" w:space="0"/>
            </w:tcBorders>
            <w:vAlign w:val="top"/>
          </w:tcPr>
          <w:p w14:paraId="7AB5D802">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p w14:paraId="46080958">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bCs/>
                <w:color w:val="auto"/>
                <w:kern w:val="10"/>
                <w:sz w:val="24"/>
                <w:szCs w:val="24"/>
                <w:lang w:val="en-US" w:eastAsia="zh-CN"/>
              </w:rPr>
              <w:t>试验方法</w:t>
            </w:r>
          </w:p>
        </w:tc>
      </w:tr>
      <w:tr w14:paraId="4C824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14:paraId="1B2B2797">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bCs/>
                <w:color w:val="auto"/>
                <w:kern w:val="10"/>
                <w:sz w:val="24"/>
                <w:szCs w:val="24"/>
                <w:lang w:val="en-US" w:eastAsia="zh-CN"/>
              </w:rPr>
            </w:pPr>
          </w:p>
        </w:tc>
        <w:tc>
          <w:tcPr>
            <w:tcW w:w="1305" w:type="dxa"/>
            <w:tcBorders>
              <w:top w:val="single" w:color="000000" w:sz="4" w:space="0"/>
              <w:left w:val="single" w:color="000000" w:sz="4" w:space="0"/>
              <w:right w:val="single" w:color="000000" w:sz="4" w:space="0"/>
            </w:tcBorders>
            <w:vAlign w:val="center"/>
          </w:tcPr>
          <w:p w14:paraId="5FEE676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低硫石油焦</w:t>
            </w:r>
          </w:p>
        </w:tc>
        <w:tc>
          <w:tcPr>
            <w:tcW w:w="1605" w:type="dxa"/>
            <w:tcBorders>
              <w:top w:val="single" w:color="000000" w:sz="4" w:space="0"/>
              <w:left w:val="single" w:color="000000" w:sz="4" w:space="0"/>
              <w:right w:val="single" w:color="000000" w:sz="4" w:space="0"/>
            </w:tcBorders>
            <w:vAlign w:val="center"/>
          </w:tcPr>
          <w:p w14:paraId="2091D0DA">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中硫石油焦</w:t>
            </w:r>
          </w:p>
        </w:tc>
        <w:tc>
          <w:tcPr>
            <w:tcW w:w="1645" w:type="dxa"/>
            <w:tcBorders>
              <w:top w:val="single" w:color="000000" w:sz="4" w:space="0"/>
              <w:left w:val="single" w:color="000000" w:sz="4" w:space="0"/>
              <w:right w:val="single" w:color="auto" w:sz="4" w:space="0"/>
            </w:tcBorders>
            <w:vAlign w:val="center"/>
          </w:tcPr>
          <w:p w14:paraId="0443B63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高硫石油焦</w:t>
            </w:r>
          </w:p>
        </w:tc>
        <w:tc>
          <w:tcPr>
            <w:tcW w:w="2467" w:type="dxa"/>
            <w:vMerge w:val="continue"/>
            <w:tcBorders>
              <w:left w:val="single" w:color="000000" w:sz="4" w:space="0"/>
            </w:tcBorders>
          </w:tcPr>
          <w:p w14:paraId="74D07B3B">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tc>
      </w:tr>
      <w:tr w14:paraId="26F8D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14:paraId="3D08058A">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14:paraId="002FCAD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14:paraId="0A08BAF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1.0＜X≤4.0</w:t>
            </w:r>
          </w:p>
        </w:tc>
        <w:tc>
          <w:tcPr>
            <w:tcW w:w="1645" w:type="dxa"/>
            <w:tcBorders>
              <w:left w:val="single" w:color="auto" w:sz="4" w:space="0"/>
              <w:bottom w:val="single" w:color="000000" w:sz="4" w:space="0"/>
              <w:right w:val="single" w:color="000000" w:sz="4" w:space="0"/>
            </w:tcBorders>
            <w:vAlign w:val="center"/>
          </w:tcPr>
          <w:p w14:paraId="628451C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4.0＜x≤6.0</w:t>
            </w:r>
          </w:p>
        </w:tc>
        <w:tc>
          <w:tcPr>
            <w:tcW w:w="2467" w:type="dxa"/>
            <w:tcBorders>
              <w:left w:val="single" w:color="000000" w:sz="4" w:space="0"/>
              <w:bottom w:val="single" w:color="000000" w:sz="4" w:space="0"/>
            </w:tcBorders>
            <w:vAlign w:val="center"/>
          </w:tcPr>
          <w:p w14:paraId="4EDB0B60">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GB/T214-2007中第4章</w:t>
            </w:r>
          </w:p>
        </w:tc>
      </w:tr>
      <w:tr w14:paraId="5854E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14:paraId="3FC83EB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14:paraId="72CA79A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≤10.0</w:t>
            </w:r>
          </w:p>
        </w:tc>
        <w:tc>
          <w:tcPr>
            <w:tcW w:w="1605" w:type="dxa"/>
            <w:tcBorders>
              <w:top w:val="single" w:color="000000" w:sz="4" w:space="0"/>
              <w:left w:val="single" w:color="auto" w:sz="4" w:space="0"/>
              <w:bottom w:val="single" w:color="000000" w:sz="4" w:space="0"/>
              <w:right w:val="single" w:color="auto" w:sz="4" w:space="0"/>
            </w:tcBorders>
            <w:vAlign w:val="top"/>
          </w:tcPr>
          <w:p w14:paraId="7198A4EB">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≤10.0</w:t>
            </w:r>
          </w:p>
        </w:tc>
        <w:tc>
          <w:tcPr>
            <w:tcW w:w="1645" w:type="dxa"/>
            <w:tcBorders>
              <w:top w:val="single" w:color="000000" w:sz="4" w:space="0"/>
              <w:left w:val="single" w:color="auto" w:sz="4" w:space="0"/>
              <w:bottom w:val="single" w:color="000000" w:sz="4" w:space="0"/>
              <w:right w:val="single" w:color="000000" w:sz="4" w:space="0"/>
            </w:tcBorders>
            <w:vAlign w:val="top"/>
          </w:tcPr>
          <w:p w14:paraId="13A604A6">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≤10.0</w:t>
            </w:r>
          </w:p>
        </w:tc>
        <w:tc>
          <w:tcPr>
            <w:tcW w:w="2467" w:type="dxa"/>
            <w:tcBorders>
              <w:top w:val="single" w:color="000000" w:sz="4" w:space="0"/>
              <w:left w:val="single" w:color="000000" w:sz="4" w:space="0"/>
              <w:bottom w:val="single" w:color="000000" w:sz="4" w:space="0"/>
            </w:tcBorders>
          </w:tcPr>
          <w:p w14:paraId="588CBB20">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0026</w:t>
            </w:r>
          </w:p>
        </w:tc>
      </w:tr>
      <w:tr w14:paraId="2CA5C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14:paraId="6EB3DF2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14:paraId="3C26CD6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605" w:type="dxa"/>
            <w:tcBorders>
              <w:top w:val="single" w:color="000000" w:sz="4" w:space="0"/>
              <w:left w:val="single" w:color="auto" w:sz="4" w:space="0"/>
              <w:bottom w:val="single" w:color="000000" w:sz="4" w:space="0"/>
              <w:right w:val="single" w:color="auto" w:sz="4" w:space="0"/>
            </w:tcBorders>
            <w:vAlign w:val="center"/>
          </w:tcPr>
          <w:p w14:paraId="77F8ED1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645" w:type="dxa"/>
            <w:tcBorders>
              <w:top w:val="single" w:color="000000" w:sz="4" w:space="0"/>
              <w:left w:val="single" w:color="auto" w:sz="4" w:space="0"/>
              <w:bottom w:val="single" w:color="000000" w:sz="4" w:space="0"/>
              <w:right w:val="single" w:color="auto" w:sz="4" w:space="0"/>
            </w:tcBorders>
            <w:vAlign w:val="center"/>
          </w:tcPr>
          <w:p w14:paraId="55BB438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2467" w:type="dxa"/>
            <w:tcBorders>
              <w:top w:val="single" w:color="000000" w:sz="4" w:space="0"/>
              <w:left w:val="single" w:color="000000" w:sz="4" w:space="0"/>
              <w:bottom w:val="single" w:color="000000" w:sz="4" w:space="0"/>
            </w:tcBorders>
            <w:vAlign w:val="center"/>
          </w:tcPr>
          <w:p w14:paraId="1FE52DF1">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0029</w:t>
            </w:r>
          </w:p>
        </w:tc>
      </w:tr>
      <w:tr w14:paraId="2F4C8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14:paraId="0C2CCF6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14:paraId="1EC92CA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14:paraId="4C3E342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645" w:type="dxa"/>
            <w:tcBorders>
              <w:top w:val="single" w:color="000000" w:sz="4" w:space="0"/>
              <w:left w:val="single" w:color="auto" w:sz="4" w:space="0"/>
              <w:bottom w:val="single" w:color="000000" w:sz="4" w:space="0"/>
              <w:right w:val="single" w:color="auto" w:sz="4" w:space="0"/>
            </w:tcBorders>
            <w:vAlign w:val="center"/>
          </w:tcPr>
          <w:p w14:paraId="1AAE4DF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2467" w:type="dxa"/>
            <w:tcBorders>
              <w:top w:val="single" w:color="000000" w:sz="4" w:space="0"/>
              <w:left w:val="single" w:color="000000" w:sz="4" w:space="0"/>
              <w:bottom w:val="single" w:color="000000" w:sz="4" w:space="0"/>
            </w:tcBorders>
            <w:vAlign w:val="center"/>
          </w:tcPr>
          <w:p w14:paraId="56A4A8F5">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0032</w:t>
            </w:r>
          </w:p>
        </w:tc>
      </w:tr>
      <w:tr w14:paraId="7AE39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14:paraId="0CB2702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粉焦量（&lt;8mm）%</w:t>
            </w:r>
          </w:p>
        </w:tc>
        <w:tc>
          <w:tcPr>
            <w:tcW w:w="1305" w:type="dxa"/>
            <w:tcBorders>
              <w:top w:val="single" w:color="000000" w:sz="4" w:space="0"/>
              <w:left w:val="single" w:color="000000" w:sz="4" w:space="0"/>
              <w:bottom w:val="single" w:color="000000" w:sz="4" w:space="0"/>
              <w:right w:val="single" w:color="auto" w:sz="4" w:space="0"/>
            </w:tcBorders>
            <w:vAlign w:val="center"/>
          </w:tcPr>
          <w:p w14:paraId="0EC589C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1605" w:type="dxa"/>
            <w:tcBorders>
              <w:top w:val="single" w:color="000000" w:sz="4" w:space="0"/>
              <w:left w:val="single" w:color="auto" w:sz="4" w:space="0"/>
              <w:bottom w:val="single" w:color="000000" w:sz="4" w:space="0"/>
              <w:right w:val="single" w:color="auto" w:sz="4" w:space="0"/>
            </w:tcBorders>
            <w:vAlign w:val="center"/>
          </w:tcPr>
          <w:p w14:paraId="439F0E7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1645" w:type="dxa"/>
            <w:tcBorders>
              <w:top w:val="single" w:color="000000" w:sz="4" w:space="0"/>
              <w:left w:val="single" w:color="auto" w:sz="4" w:space="0"/>
              <w:bottom w:val="single" w:color="000000" w:sz="4" w:space="0"/>
              <w:right w:val="single" w:color="auto" w:sz="4" w:space="0"/>
            </w:tcBorders>
            <w:vAlign w:val="center"/>
          </w:tcPr>
          <w:p w14:paraId="52CF7C3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2467" w:type="dxa"/>
            <w:tcBorders>
              <w:top w:val="single" w:color="000000" w:sz="4" w:space="0"/>
              <w:left w:val="single" w:color="000000" w:sz="4" w:space="0"/>
              <w:bottom w:val="single" w:color="000000" w:sz="4" w:space="0"/>
            </w:tcBorders>
            <w:vAlign w:val="center"/>
          </w:tcPr>
          <w:p w14:paraId="7AC3ABFA">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NB/SH/T 0527-2019</w:t>
            </w:r>
          </w:p>
        </w:tc>
      </w:tr>
      <w:tr w14:paraId="6CD61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jc w:val="center"/>
        </w:trPr>
        <w:tc>
          <w:tcPr>
            <w:tcW w:w="2331" w:type="dxa"/>
            <w:tcBorders>
              <w:top w:val="single" w:color="000000" w:sz="4" w:space="0"/>
              <w:bottom w:val="single" w:color="auto" w:sz="4" w:space="0"/>
              <w:right w:val="single" w:color="000000" w:sz="4" w:space="0"/>
            </w:tcBorders>
            <w:vAlign w:val="center"/>
          </w:tcPr>
          <w:p w14:paraId="41C3BF5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14:paraId="5CEBFE6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≤200</w:t>
            </w:r>
            <w:r>
              <w:rPr>
                <w:rFonts w:hint="eastAsia" w:ascii="宋体" w:hAnsi="宋体" w:eastAsia="宋体" w:cs="宋体"/>
                <w:b/>
                <w:bCs/>
                <w:color w:val="000000" w:themeColor="text1"/>
                <w:kern w:val="10"/>
                <w:sz w:val="24"/>
                <w:szCs w:val="24"/>
                <w:highlight w:val="none"/>
                <w:vertAlign w:val="superscript"/>
                <w:lang w:val="en-US" w:eastAsia="zh-CN"/>
                <w14:textFill>
                  <w14:solidFill>
                    <w14:schemeClr w14:val="tx1"/>
                  </w14:solidFill>
                </w14:textFill>
              </w:rPr>
              <w:t>注1</w:t>
            </w:r>
          </w:p>
        </w:tc>
        <w:tc>
          <w:tcPr>
            <w:tcW w:w="3250" w:type="dxa"/>
            <w:gridSpan w:val="2"/>
            <w:tcBorders>
              <w:top w:val="single" w:color="000000" w:sz="4" w:space="0"/>
              <w:left w:val="single" w:color="auto" w:sz="4" w:space="0"/>
              <w:bottom w:val="single" w:color="auto" w:sz="4" w:space="0"/>
              <w:right w:val="single" w:color="000000" w:sz="4" w:space="0"/>
            </w:tcBorders>
            <w:vAlign w:val="top"/>
          </w:tcPr>
          <w:p w14:paraId="5BA27AF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≤600</w:t>
            </w:r>
            <w:r>
              <w:rPr>
                <w:rFonts w:hint="eastAsia" w:ascii="宋体" w:hAnsi="宋体" w:eastAsia="宋体" w:cs="宋体"/>
                <w:b/>
                <w:bCs/>
                <w:color w:val="000000" w:themeColor="text1"/>
                <w:kern w:val="10"/>
                <w:sz w:val="24"/>
                <w:szCs w:val="24"/>
                <w:highlight w:val="none"/>
                <w:vertAlign w:val="superscript"/>
                <w:lang w:val="en-US" w:eastAsia="zh-CN"/>
                <w14:textFill>
                  <w14:solidFill>
                    <w14:schemeClr w14:val="tx1"/>
                  </w14:solidFill>
                </w14:textFill>
              </w:rPr>
              <w:t>注1</w:t>
            </w:r>
          </w:p>
        </w:tc>
        <w:tc>
          <w:tcPr>
            <w:tcW w:w="2467" w:type="dxa"/>
            <w:tcBorders>
              <w:top w:val="single" w:color="000000" w:sz="4" w:space="0"/>
              <w:left w:val="single" w:color="000000" w:sz="4" w:space="0"/>
              <w:bottom w:val="single" w:color="auto" w:sz="4" w:space="0"/>
            </w:tcBorders>
          </w:tcPr>
          <w:p w14:paraId="1D45AFDA">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022B6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4E190BB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铁含量ppm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2800A38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auto"/>
                <w:kern w:val="10"/>
                <w:sz w:val="24"/>
                <w:szCs w:val="24"/>
                <w:highlight w:val="none"/>
                <w:lang w:val="en-US" w:eastAsia="zh-CN"/>
              </w:rPr>
              <w:t>≤400</w:t>
            </w:r>
          </w:p>
        </w:tc>
        <w:tc>
          <w:tcPr>
            <w:tcW w:w="2467" w:type="dxa"/>
            <w:tcBorders>
              <w:top w:val="single" w:color="000000" w:sz="4" w:space="0"/>
              <w:left w:val="single" w:color="000000" w:sz="4" w:space="0"/>
              <w:bottom w:val="single" w:color="auto" w:sz="4" w:space="0"/>
            </w:tcBorders>
          </w:tcPr>
          <w:p w14:paraId="71C824CC">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2E4B5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6ADA991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硅含量ppm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4D09547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467" w:type="dxa"/>
            <w:tcBorders>
              <w:top w:val="single" w:color="000000" w:sz="4" w:space="0"/>
              <w:left w:val="single" w:color="000000" w:sz="4" w:space="0"/>
              <w:bottom w:val="single" w:color="auto" w:sz="4" w:space="0"/>
            </w:tcBorders>
          </w:tcPr>
          <w:p w14:paraId="583CE3D9">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0EEF3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6BD40BF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钠含量ppm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5D9D244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467" w:type="dxa"/>
            <w:tcBorders>
              <w:top w:val="single" w:color="000000" w:sz="4" w:space="0"/>
              <w:left w:val="single" w:color="000000" w:sz="4" w:space="0"/>
              <w:bottom w:val="single" w:color="auto" w:sz="4" w:space="0"/>
            </w:tcBorders>
          </w:tcPr>
          <w:p w14:paraId="4479FC51">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566EF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14:paraId="6075456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其它微量元素含量</w:t>
            </w:r>
          </w:p>
          <w:p w14:paraId="5684D0D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（钙、镍等）</w:t>
            </w:r>
          </w:p>
        </w:tc>
        <w:tc>
          <w:tcPr>
            <w:tcW w:w="4555" w:type="dxa"/>
            <w:gridSpan w:val="3"/>
            <w:tcBorders>
              <w:top w:val="single" w:color="auto" w:sz="4" w:space="0"/>
              <w:left w:val="single" w:color="000000" w:sz="4" w:space="0"/>
              <w:bottom w:val="single" w:color="000000" w:sz="4" w:space="0"/>
              <w:right w:val="single" w:color="000000" w:sz="4" w:space="0"/>
            </w:tcBorders>
          </w:tcPr>
          <w:p w14:paraId="2C458D06">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当生产过程中需要控制钙、镍等微量元素时，由生产技术部门下发指标要求，并在采购合同中注明。</w:t>
            </w:r>
          </w:p>
        </w:tc>
        <w:tc>
          <w:tcPr>
            <w:tcW w:w="2467" w:type="dxa"/>
            <w:tcBorders>
              <w:top w:val="single" w:color="auto" w:sz="4" w:space="0"/>
              <w:left w:val="single" w:color="000000" w:sz="4" w:space="0"/>
              <w:bottom w:val="single" w:color="000000" w:sz="4" w:space="0"/>
            </w:tcBorders>
            <w:vAlign w:val="center"/>
          </w:tcPr>
          <w:p w14:paraId="4EC07C1B">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5FCA1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14:paraId="3CF2F68E">
            <w:pPr>
              <w:keepNext w:val="0"/>
              <w:keepLines w:val="0"/>
              <w:pageBreakBefore w:val="0"/>
              <w:widowControl w:val="0"/>
              <w:shd w:val="clear" w:color="auto" w:fill="FFFFFF" w:themeFill="background1"/>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kern w:val="0"/>
                <w:sz w:val="24"/>
                <w:szCs w:val="24"/>
                <w:highlight w:val="none"/>
                <w:shd w:val="clear" w:color="auto" w:fill="FFFF00"/>
                <w:lang w:val="en-US" w:eastAsia="zh-CN"/>
              </w:rPr>
            </w:pPr>
            <w:r>
              <w:rPr>
                <w:rFonts w:hint="eastAsia" w:ascii="宋体" w:hAnsi="宋体" w:eastAsia="宋体" w:cs="宋体"/>
                <w:b w:val="0"/>
                <w:bCs w:val="0"/>
                <w:color w:val="auto"/>
                <w:kern w:val="10"/>
                <w:sz w:val="24"/>
                <w:szCs w:val="24"/>
                <w:highlight w:val="none"/>
                <w:shd w:val="clear" w:color="auto" w:fill="FFFFFF" w:themeFill="background1"/>
                <w:lang w:val="en-US" w:eastAsia="zh-CN"/>
              </w:rPr>
              <w:t>备注：</w:t>
            </w:r>
            <w:r>
              <w:rPr>
                <w:rFonts w:hint="eastAsia" w:ascii="宋体" w:hAnsi="宋体" w:eastAsia="宋体" w:cs="宋体"/>
                <w:color w:val="auto"/>
                <w:sz w:val="24"/>
                <w:szCs w:val="24"/>
                <w:highlight w:val="none"/>
              </w:rPr>
              <w:t>数值修约比较按GB/T</w:t>
            </w:r>
            <w:r>
              <w:rPr>
                <w:rFonts w:hint="eastAsia" w:ascii="宋体" w:hAnsi="宋体" w:eastAsia="宋体" w:cs="宋体"/>
                <w:color w:val="auto"/>
                <w:sz w:val="24"/>
                <w:szCs w:val="24"/>
                <w:highlight w:val="none"/>
                <w:lang w:val="en-US" w:eastAsia="zh-CN"/>
              </w:rPr>
              <w:t xml:space="preserve"> 8170有关</w:t>
            </w:r>
            <w:r>
              <w:rPr>
                <w:rFonts w:hint="eastAsia" w:ascii="宋体" w:hAnsi="宋体" w:eastAsia="宋体" w:cs="宋体"/>
                <w:color w:val="auto"/>
                <w:sz w:val="24"/>
                <w:szCs w:val="24"/>
                <w:highlight w:val="none"/>
              </w:rPr>
              <w:t>规定进行，修约数位与表中所列极限数位一致</w:t>
            </w:r>
            <w:r>
              <w:rPr>
                <w:rFonts w:hint="eastAsia" w:ascii="宋体" w:hAnsi="宋体" w:eastAsia="宋体" w:cs="宋体"/>
                <w:color w:val="auto"/>
                <w:sz w:val="24"/>
                <w:szCs w:val="24"/>
                <w:highlight w:val="none"/>
                <w:lang w:eastAsia="zh-CN"/>
              </w:rPr>
              <w:t>。</w:t>
            </w:r>
          </w:p>
        </w:tc>
      </w:tr>
    </w:tbl>
    <w:p w14:paraId="0CFCCB8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bookmarkStart w:id="7" w:name="_Toc841"/>
      <w:r>
        <w:rPr>
          <w:rFonts w:hint="eastAsia" w:ascii="宋体" w:hAnsi="宋体" w:eastAsia="宋体" w:cs="宋体"/>
          <w:b/>
          <w:bCs w:val="0"/>
          <w:kern w:val="10"/>
          <w:sz w:val="24"/>
          <w:lang w:val="en-US" w:eastAsia="zh-CN"/>
        </w:rPr>
        <w:t>1.4检验规则</w:t>
      </w:r>
      <w:bookmarkEnd w:id="7"/>
    </w:p>
    <w:p w14:paraId="28E3BF6A">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14:paraId="5D2A7D4C">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1.4.1.1石油焦由甲方在甲方仓库内进行抽样检验。如检验结果与本合同的规定不符时，应及时向乙方提出，乙方收到甲方质量异常反馈后，应在3个工作日内处理，否则视为默认甲方提出的异议和处理意见。</w:t>
      </w:r>
    </w:p>
    <w:p w14:paraId="6A366493">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14:paraId="0657FC72">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1.4.2组批</w:t>
      </w:r>
    </w:p>
    <w:p w14:paraId="03A7F896">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lang w:val="en-US" w:eastAsia="zh-CN"/>
          <w14:textFill>
            <w14:solidFill>
              <w14:schemeClr w14:val="tx1"/>
            </w14:solidFill>
          </w14:textFill>
        </w:rPr>
        <w:t>1.4.2.1同一供应商，每车到货石油焦均需采样，每5车组批检测水分、挥发分、灰分、硫含量，粉焦量（连续两日内到货量不足5车的同样组批检测），每15车组批检测铁、硅、钠、钒含量</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w:t>
      </w:r>
    </w:p>
    <w:p w14:paraId="24AB9DCE">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1.4.2.2石油焦在使用过程中出现质量问题时，可不定时进行取样检验，若为石油焦质量存在问题的，由乙方承担对甲方造成的损失。</w:t>
      </w:r>
    </w:p>
    <w:p w14:paraId="0D33EAE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14:paraId="08B728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kern w:val="10"/>
          <w:sz w:val="24"/>
          <w:highlight w:val="none"/>
          <w:lang w:val="en-US" w:eastAsia="zh-CN"/>
        </w:rPr>
        <w:t>石油焦需检测挥发分、灰分、水分、粉焦量、硫、铁、钒、硅、钠含量等。</w:t>
      </w:r>
    </w:p>
    <w:p w14:paraId="4862CB1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14:paraId="1954D423">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1.4.4.1到货取样和制样，按照 SH/T 0313《石油焦检验法》的规定进行。</w:t>
      </w:r>
    </w:p>
    <w:p w14:paraId="5835783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石油焦封存试样保存期限不少于3个月。 </w:t>
      </w:r>
    </w:p>
    <w:p w14:paraId="7D097E5F">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14:paraId="752C081D">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14:paraId="1AB8934A">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14:paraId="516EC68B">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宋体"/>
          <w:b w:val="0"/>
          <w:bCs w:val="0"/>
          <w:color w:val="auto"/>
          <w:kern w:val="10"/>
          <w:sz w:val="24"/>
          <w:szCs w:val="22"/>
          <w:lang w:val="en-US" w:eastAsia="zh-CN" w:bidi="ar-SA"/>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.4.5.3复检结果的应用：当复检结果在该项指标检测标准规定再现性范围内的，以</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到货验收时检测结果为结算依据，当复检结果超出该项指标检测标准规定再现性范围的，以复检结果为结算依据。</w:t>
      </w:r>
    </w:p>
    <w:p w14:paraId="0D6B4E5F">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2400" w:firstLineChars="1000"/>
        <w:jc w:val="both"/>
        <w:textAlignment w:val="auto"/>
        <w:rPr>
          <w:rFonts w:hint="default"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表2：石油焦复检仲裁再现性范围值</w:t>
      </w:r>
    </w:p>
    <w:tbl>
      <w:tblPr>
        <w:tblStyle w:val="15"/>
        <w:tblW w:w="8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9"/>
        <w:gridCol w:w="791"/>
        <w:gridCol w:w="2697"/>
        <w:gridCol w:w="1620"/>
        <w:gridCol w:w="2701"/>
      </w:tblGrid>
      <w:tr w14:paraId="4D64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8868" w:type="dxa"/>
            <w:gridSpan w:val="5"/>
            <w:tcBorders>
              <w:top w:val="single" w:color="auto" w:sz="4" w:space="0"/>
              <w:left w:val="single" w:color="auto" w:sz="4" w:space="0"/>
              <w:bottom w:val="single" w:color="auto" w:sz="4" w:space="0"/>
              <w:right w:val="single" w:color="auto" w:sz="4" w:space="0"/>
            </w:tcBorders>
            <w:noWrap/>
            <w:vAlign w:val="center"/>
          </w:tcPr>
          <w:p w14:paraId="5E8D96E0">
            <w:pPr>
              <w:spacing w:before="78" w:line="240" w:lineRule="auto"/>
              <w:ind w:right="53" w:firstLine="825" w:firstLineChars="300"/>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石油焦复检仲裁再现性范围值</w:t>
            </w:r>
          </w:p>
          <w:p w14:paraId="31B482C5">
            <w:pPr>
              <w:spacing w:before="78" w:line="325" w:lineRule="auto"/>
              <w:ind w:right="53"/>
              <w:jc w:val="center"/>
              <w:rPr>
                <w:rFonts w:hint="eastAsia" w:asciiTheme="minorEastAsia" w:hAnsiTheme="minorEastAsia" w:eastAsiaTheme="minorEastAsia" w:cstheme="minorEastAsia"/>
                <w:spacing w:val="-3"/>
                <w:sz w:val="24"/>
                <w:szCs w:val="24"/>
              </w:rPr>
            </w:pPr>
          </w:p>
          <w:p w14:paraId="3E92DC49">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允许差</w:t>
            </w:r>
          </w:p>
        </w:tc>
      </w:tr>
      <w:tr w14:paraId="38B3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4233AAB2">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检测项目</w:t>
            </w:r>
          </w:p>
        </w:tc>
        <w:tc>
          <w:tcPr>
            <w:tcW w:w="791" w:type="dxa"/>
            <w:tcBorders>
              <w:top w:val="single" w:color="auto" w:sz="4" w:space="0"/>
              <w:left w:val="single" w:color="auto" w:sz="4" w:space="0"/>
              <w:bottom w:val="single" w:color="auto" w:sz="4" w:space="0"/>
              <w:right w:val="single" w:color="auto" w:sz="4" w:space="0"/>
            </w:tcBorders>
            <w:noWrap/>
            <w:vAlign w:val="center"/>
          </w:tcPr>
          <w:p w14:paraId="7041B330">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单位</w:t>
            </w:r>
          </w:p>
        </w:tc>
        <w:tc>
          <w:tcPr>
            <w:tcW w:w="2697" w:type="dxa"/>
            <w:tcBorders>
              <w:top w:val="single" w:color="auto" w:sz="4" w:space="0"/>
              <w:left w:val="single" w:color="auto" w:sz="4" w:space="0"/>
              <w:bottom w:val="single" w:color="auto" w:sz="4" w:space="0"/>
              <w:right w:val="single" w:color="auto" w:sz="4" w:space="0"/>
            </w:tcBorders>
            <w:noWrap/>
            <w:vAlign w:val="center"/>
          </w:tcPr>
          <w:p w14:paraId="1897F1F5">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检测结果范围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6AEDD3F7">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kern w:val="2"/>
                <w:sz w:val="24"/>
                <w:szCs w:val="24"/>
                <w:lang w:val="en-US" w:eastAsia="zh-CN" w:bidi="ar-SA"/>
              </w:rPr>
              <w:t>再现性</w:t>
            </w:r>
          </w:p>
        </w:tc>
        <w:tc>
          <w:tcPr>
            <w:tcW w:w="2701" w:type="dxa"/>
            <w:tcBorders>
              <w:top w:val="single" w:color="auto" w:sz="4" w:space="0"/>
              <w:left w:val="single" w:color="auto" w:sz="4" w:space="0"/>
              <w:bottom w:val="single" w:color="auto" w:sz="4" w:space="0"/>
              <w:right w:val="single" w:color="auto" w:sz="4" w:space="0"/>
            </w:tcBorders>
            <w:noWrap/>
            <w:vAlign w:val="center"/>
          </w:tcPr>
          <w:p w14:paraId="0B115BB7">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kern w:val="2"/>
                <w:sz w:val="24"/>
                <w:szCs w:val="24"/>
                <w:lang w:val="en-US" w:eastAsia="zh-CN" w:bidi="ar-SA"/>
              </w:rPr>
              <w:t>执行标准</w:t>
            </w:r>
          </w:p>
        </w:tc>
      </w:tr>
      <w:tr w14:paraId="1033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00AF6D90">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硫含量</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245F106F">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58FEA7BA">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620" w:type="dxa"/>
            <w:tcBorders>
              <w:top w:val="single" w:color="auto" w:sz="4" w:space="0"/>
              <w:left w:val="single" w:color="auto" w:sz="4" w:space="0"/>
              <w:bottom w:val="single" w:color="auto" w:sz="4" w:space="0"/>
              <w:right w:val="single" w:color="auto" w:sz="4" w:space="0"/>
            </w:tcBorders>
            <w:noWrap/>
            <w:vAlign w:val="center"/>
          </w:tcPr>
          <w:p w14:paraId="05535CF4">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±0.15</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710C9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 214-2007 煤中全硫的测定方法 （第4章 库仑滴定法）</w:t>
            </w:r>
          </w:p>
        </w:tc>
      </w:tr>
      <w:tr w14:paraId="47ED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64943BE">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3647C49">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FD0E254">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1.50（不含）～4.00（含）</w:t>
            </w:r>
          </w:p>
        </w:tc>
        <w:tc>
          <w:tcPr>
            <w:tcW w:w="1620" w:type="dxa"/>
            <w:tcBorders>
              <w:top w:val="single" w:color="auto" w:sz="4" w:space="0"/>
              <w:left w:val="single" w:color="auto" w:sz="4" w:space="0"/>
              <w:bottom w:val="single" w:color="auto" w:sz="4" w:space="0"/>
              <w:right w:val="single" w:color="auto" w:sz="4" w:space="0"/>
            </w:tcBorders>
            <w:noWrap/>
            <w:vAlign w:val="center"/>
          </w:tcPr>
          <w:p w14:paraId="74348C8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0580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EAA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E771E1F">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2C031C3">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4ABE0B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5777C2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7C42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0CB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382EB830">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挥发分</w:t>
            </w:r>
          </w:p>
        </w:tc>
        <w:tc>
          <w:tcPr>
            <w:tcW w:w="791" w:type="dxa"/>
            <w:tcBorders>
              <w:top w:val="single" w:color="auto" w:sz="4" w:space="0"/>
              <w:left w:val="single" w:color="auto" w:sz="4" w:space="0"/>
              <w:bottom w:val="single" w:color="auto" w:sz="4" w:space="0"/>
              <w:right w:val="single" w:color="auto" w:sz="4" w:space="0"/>
            </w:tcBorders>
            <w:noWrap/>
            <w:vAlign w:val="center"/>
          </w:tcPr>
          <w:p w14:paraId="47379FCA">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162EDB2F">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全范围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71D97ED6">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±0.5</w:t>
            </w:r>
          </w:p>
        </w:tc>
        <w:tc>
          <w:tcPr>
            <w:tcW w:w="2701" w:type="dxa"/>
            <w:tcBorders>
              <w:top w:val="single" w:color="auto" w:sz="4" w:space="0"/>
              <w:left w:val="single" w:color="auto" w:sz="4" w:space="0"/>
              <w:bottom w:val="single" w:color="auto" w:sz="4" w:space="0"/>
              <w:right w:val="single" w:color="auto" w:sz="4" w:space="0"/>
            </w:tcBorders>
            <w:noWrap/>
            <w:vAlign w:val="center"/>
          </w:tcPr>
          <w:p w14:paraId="09669E14">
            <w:pPr>
              <w:spacing w:before="78" w:line="240" w:lineRule="auto"/>
              <w:ind w:left="12" w:right="53" w:firstLine="13"/>
              <w:jc w:val="left"/>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SH/T 0026-1990 石油焦挥发分测定法</w:t>
            </w:r>
          </w:p>
        </w:tc>
      </w:tr>
      <w:tr w14:paraId="7C03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32E685E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钒</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7AD7DCA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ign w:val="center"/>
          </w:tcPr>
          <w:p w14:paraId="2E672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793D8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1C17EF0B">
            <w:pPr>
              <w:spacing w:before="78" w:line="240" w:lineRule="auto"/>
              <w:ind w:left="12" w:right="53" w:firstLine="13"/>
              <w:jc w:val="left"/>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YS/T 63.16-2019 铝用炭素材料检测方法 第16部分：元素含量的测定 波长色散X-射线荧光光谱分析方法</w:t>
            </w:r>
          </w:p>
        </w:tc>
      </w:tr>
      <w:tr w14:paraId="249C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5519F907">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57B2B3C">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7A1D4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≥100～300</w:t>
            </w:r>
          </w:p>
        </w:tc>
        <w:tc>
          <w:tcPr>
            <w:tcW w:w="1620" w:type="dxa"/>
            <w:tcBorders>
              <w:top w:val="single" w:color="auto" w:sz="4" w:space="0"/>
              <w:left w:val="single" w:color="auto" w:sz="4" w:space="0"/>
              <w:bottom w:val="single" w:color="auto" w:sz="4" w:space="0"/>
              <w:right w:val="single" w:color="auto" w:sz="4" w:space="0"/>
            </w:tcBorders>
            <w:noWrap/>
            <w:vAlign w:val="center"/>
          </w:tcPr>
          <w:p w14:paraId="56F05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7DEC1C3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6E1E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E789713">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43DB002F">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7D8A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≥300～500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1018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6058EC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6C55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16FC415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10643506">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1122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E5AA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C41E17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E3B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35709182">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铁</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730D219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54F4E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2041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A68B69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2CC9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7CC7FA4">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240BF8D">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0775D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5226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769FF5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0BCC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1894422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33AA93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2946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87C9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9FDD007">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4375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725E262">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6715724">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104A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C124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2860FA8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0A47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2D1EE28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硅</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4963D68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F46856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5CEE0E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05DC1DA0">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11F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F7C0C03">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402A1B4">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9ABCC4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0C58E0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3C3AD975">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5651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C50581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55504D2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11E520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9D0633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0A876F38">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F52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21850A2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1FD99E9">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64046EA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4F1818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F4E9E0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693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7377658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钠</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16F1B9AF">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182BB9F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7BA9CB7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0272E5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33A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C4384C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5331F788">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4E3A7B5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D1F85A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7C410A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25D3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311C33A">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75C5F20">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78DC6F9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9BC515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5652BB7">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37AB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08626E47">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0D6427C">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38ACC37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D013FB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EA620B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3721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5CA61E73">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灰分</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6F6E67D4">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0D93E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20" w:type="dxa"/>
            <w:tcBorders>
              <w:top w:val="single" w:color="auto" w:sz="4" w:space="0"/>
              <w:left w:val="single" w:color="auto" w:sz="4" w:space="0"/>
              <w:bottom w:val="single" w:color="auto" w:sz="4" w:space="0"/>
              <w:right w:val="single" w:color="auto" w:sz="4" w:space="0"/>
            </w:tcBorders>
            <w:noWrap/>
            <w:vAlign w:val="center"/>
          </w:tcPr>
          <w:p w14:paraId="3C88A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±0.02</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7C1AB4C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SH/T 0029-1990 石油焦灰分测定法</w:t>
            </w:r>
          </w:p>
        </w:tc>
      </w:tr>
      <w:tr w14:paraId="75BD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500D70C6">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DD135E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7B75F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20" w:type="dxa"/>
            <w:tcBorders>
              <w:top w:val="single" w:color="auto" w:sz="4" w:space="0"/>
              <w:left w:val="single" w:color="auto" w:sz="4" w:space="0"/>
              <w:bottom w:val="single" w:color="auto" w:sz="4" w:space="0"/>
              <w:right w:val="single" w:color="auto" w:sz="4" w:space="0"/>
            </w:tcBorders>
            <w:noWrap/>
            <w:vAlign w:val="center"/>
          </w:tcPr>
          <w:p w14:paraId="6DECC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68F2AE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FC4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65D09D15">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粉焦量</w:t>
            </w:r>
          </w:p>
        </w:tc>
        <w:tc>
          <w:tcPr>
            <w:tcW w:w="791" w:type="dxa"/>
            <w:tcBorders>
              <w:top w:val="single" w:color="auto" w:sz="4" w:space="0"/>
              <w:left w:val="single" w:color="auto" w:sz="4" w:space="0"/>
              <w:bottom w:val="single" w:color="auto" w:sz="4" w:space="0"/>
              <w:right w:val="single" w:color="auto" w:sz="4" w:space="0"/>
            </w:tcBorders>
            <w:noWrap/>
            <w:vAlign w:val="center"/>
          </w:tcPr>
          <w:p w14:paraId="0E01DD0C">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0B2FA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全范围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44FB5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pacing w:val="-3"/>
                <w:sz w:val="24"/>
                <w:szCs w:val="24"/>
                <w:lang w:val="en-US" w:eastAsia="zh-CN"/>
              </w:rPr>
              <w:t>±2</w:t>
            </w:r>
          </w:p>
        </w:tc>
        <w:tc>
          <w:tcPr>
            <w:tcW w:w="2701" w:type="dxa"/>
            <w:tcBorders>
              <w:top w:val="single" w:color="auto" w:sz="4" w:space="0"/>
              <w:left w:val="single" w:color="auto" w:sz="4" w:space="0"/>
              <w:bottom w:val="single" w:color="auto" w:sz="4" w:space="0"/>
              <w:right w:val="single" w:color="auto" w:sz="4" w:space="0"/>
            </w:tcBorders>
            <w:noWrap/>
            <w:vAlign w:val="center"/>
          </w:tcPr>
          <w:p w14:paraId="73A7378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NB/SH/T 0527-2019 石油焦（生焦） （附录A）</w:t>
            </w:r>
          </w:p>
        </w:tc>
      </w:tr>
      <w:tr w14:paraId="7BE5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exact"/>
          <w:jc w:val="center"/>
        </w:trPr>
        <w:tc>
          <w:tcPr>
            <w:tcW w:w="8868" w:type="dxa"/>
            <w:gridSpan w:val="5"/>
            <w:tcBorders>
              <w:top w:val="single" w:color="auto" w:sz="4" w:space="0"/>
              <w:left w:val="single" w:color="auto" w:sz="4" w:space="0"/>
              <w:bottom w:val="single" w:color="auto" w:sz="4" w:space="0"/>
              <w:right w:val="single" w:color="auto" w:sz="4" w:space="0"/>
            </w:tcBorders>
            <w:noWrap/>
            <w:vAlign w:val="center"/>
          </w:tcPr>
          <w:p w14:paraId="1B9F8095">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left"/>
              <w:textAlignment w:val="auto"/>
              <w:rPr>
                <w:rFonts w:hint="eastAsia" w:asciiTheme="minorEastAsia" w:hAnsiTheme="minorEastAsia" w:eastAsiaTheme="minorEastAsia" w:cstheme="minorEastAsia"/>
                <w:b w:val="0"/>
                <w:bCs w:val="0"/>
                <w:color w:val="auto"/>
                <w:kern w:val="10"/>
                <w:sz w:val="24"/>
                <w:szCs w:val="24"/>
                <w:highlight w:val="none"/>
                <w:lang w:val="en-US" w:eastAsia="zh-CN"/>
              </w:rPr>
            </w:pPr>
            <w:r>
              <w:rPr>
                <w:rFonts w:hint="eastAsia" w:asciiTheme="minorEastAsia" w:hAnsiTheme="minorEastAsia" w:eastAsiaTheme="minorEastAsia" w:cstheme="minorEastAsia"/>
                <w:snapToGrid w:val="0"/>
                <w:color w:val="000000"/>
                <w:spacing w:val="-3"/>
                <w:kern w:val="0"/>
                <w:sz w:val="24"/>
                <w:szCs w:val="24"/>
                <w:lang w:val="en-US" w:eastAsia="zh-CN" w:bidi="ar-SA"/>
              </w:rPr>
              <w:t>注：1.</w:t>
            </w:r>
            <w:r>
              <w:rPr>
                <w:rFonts w:hint="eastAsia" w:asciiTheme="minorEastAsia" w:hAnsiTheme="minorEastAsia" w:eastAsiaTheme="minorEastAsia" w:cstheme="minorEastAsia"/>
                <w:b w:val="0"/>
                <w:bCs w:val="0"/>
                <w:color w:val="auto"/>
                <w:kern w:val="10"/>
                <w:sz w:val="24"/>
                <w:szCs w:val="24"/>
                <w:highlight w:val="none"/>
                <w:lang w:val="en-US" w:eastAsia="zh-CN"/>
              </w:rPr>
              <w:t>石油焦水分会因环境变化而有所变化，石油焦水分不受理复检仲裁；</w:t>
            </w:r>
          </w:p>
          <w:p w14:paraId="2D4F4DA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9" w:leftChars="228" w:right="0" w:rightChars="0" w:hanging="240" w:hangingChars="100"/>
              <w:jc w:val="left"/>
              <w:textAlignment w:val="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val="0"/>
                <w:bCs w:val="0"/>
                <w:color w:val="auto"/>
                <w:kern w:val="10"/>
                <w:sz w:val="24"/>
                <w:szCs w:val="24"/>
                <w:highlight w:val="none"/>
                <w:lang w:val="en-US" w:eastAsia="zh-CN"/>
              </w:rPr>
              <w:t>2.当复检仲裁结果在该项指标规定再现性范围内的，以到货验收时检测结果（原检测结果）为结算依据，当复检仲裁结果超出该项指标规定再现性范围的，以复检仲裁结果为结算依据。</w:t>
            </w:r>
          </w:p>
        </w:tc>
      </w:tr>
    </w:tbl>
    <w:p w14:paraId="1BCF1A9F">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14:paraId="240218EE">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14:paraId="29A3A99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判定该批次石油焦不合格。</w:t>
      </w:r>
    </w:p>
    <w:p w14:paraId="5FE37655">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14:paraId="2EC8039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石油焦中出现焦泥、沥青、弹丸焦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及非石油焦物质，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14:paraId="39F2AB9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26198"/>
      <w:r>
        <w:rPr>
          <w:rFonts w:hint="eastAsia" w:ascii="宋体" w:hAnsi="宋体" w:eastAsia="宋体" w:cs="宋体"/>
          <w:b/>
          <w:bCs w:val="0"/>
          <w:kern w:val="10"/>
          <w:sz w:val="24"/>
          <w:lang w:val="en-US" w:eastAsia="zh-CN"/>
        </w:rPr>
        <w:t>1.5随行文件</w:t>
      </w:r>
      <w:bookmarkEnd w:id="8"/>
    </w:p>
    <w:p w14:paraId="428B94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每批到货石油焦应附有质量证明书等，应注明：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14:paraId="0101600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9" w:name="_Toc20013"/>
      <w:r>
        <w:rPr>
          <w:rFonts w:hint="eastAsia" w:ascii="宋体" w:hAnsi="宋体" w:eastAsia="宋体" w:cs="宋体"/>
          <w:b/>
          <w:bCs w:val="0"/>
          <w:kern w:val="10"/>
          <w:sz w:val="24"/>
          <w:lang w:val="en-US" w:eastAsia="zh-CN"/>
        </w:rPr>
        <w:t>1.6包装、运输和贮存</w:t>
      </w:r>
      <w:bookmarkEnd w:id="9"/>
    </w:p>
    <w:p w14:paraId="6EE027B4">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1.6.1石油焦发运时，车厢内应清扫干净。不同焦种的石油焦不应混装。</w:t>
      </w:r>
    </w:p>
    <w:p w14:paraId="068667D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1.6.2石油焦应分批堆放在清洁、干燥的仓库内，不应污染。</w:t>
      </w:r>
    </w:p>
    <w:p w14:paraId="2375ED2D">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1.6.3石油焦运输过程应做好防雨、防尘防护。</w:t>
      </w:r>
    </w:p>
    <w:p w14:paraId="7107A6E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10" w:name="_Toc735"/>
      <w:r>
        <w:rPr>
          <w:rFonts w:hint="eastAsia" w:ascii="宋体" w:hAnsi="宋体" w:eastAsia="宋体" w:cs="宋体"/>
          <w:b/>
          <w:bCs w:val="0"/>
          <w:color w:val="auto"/>
          <w:kern w:val="10"/>
          <w:sz w:val="24"/>
          <w:lang w:val="en-US" w:eastAsia="zh-CN"/>
        </w:rPr>
        <w:t>1.7扣款细则</w:t>
      </w:r>
      <w:bookmarkEnd w:id="10"/>
    </w:p>
    <w:p w14:paraId="1660DE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lang w:val="en-US" w:eastAsia="zh-CN"/>
        </w:rPr>
      </w:pPr>
      <w:r>
        <w:rPr>
          <w:rFonts w:hint="eastAsia" w:ascii="宋体" w:hAnsi="宋体" w:eastAsia="宋体" w:cs="Times New Roman"/>
          <w:b w:val="0"/>
          <w:bCs w:val="0"/>
          <w:kern w:val="10"/>
          <w:sz w:val="24"/>
          <w:lang w:val="en-US" w:eastAsia="zh-CN"/>
        </w:rPr>
        <w:t>当乙方供应的石油焦不合格时，如甲方同意接收使用的，按以下扣款细则进行扣款，否则进行退货处理。</w:t>
      </w:r>
    </w:p>
    <w:p w14:paraId="1C5776B5">
      <w:pPr>
        <w:keepNext w:val="0"/>
        <w:keepLines w:val="0"/>
        <w:pageBreakBefore w:val="0"/>
        <w:widowControl w:val="0"/>
        <w:kinsoku/>
        <w:wordWrap/>
        <w:overflowPunct/>
        <w:topLinePunct w:val="0"/>
        <w:autoSpaceDE/>
        <w:autoSpaceDN/>
        <w:bidi w:val="0"/>
        <w:adjustRightInd/>
        <w:snapToGrid/>
        <w:spacing w:line="500" w:lineRule="exact"/>
        <w:ind w:firstLine="3373" w:firstLineChars="1400"/>
        <w:textAlignment w:val="auto"/>
        <w:outlineLvl w:val="3"/>
        <w:rPr>
          <w:rFonts w:hint="eastAsia" w:ascii="宋体" w:hAnsi="宋体" w:eastAsia="黑体" w:cs="Times New Roman"/>
          <w:b/>
          <w:bCs/>
          <w:kern w:val="10"/>
          <w:sz w:val="24"/>
          <w:lang w:val="en-US" w:eastAsia="zh-CN"/>
        </w:rPr>
      </w:pPr>
      <w:r>
        <w:rPr>
          <w:rFonts w:hint="eastAsia" w:ascii="宋体" w:hAnsi="宋体" w:eastAsia="宋体" w:cs="宋体"/>
          <w:b/>
          <w:bCs/>
          <w:color w:val="auto"/>
          <w:kern w:val="10"/>
          <w:sz w:val="24"/>
          <w:szCs w:val="22"/>
          <w:lang w:val="en-US" w:eastAsia="zh-CN" w:bidi="ar-SA"/>
        </w:rPr>
        <w:t>表3：石油焦质量扣款细则</w:t>
      </w:r>
    </w:p>
    <w:tbl>
      <w:tblPr>
        <w:tblStyle w:val="15"/>
        <w:tblpPr w:leftFromText="180" w:rightFromText="180" w:vertAnchor="text" w:horzAnchor="page" w:tblpX="808" w:tblpY="297"/>
        <w:tblOverlap w:val="never"/>
        <w:tblW w:w="10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456"/>
        <w:gridCol w:w="1080"/>
        <w:gridCol w:w="1503"/>
        <w:gridCol w:w="1912"/>
        <w:gridCol w:w="1080"/>
        <w:gridCol w:w="2730"/>
      </w:tblGrid>
      <w:tr w14:paraId="642B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4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C817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210A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6D81">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E8B1">
            <w:pPr>
              <w:keepNext w:val="0"/>
              <w:keepLines w:val="0"/>
              <w:pageBreakBefore w:val="0"/>
              <w:widowControl/>
              <w:suppressLineNumbers w:val="0"/>
              <w:kinsoku/>
              <w:wordWrap/>
              <w:overflowPunct/>
              <w:topLinePunct w:val="0"/>
              <w:autoSpaceDE/>
              <w:autoSpaceDN/>
              <w:bidi w:val="0"/>
              <w:adjustRightInd/>
              <w:snapToGrid/>
              <w:spacing w:line="380" w:lineRule="exact"/>
              <w:ind w:left="0"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46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8E40">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3157">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扣款标准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0842">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E39">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扣款标准</w:t>
            </w:r>
          </w:p>
        </w:tc>
      </w:tr>
      <w:tr w14:paraId="0BF6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5" w:hRule="atLeast"/>
        </w:trPr>
        <w:tc>
          <w:tcPr>
            <w:tcW w:w="735" w:type="dxa"/>
            <w:tcBorders>
              <w:top w:val="single" w:color="000000" w:sz="4" w:space="0"/>
              <w:left w:val="single" w:color="000000" w:sz="4" w:space="0"/>
              <w:right w:val="single" w:color="000000" w:sz="4" w:space="0"/>
            </w:tcBorders>
            <w:shd w:val="clear" w:color="auto" w:fill="auto"/>
            <w:vAlign w:val="center"/>
          </w:tcPr>
          <w:p w14:paraId="67B8DAC8">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p w14:paraId="57283ED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56" w:type="dxa"/>
            <w:tcBorders>
              <w:top w:val="single" w:color="000000" w:sz="4" w:space="0"/>
              <w:left w:val="single" w:color="000000" w:sz="4" w:space="0"/>
              <w:right w:val="single" w:color="000000" w:sz="4" w:space="0"/>
            </w:tcBorders>
            <w:shd w:val="clear" w:color="auto" w:fill="auto"/>
            <w:noWrap/>
            <w:vAlign w:val="center"/>
          </w:tcPr>
          <w:p w14:paraId="5FB6EB53">
            <w:pPr>
              <w:keepNext w:val="0"/>
              <w:keepLines w:val="0"/>
              <w:pageBreakBefore w:val="0"/>
              <w:widowControl/>
              <w:suppressLineNumbers w:val="0"/>
              <w:shd w:val="clear" w:color="auto" w:fill="FFFFFF" w:themeFill="background1"/>
              <w:tabs>
                <w:tab w:val="left" w:pos="455"/>
              </w:tabs>
              <w:kinsoku/>
              <w:wordWrap/>
              <w:overflowPunct/>
              <w:topLinePunct w:val="0"/>
              <w:autoSpaceDE/>
              <w:autoSpaceDN/>
              <w:bidi w:val="0"/>
              <w:adjustRightInd/>
              <w:snapToGrid/>
              <w:spacing w:line="380" w:lineRule="exact"/>
              <w:ind w:left="0" w:firstLine="210" w:firstLineChars="100"/>
              <w:jc w:val="left"/>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硫含量%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CF5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00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000000" w:themeColor="text1"/>
                <w:sz w:val="21"/>
                <w:szCs w:val="21"/>
                <w:highlight w:val="none"/>
                <w:u w:val="none"/>
                <w:lang w:val="en-US" w:eastAsia="zh-CN"/>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F4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54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E7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14:paraId="66C0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D1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C3D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25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87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91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CF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0E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每超0.1，每吨扣单价的5%</w:t>
            </w:r>
          </w:p>
        </w:tc>
      </w:tr>
      <w:tr w14:paraId="4157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0D3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6A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1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AD4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auto"/>
                <w:sz w:val="21"/>
                <w:szCs w:val="21"/>
                <w:highlight w:val="none"/>
                <w:u w:val="none"/>
                <w:lang w:val="en-US" w:eastAsia="zh-CN"/>
              </w:rPr>
            </w:pPr>
            <w:r>
              <w:rPr>
                <w:rFonts w:hint="eastAsia"/>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F4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C45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8B8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sz w:val="21"/>
                <w:szCs w:val="21"/>
                <w:highlight w:val="none"/>
                <w:u w:val="none"/>
                <w:lang w:val="en-US" w:eastAsia="zh-CN"/>
              </w:rPr>
              <w:t>每超1，每吨扣单价的3%</w:t>
            </w:r>
          </w:p>
        </w:tc>
      </w:tr>
      <w:tr w14:paraId="1520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F57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90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8D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339">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D6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CAA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5A8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每超1，每吨扣单价的0.5%</w:t>
            </w:r>
          </w:p>
        </w:tc>
      </w:tr>
      <w:tr w14:paraId="4EFB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377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6F3160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37DAE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5C4A">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DA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EC1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3839">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cyan"/>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每超1，每吨扣单价的2%</w:t>
            </w:r>
          </w:p>
        </w:tc>
      </w:tr>
      <w:tr w14:paraId="557C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29" w:hRule="atLeast"/>
        </w:trPr>
        <w:tc>
          <w:tcPr>
            <w:tcW w:w="735" w:type="dxa"/>
            <w:tcBorders>
              <w:top w:val="single" w:color="000000" w:sz="4" w:space="0"/>
              <w:left w:val="single" w:color="000000" w:sz="4" w:space="0"/>
              <w:right w:val="single" w:color="auto" w:sz="4" w:space="0"/>
            </w:tcBorders>
            <w:shd w:val="clear" w:color="auto" w:fill="auto"/>
            <w:vAlign w:val="center"/>
          </w:tcPr>
          <w:p w14:paraId="3F4ABC0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6</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4C0F65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钒含量(ppm)</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390B4A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auto" w:sz="4" w:space="0"/>
              <w:bottom w:val="single" w:color="000000" w:sz="4" w:space="0"/>
              <w:right w:val="single" w:color="000000" w:sz="4" w:space="0"/>
            </w:tcBorders>
            <w:shd w:val="clear" w:color="auto" w:fill="auto"/>
            <w:vAlign w:val="center"/>
          </w:tcPr>
          <w:p w14:paraId="3E4EDF7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B9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23B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37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每超1，扣5元/吨</w:t>
            </w:r>
          </w:p>
        </w:tc>
      </w:tr>
      <w:tr w14:paraId="5F3A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DA48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4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B599F7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铁含量（ppm）</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EBC34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B23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31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0DA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F9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06AF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26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5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DC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14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36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55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39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26AA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AEA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828">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8A5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11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8A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98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D0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7F7D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867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97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EB83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4"/>
                <w:szCs w:val="24"/>
                <w:highlight w:val="none"/>
                <w:lang w:val="en-US" w:eastAsia="zh-CN"/>
              </w:rPr>
              <w:t>石油焦含有杂质、弹丸焦的，作退货处理，因退货对需方造成影响的，由供方承担相关责任，赔偿所造成的损失。</w:t>
            </w:r>
            <w:r>
              <w:rPr>
                <w:rFonts w:hint="eastAsia" w:ascii="宋体" w:hAnsi="宋体" w:eastAsia="宋体" w:cs="宋体"/>
                <w:b w:val="0"/>
                <w:bCs w:val="0"/>
                <w:i w:val="0"/>
                <w:iCs w:val="0"/>
                <w:color w:val="auto"/>
                <w:kern w:val="0"/>
                <w:sz w:val="21"/>
                <w:szCs w:val="21"/>
                <w:highlight w:val="none"/>
                <w:u w:val="none"/>
                <w:lang w:val="en-US" w:eastAsia="zh-CN" w:bidi="ar"/>
              </w:rPr>
              <w:tab/>
            </w:r>
            <w:r>
              <w:rPr>
                <w:rFonts w:hint="eastAsia" w:ascii="宋体" w:hAnsi="宋体" w:eastAsia="宋体" w:cs="宋体"/>
                <w:b w:val="0"/>
                <w:bCs w:val="0"/>
                <w:color w:val="auto"/>
                <w:kern w:val="10"/>
                <w:sz w:val="21"/>
                <w:szCs w:val="21"/>
                <w:highlight w:val="none"/>
                <w:lang w:val="en-US" w:eastAsia="zh-CN" w:bidi="ar-SA"/>
              </w:rPr>
              <w:tab/>
            </w:r>
          </w:p>
        </w:tc>
      </w:tr>
      <w:tr w14:paraId="2A65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9F6ABA">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630" w:hanging="720" w:hangingChars="3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w:t>
            </w:r>
            <w:r>
              <w:rPr>
                <w:rFonts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款</w:t>
            </w:r>
            <w:r>
              <w:rPr>
                <w:rFonts w:ascii="宋体" w:hAnsi="宋体" w:eastAsia="宋体" w:cs="宋体"/>
                <w:color w:val="auto"/>
                <w:sz w:val="24"/>
                <w:szCs w:val="24"/>
                <w:highlight w:val="none"/>
              </w:rPr>
              <w:t>只扣完该组批总</w:t>
            </w:r>
            <w:r>
              <w:rPr>
                <w:rFonts w:hint="eastAsia" w:ascii="宋体" w:hAnsi="宋体" w:eastAsia="宋体" w:cs="宋体"/>
                <w:color w:val="auto"/>
                <w:sz w:val="24"/>
                <w:szCs w:val="24"/>
                <w:highlight w:val="none"/>
                <w:lang w:eastAsia="zh-CN"/>
              </w:rPr>
              <w:t>金额</w:t>
            </w:r>
            <w:r>
              <w:rPr>
                <w:rFonts w:ascii="宋体" w:hAnsi="宋体" w:eastAsia="宋体" w:cs="宋体"/>
                <w:color w:val="auto"/>
                <w:sz w:val="24"/>
                <w:szCs w:val="24"/>
                <w:highlight w:val="none"/>
              </w:rPr>
              <w:t>为止，不延伸到扣减其它组批</w:t>
            </w:r>
            <w:r>
              <w:rPr>
                <w:rFonts w:hint="eastAsia" w:ascii="宋体" w:hAnsi="宋体" w:eastAsia="宋体" w:cs="宋体"/>
                <w:color w:val="auto"/>
                <w:sz w:val="24"/>
                <w:szCs w:val="24"/>
                <w:highlight w:val="none"/>
                <w:lang w:eastAsia="zh-CN"/>
              </w:rPr>
              <w:t>金额</w:t>
            </w:r>
            <w:r>
              <w:rPr>
                <w:rFonts w:ascii="宋体" w:hAnsi="宋体" w:eastAsia="宋体" w:cs="宋体"/>
                <w:color w:val="auto"/>
                <w:sz w:val="24"/>
                <w:szCs w:val="24"/>
                <w:highlight w:val="none"/>
              </w:rPr>
              <w:t>（即扣</w:t>
            </w:r>
            <w:r>
              <w:rPr>
                <w:rFonts w:hint="eastAsia" w:ascii="宋体" w:hAnsi="宋体" w:eastAsia="宋体" w:cs="宋体"/>
                <w:color w:val="auto"/>
                <w:sz w:val="24"/>
                <w:szCs w:val="24"/>
                <w:highlight w:val="none"/>
                <w:lang w:eastAsia="zh-CN"/>
              </w:rPr>
              <w:t>款</w:t>
            </w:r>
            <w:r>
              <w:rPr>
                <w:rFonts w:ascii="宋体" w:hAnsi="宋体" w:eastAsia="宋体" w:cs="宋体"/>
                <w:color w:val="auto"/>
                <w:sz w:val="24"/>
                <w:szCs w:val="24"/>
                <w:highlight w:val="none"/>
              </w:rPr>
              <w:t>不扣减到负数），但若为供方恶意掺杂使假的，通过专题会议评审后，按合同约定进行违约处</w:t>
            </w:r>
            <w:r>
              <w:rPr>
                <w:rFonts w:hint="eastAsia" w:ascii="宋体" w:hAnsi="宋体" w:eastAsia="宋体" w:cs="宋体"/>
                <w:color w:val="auto"/>
                <w:sz w:val="24"/>
                <w:szCs w:val="24"/>
                <w:highlight w:val="none"/>
                <w:lang w:val="en-US" w:eastAsia="zh-CN"/>
              </w:rPr>
              <w:t>罚</w:t>
            </w:r>
            <w:r>
              <w:rPr>
                <w:rFonts w:ascii="宋体" w:hAnsi="宋体" w:eastAsia="宋体" w:cs="宋体"/>
                <w:color w:val="auto"/>
                <w:sz w:val="24"/>
                <w:szCs w:val="24"/>
                <w:highlight w:val="none"/>
              </w:rPr>
              <w:t>。</w:t>
            </w:r>
          </w:p>
          <w:p w14:paraId="4E65CB1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719" w:leftChars="228" w:hanging="240" w:hangingChars="1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2.水分及粉焦量分段考核，其他考核项扣款不分段计算。</w:t>
            </w:r>
          </w:p>
          <w:p w14:paraId="4CDEF9B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719" w:leftChars="228" w:hanging="240" w:hangingChars="100"/>
              <w:jc w:val="left"/>
              <w:textAlignment w:val="center"/>
              <w:rPr>
                <w:rFonts w:hint="default"/>
                <w:color w:val="auto"/>
                <w:lang w:val="en-US" w:eastAsia="zh-CN"/>
              </w:rPr>
            </w:pPr>
            <w:r>
              <w:rPr>
                <w:rFonts w:hint="eastAsia" w:ascii="宋体" w:hAnsi="宋体" w:eastAsia="宋体" w:cs="宋体"/>
                <w:color w:val="auto"/>
                <w:sz w:val="24"/>
                <w:szCs w:val="24"/>
                <w:highlight w:val="none"/>
                <w:lang w:val="en-US" w:eastAsia="zh-CN"/>
              </w:rPr>
              <w:t>3.硫分及灰分：质检报告不足0.1时的按0.1计算；挥发分质检报告不足1的按1计算。</w:t>
            </w:r>
          </w:p>
        </w:tc>
      </w:tr>
    </w:tbl>
    <w:p w14:paraId="6A21AD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p>
    <w:p w14:paraId="1B6D3342">
      <w:pPr>
        <w:pStyle w:val="2"/>
        <w:rPr>
          <w:rFonts w:hint="eastAsia" w:ascii="宋体" w:hAnsi="宋体" w:eastAsia="宋体" w:cs="宋体"/>
          <w:b w:val="0"/>
          <w:bCs w:val="0"/>
          <w:color w:val="auto"/>
          <w:kern w:val="10"/>
          <w:sz w:val="24"/>
          <w:szCs w:val="22"/>
          <w:lang w:val="en-US" w:eastAsia="zh-CN" w:bidi="ar-SA"/>
        </w:rPr>
      </w:pPr>
    </w:p>
    <w:p w14:paraId="45C34A7D">
      <w:pPr>
        <w:pStyle w:val="4"/>
        <w:rPr>
          <w:rFonts w:hint="eastAsia" w:ascii="宋体" w:hAnsi="宋体" w:eastAsia="宋体" w:cs="宋体"/>
          <w:b w:val="0"/>
          <w:bCs w:val="0"/>
          <w:color w:val="auto"/>
          <w:kern w:val="10"/>
          <w:sz w:val="24"/>
          <w:szCs w:val="22"/>
          <w:lang w:val="en-US" w:eastAsia="zh-CN" w:bidi="ar-SA"/>
        </w:rPr>
      </w:pPr>
    </w:p>
    <w:p w14:paraId="4D2320C8">
      <w:pPr>
        <w:pStyle w:val="4"/>
        <w:rPr>
          <w:rFonts w:hint="eastAsia" w:ascii="宋体" w:hAnsi="宋体" w:eastAsia="宋体" w:cs="宋体"/>
          <w:b w:val="0"/>
          <w:bCs w:val="0"/>
          <w:color w:val="auto"/>
          <w:kern w:val="10"/>
          <w:sz w:val="24"/>
          <w:szCs w:val="22"/>
          <w:lang w:val="en-US" w:eastAsia="zh-CN" w:bidi="ar-SA"/>
        </w:rPr>
      </w:pPr>
    </w:p>
    <w:p w14:paraId="217A36CD">
      <w:pPr>
        <w:pStyle w:val="4"/>
        <w:rPr>
          <w:rFonts w:hint="eastAsia"/>
          <w:lang w:val="en-US" w:eastAsia="zh-CN"/>
        </w:rPr>
      </w:pPr>
    </w:p>
    <w:bookmarkEnd w:id="0"/>
    <w:tbl>
      <w:tblPr>
        <w:tblStyle w:val="15"/>
        <w:tblpPr w:leftFromText="180" w:rightFromText="180" w:vertAnchor="text" w:horzAnchor="page" w:tblpX="1326" w:tblpY="-293"/>
        <w:tblOverlap w:val="never"/>
        <w:tblW w:w="9739" w:type="dxa"/>
        <w:tblInd w:w="0" w:type="dxa"/>
        <w:tblLayout w:type="autofit"/>
        <w:tblCellMar>
          <w:top w:w="0" w:type="dxa"/>
          <w:left w:w="108" w:type="dxa"/>
          <w:bottom w:w="0" w:type="dxa"/>
          <w:right w:w="108" w:type="dxa"/>
        </w:tblCellMar>
      </w:tblPr>
      <w:tblGrid>
        <w:gridCol w:w="4664"/>
        <w:gridCol w:w="5075"/>
      </w:tblGrid>
      <w:tr w14:paraId="548453DB">
        <w:tblPrEx>
          <w:tblCellMar>
            <w:top w:w="0" w:type="dxa"/>
            <w:left w:w="108" w:type="dxa"/>
            <w:bottom w:w="0" w:type="dxa"/>
            <w:right w:w="108" w:type="dxa"/>
          </w:tblCellMar>
        </w:tblPrEx>
        <w:trPr>
          <w:trHeight w:val="5405" w:hRule="atLeast"/>
        </w:trPr>
        <w:tc>
          <w:tcPr>
            <w:tcW w:w="4664" w:type="dxa"/>
            <w:tcBorders>
              <w:top w:val="single" w:color="auto" w:sz="4" w:space="0"/>
              <w:left w:val="single" w:color="auto" w:sz="4" w:space="0"/>
              <w:bottom w:val="single" w:color="auto" w:sz="4" w:space="0"/>
              <w:right w:val="single" w:color="auto" w:sz="4" w:space="0"/>
            </w:tcBorders>
            <w:shd w:val="clear" w:color="auto" w:fill="auto"/>
          </w:tcPr>
          <w:p w14:paraId="1ED5C6E5">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p>
          <w:p w14:paraId="73B9F031">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法定代表人或授权代表人：</w:t>
            </w:r>
          </w:p>
          <w:p w14:paraId="06ADC074">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电 话：</w:t>
            </w:r>
          </w:p>
          <w:p w14:paraId="11015543">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开户行：</w:t>
            </w:r>
          </w:p>
          <w:p w14:paraId="38DCCC1E">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 xml:space="preserve">账 号： </w:t>
            </w:r>
          </w:p>
          <w:p w14:paraId="1AE60B82">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税 号：</w:t>
            </w:r>
          </w:p>
          <w:p w14:paraId="4248CB1F">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地 址：</w:t>
            </w:r>
          </w:p>
          <w:p w14:paraId="2A8A762E">
            <w:pPr>
              <w:spacing w:before="156" w:beforeLines="50" w:after="156" w:afterLines="50" w:line="360" w:lineRule="auto"/>
              <w:rPr>
                <w:rFonts w:hint="eastAsia" w:ascii="宋体" w:hAnsi="宋体" w:eastAsia="宋体" w:cs="宋体"/>
                <w:sz w:val="24"/>
              </w:rPr>
            </w:pPr>
            <w:r>
              <w:rPr>
                <w:rFonts w:hint="eastAsia" w:ascii="宋体" w:hAnsi="宋体" w:eastAsia="宋体" w:cs="宋体"/>
                <w:color w:val="auto"/>
                <w:sz w:val="24"/>
              </w:rPr>
              <w:t>邮政编码：</w:t>
            </w:r>
          </w:p>
          <w:p w14:paraId="1BE63018">
            <w:pPr>
              <w:spacing w:before="145" w:beforeLines="50" w:after="145" w:afterLines="50" w:line="440" w:lineRule="exact"/>
              <w:rPr>
                <w:rFonts w:ascii="宋体" w:hAnsi="宋体" w:eastAsia="宋体"/>
                <w:sz w:val="24"/>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c>
          <w:tcPr>
            <w:tcW w:w="5075" w:type="dxa"/>
            <w:tcBorders>
              <w:top w:val="single" w:color="auto" w:sz="4" w:space="0"/>
              <w:left w:val="single" w:color="auto" w:sz="4" w:space="0"/>
              <w:bottom w:val="single" w:color="auto" w:sz="4" w:space="0"/>
              <w:right w:val="single" w:color="auto" w:sz="4" w:space="0"/>
            </w:tcBorders>
            <w:shd w:val="clear" w:color="auto" w:fill="auto"/>
          </w:tcPr>
          <w:p w14:paraId="2AD21BF1">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乙方：</w:t>
            </w:r>
          </w:p>
          <w:p w14:paraId="1B37B95A">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法定代表人或授权代表人：</w:t>
            </w:r>
          </w:p>
          <w:p w14:paraId="0CEF9B1A">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电 话：</w:t>
            </w:r>
          </w:p>
          <w:p w14:paraId="5499B05A">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开户行：</w:t>
            </w:r>
          </w:p>
          <w:p w14:paraId="2CBDB7E0">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账 号：</w:t>
            </w:r>
          </w:p>
          <w:p w14:paraId="6D2CAAD9">
            <w:pPr>
              <w:spacing w:before="156" w:beforeLines="50" w:after="156" w:afterLines="50"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税 号</w:t>
            </w:r>
            <w:r>
              <w:rPr>
                <w:rFonts w:hint="eastAsia" w:ascii="宋体" w:hAnsi="宋体" w:eastAsia="宋体" w:cs="宋体"/>
                <w:color w:val="auto"/>
                <w:sz w:val="24"/>
                <w:lang w:eastAsia="zh-CN"/>
              </w:rPr>
              <w:t>：</w:t>
            </w:r>
          </w:p>
          <w:p w14:paraId="0461E681">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地 址： </w:t>
            </w:r>
          </w:p>
          <w:p w14:paraId="01519972">
            <w:pPr>
              <w:spacing w:before="156" w:beforeLines="50" w:after="156" w:afterLines="50" w:line="360" w:lineRule="auto"/>
              <w:rPr>
                <w:rFonts w:hint="eastAsia" w:ascii="宋体" w:hAnsi="宋体" w:eastAsia="宋体" w:cs="宋体"/>
                <w:sz w:val="24"/>
              </w:rPr>
            </w:pPr>
            <w:r>
              <w:rPr>
                <w:rFonts w:hint="eastAsia" w:ascii="宋体" w:hAnsi="宋体" w:eastAsia="宋体" w:cs="宋体"/>
                <w:color w:val="auto"/>
                <w:sz w:val="24"/>
              </w:rPr>
              <w:t>邮政编码：</w:t>
            </w:r>
          </w:p>
          <w:p w14:paraId="462555F3">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14:paraId="2C9FBE55">
      <w:pPr>
        <w:pStyle w:val="4"/>
        <w:rPr>
          <w:rFonts w:hint="default"/>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EE5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1C7D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01C7D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72A9">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62E67">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062E67">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DD98"/>
  <w:p w14:paraId="318F4445"/>
  <w:p w14:paraId="499BA43C"/>
  <w:p w14:paraId="3D4780B1">
    <w:r>
      <w:pict>
        <v:shape id="_x0000_s4099" o:spid="_x0000_s4099" o:spt="75"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14:paraId="2C52DD67">
    <w:r>
      <w:pict>
        <v:shape id="_x0000_s4100" o:spid="_x0000_s4100"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7588792C">
    <w:r>
      <w:pict>
        <v:shape id="_x0000_s4101" o:spid="_x0000_s4101"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5FAD"/>
  <w:p w14:paraId="09DB6998"/>
  <w:p w14:paraId="09589C5D"/>
  <w:p w14:paraId="7B223C83"/>
  <w:p w14:paraId="00D99A7A">
    <w:r>
      <w:pict>
        <v:shape id="_x0000_s4102" o:spid="_x0000_s4102"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14:paraId="1496D597">
    <w:r>
      <w:pict>
        <v:shape id="_x0000_s4103" o:spid="_x0000_s4103"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18A46"/>
  <w:p w14:paraId="4E30F88A"/>
  <w:p w14:paraId="6A54CFEC"/>
  <w:p w14:paraId="0CD4FB2B">
    <w:r>
      <w:pict>
        <v:shape id="_x0000_s4097" o:spid="_x0000_s4097" o:spt="75"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14:paraId="05D5E27A"/>
  <w:p w14:paraId="74A58F74">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882B">
    <w:pPr>
      <w:pStyle w:val="9"/>
      <w:pBdr>
        <w:bottom w:val="none" w:color="auto" w:sz="0" w:space="1"/>
      </w:pBdr>
      <w:jc w:val="left"/>
      <w:rPr>
        <w:rFonts w:ascii="黑体" w:hAnsi="黑体" w:eastAsia="黑体" w:cs="黑体"/>
        <w:sz w:val="21"/>
        <w:szCs w:val="21"/>
      </w:rPr>
    </w:pPr>
  </w:p>
  <w:p w14:paraId="06686CC3"/>
  <w:p w14:paraId="0D920DA6"/>
  <w:p w14:paraId="3A97409C"/>
  <w:p w14:paraId="62AC136D">
    <w:r>
      <w:pict>
        <v:shape id="_x0000_s4107" o:spid="_x0000_s4107" o:spt="75"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p>
  <w:p w14:paraId="01B2C72D">
    <w:r>
      <w:pict>
        <v:shape id="_x0000_s4108" o:spid="_x0000_s4108"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p>
  <w:p w14:paraId="22A7E4CE">
    <w:r>
      <w:pict>
        <v:shape id="_x0000_s4109" o:spid="_x0000_s4109"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43A2"/>
  <w:p w14:paraId="33A27D0B"/>
  <w:p w14:paraId="370D0BDB"/>
  <w:p w14:paraId="609F4754">
    <w:r>
      <w:pict>
        <v:shape id="_x0000_s4110" o:spid="_x0000_s4110" o:spt="75"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14:paraId="39093B6F">
    <w:r>
      <w:pict>
        <v:shape id="_x0000_s4111" o:spid="_x0000_s4111"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14:paraId="412E32F0">
    <w:r>
      <w:pict>
        <v:shape id="_x0000_s4112" o:spid="_x0000_s4112"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5E5E"/>
  <w:p w14:paraId="0C438F22"/>
  <w:p w14:paraId="3FA18D83"/>
  <w:p w14:paraId="2CF3B117">
    <w:r>
      <w:pict>
        <v:shape id="_x0000_s4104" o:spid="_x0000_s4104" o:spt="75"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14:paraId="2BBB715A">
    <w:r>
      <w:pict>
        <v:shape id="_x0000_s4105" o:spid="_x0000_s4105"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14:paraId="1B0F4162">
    <w:r>
      <w:pict>
        <v:shape id="_x0000_s4106" o:spid="_x0000_s4106"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formatting="1"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ZDcxMzc4ZDYzOTczMzYzNTY5NTcwOGM2ZDhlOGEifQ=="/>
  </w:docVars>
  <w:rsids>
    <w:rsidRoot w:val="50DF45EC"/>
    <w:rsid w:val="00BB65B1"/>
    <w:rsid w:val="01573937"/>
    <w:rsid w:val="02E5725D"/>
    <w:rsid w:val="033E3E9F"/>
    <w:rsid w:val="04500C47"/>
    <w:rsid w:val="04891E6A"/>
    <w:rsid w:val="05746E39"/>
    <w:rsid w:val="067803E8"/>
    <w:rsid w:val="0A1F4810"/>
    <w:rsid w:val="0B6F1819"/>
    <w:rsid w:val="0C811D4C"/>
    <w:rsid w:val="0D3A6AC1"/>
    <w:rsid w:val="0DC82B7A"/>
    <w:rsid w:val="0DCA305D"/>
    <w:rsid w:val="0DCE6EF3"/>
    <w:rsid w:val="0E611D41"/>
    <w:rsid w:val="0E947D89"/>
    <w:rsid w:val="118A47C7"/>
    <w:rsid w:val="11AB3CD8"/>
    <w:rsid w:val="12541D09"/>
    <w:rsid w:val="13047A3D"/>
    <w:rsid w:val="13426006"/>
    <w:rsid w:val="141D25CF"/>
    <w:rsid w:val="17114D0A"/>
    <w:rsid w:val="18CE20EA"/>
    <w:rsid w:val="19D35C0A"/>
    <w:rsid w:val="1C7F34F4"/>
    <w:rsid w:val="1CA23671"/>
    <w:rsid w:val="1D9F386C"/>
    <w:rsid w:val="1EE839A2"/>
    <w:rsid w:val="20627962"/>
    <w:rsid w:val="20CE712B"/>
    <w:rsid w:val="21752023"/>
    <w:rsid w:val="22196184"/>
    <w:rsid w:val="24A75B2E"/>
    <w:rsid w:val="26AF355A"/>
    <w:rsid w:val="297D6DAB"/>
    <w:rsid w:val="29BD73DA"/>
    <w:rsid w:val="2A4346E5"/>
    <w:rsid w:val="2AE00186"/>
    <w:rsid w:val="2CA90A4C"/>
    <w:rsid w:val="2E3E5A51"/>
    <w:rsid w:val="2E580034"/>
    <w:rsid w:val="2F7964B4"/>
    <w:rsid w:val="2FD80E15"/>
    <w:rsid w:val="30B31893"/>
    <w:rsid w:val="31521E25"/>
    <w:rsid w:val="321179F6"/>
    <w:rsid w:val="36767BF1"/>
    <w:rsid w:val="37904CE2"/>
    <w:rsid w:val="37E868CC"/>
    <w:rsid w:val="39954F5E"/>
    <w:rsid w:val="39A13D28"/>
    <w:rsid w:val="3B0F5F1E"/>
    <w:rsid w:val="3B1C37C3"/>
    <w:rsid w:val="3B245E6D"/>
    <w:rsid w:val="3B660FAA"/>
    <w:rsid w:val="3B681B73"/>
    <w:rsid w:val="3BBE3495"/>
    <w:rsid w:val="3CDB5F88"/>
    <w:rsid w:val="4105229D"/>
    <w:rsid w:val="442C18EF"/>
    <w:rsid w:val="44C63AF1"/>
    <w:rsid w:val="45662D6A"/>
    <w:rsid w:val="457479F1"/>
    <w:rsid w:val="470A109D"/>
    <w:rsid w:val="4871646A"/>
    <w:rsid w:val="48C90054"/>
    <w:rsid w:val="4BEA22B9"/>
    <w:rsid w:val="4BEC1ED7"/>
    <w:rsid w:val="4D6C7200"/>
    <w:rsid w:val="4E9133C2"/>
    <w:rsid w:val="4EAB466C"/>
    <w:rsid w:val="4EC35A36"/>
    <w:rsid w:val="50DF45EC"/>
    <w:rsid w:val="53D04847"/>
    <w:rsid w:val="55947CC8"/>
    <w:rsid w:val="55AB702A"/>
    <w:rsid w:val="57415259"/>
    <w:rsid w:val="57A5670F"/>
    <w:rsid w:val="58FA6008"/>
    <w:rsid w:val="5923730C"/>
    <w:rsid w:val="59BB12F3"/>
    <w:rsid w:val="5BB22BCA"/>
    <w:rsid w:val="5BE32E61"/>
    <w:rsid w:val="5D526FF7"/>
    <w:rsid w:val="5F1A2F60"/>
    <w:rsid w:val="6105554A"/>
    <w:rsid w:val="61D90EB0"/>
    <w:rsid w:val="61DD7B6E"/>
    <w:rsid w:val="6223212B"/>
    <w:rsid w:val="64A357A5"/>
    <w:rsid w:val="64C90877"/>
    <w:rsid w:val="66E73D5E"/>
    <w:rsid w:val="674934C0"/>
    <w:rsid w:val="675A2DDC"/>
    <w:rsid w:val="68637725"/>
    <w:rsid w:val="6A2D7FEB"/>
    <w:rsid w:val="6B380A50"/>
    <w:rsid w:val="6BA82277"/>
    <w:rsid w:val="6CD04C5E"/>
    <w:rsid w:val="6F2A6F6F"/>
    <w:rsid w:val="6F4C29A7"/>
    <w:rsid w:val="6F881820"/>
    <w:rsid w:val="70412B49"/>
    <w:rsid w:val="70BB10E8"/>
    <w:rsid w:val="743E1047"/>
    <w:rsid w:val="74913594"/>
    <w:rsid w:val="7544443B"/>
    <w:rsid w:val="757466E0"/>
    <w:rsid w:val="75F419BD"/>
    <w:rsid w:val="7608190C"/>
    <w:rsid w:val="76910A96"/>
    <w:rsid w:val="76CB3A77"/>
    <w:rsid w:val="77FE2FC7"/>
    <w:rsid w:val="79BB0942"/>
    <w:rsid w:val="79FF4DD4"/>
    <w:rsid w:val="7ADD070B"/>
    <w:rsid w:val="7BFA5853"/>
    <w:rsid w:val="7D5B4A17"/>
    <w:rsid w:val="7DFC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eastAsia="仿宋" w:cs="Times New Roman"/>
    </w:rPr>
  </w:style>
  <w:style w:type="paragraph" w:styleId="13">
    <w:name w:val="Normal (Web)"/>
    <w:basedOn w:val="1"/>
    <w:unhideWhenUsed/>
    <w:qFormat/>
    <w:uiPriority w:val="99"/>
    <w:rPr>
      <w:sz w:val="24"/>
    </w:rPr>
  </w:style>
  <w:style w:type="paragraph" w:styleId="14">
    <w:name w:val="Title"/>
    <w:basedOn w:val="1"/>
    <w:qFormat/>
    <w:uiPriority w:val="10"/>
    <w:pPr>
      <w:spacing w:before="240" w:after="60"/>
      <w:jc w:val="center"/>
      <w:outlineLvl w:val="0"/>
    </w:pPr>
    <w:rPr>
      <w:rFonts w:ascii="Arial" w:hAnsi="Arial"/>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 A"/>
    <w:basedOn w:val="1"/>
    <w:qFormat/>
    <w:uiPriority w:val="0"/>
    <w:rPr>
      <w:rFonts w:eastAsia="Arial Unicode MS" w:cs="Arial Unicode MS"/>
      <w:color w:val="000000"/>
      <w:szCs w:val="21"/>
    </w:rPr>
  </w:style>
  <w:style w:type="paragraph" w:customStyle="1" w:styleId="19">
    <w:name w:val="样式1"/>
    <w:basedOn w:val="1"/>
    <w:qFormat/>
    <w:uiPriority w:val="0"/>
    <w:rPr>
      <w:b/>
      <w:color w:val="538135"/>
      <w:sz w:val="28"/>
    </w:rPr>
  </w:style>
  <w:style w:type="character" w:customStyle="1" w:styleId="20">
    <w:name w:val="标题 1 Char"/>
    <w:link w:val="5"/>
    <w:qFormat/>
    <w:uiPriority w:val="0"/>
    <w:rPr>
      <w:b/>
      <w:kern w:val="44"/>
      <w:sz w:val="44"/>
    </w:rPr>
  </w:style>
  <w:style w:type="paragraph" w:styleId="21">
    <w:name w:val="List Paragraph"/>
    <w:basedOn w:val="1"/>
    <w:qFormat/>
    <w:uiPriority w:val="1"/>
    <w:pPr>
      <w:ind w:left="1068" w:hanging="408"/>
    </w:pPr>
    <w:rPr>
      <w:rFonts w:ascii="宋体" w:hAnsi="宋体" w:eastAsia="宋体" w:cs="宋体"/>
    </w:rPr>
  </w:style>
  <w:style w:type="character" w:customStyle="1" w:styleId="22">
    <w:name w:val="font01"/>
    <w:basedOn w:val="1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100"/>
    <customShpInfo spid="_x0000_s4101"/>
    <customShpInfo spid="_x0000_s4102"/>
    <customShpInfo spid="_x0000_s4103"/>
    <customShpInfo spid="_x0000_s4097"/>
    <customShpInfo spid="_x0000_s4098"/>
    <customShpInfo spid="_x0000_s1026" textRotate="1"/>
    <customShpInfo spid="_x0000_s4107"/>
    <customShpInfo spid="_x0000_s4108"/>
    <customShpInfo spid="_x0000_s4109"/>
    <customShpInfo spid="_x0000_s4110"/>
    <customShpInfo spid="_x0000_s4111"/>
    <customShpInfo spid="_x0000_s4112"/>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10198</Words>
  <Characters>11079</Characters>
  <Lines>0</Lines>
  <Paragraphs>0</Paragraphs>
  <TotalTime>0</TotalTime>
  <ScaleCrop>false</ScaleCrop>
  <LinksUpToDate>false</LinksUpToDate>
  <CharactersWithSpaces>11212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彭素华</cp:lastModifiedBy>
  <cp:lastPrinted>2025-03-03T06:43:00Z</cp:lastPrinted>
  <dcterms:modified xsi:type="dcterms:W3CDTF">2025-09-25T07:35:35Z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DE1B6823E7014420889138C7FDD39B45_13</vt:lpwstr>
  </property>
  <property fmtid="{D5CDD505-2E9C-101B-9397-08002B2CF9AE}" pid="3" name="KSOProductBuildVer">
    <vt:lpwstr>2052-12.1.0.21915</vt:lpwstr>
  </property>
  <property fmtid="{D5CDD505-2E9C-101B-9397-08002B2CF9AE}" pid="4" name="EagleCloud">
    <vt:lpwstr>61676334b4e8422151e43967553014381f5e06876ebe2bbce66cedec39aecaac7d38f4a188ee032ed1e8ff2b0bf1df312528b176239201ee7bb42d7e37365bb97981cb6029295712c817adac33a3f2d4b0cabb2a49ea1dc0f6fefd90646216cad4345b59d1cada21190c019e082c0e5437787c87066fd0c65d93167e1161fa9</vt:lpwstr>
  </property>
  <property fmtid="{D5CDD505-2E9C-101B-9397-08002B2CF9AE}" pid="5" name="EagleCloud1">
    <vt:lpwstr>62668db91c1b440c9592c29399dc6bbbff59bcbab3b7a4ccd221b2bfb3d87112f7f072c2fe95102c4b2380415f2ac57da4c8ee267b8c253f0612ef003f4dc131fbed285a0187f09bfe44a8f70e128cbfb0dc8aaa42089648d63fcde9e2638abfd7ceb22f5704e7c1f2ad75253bb975beb7cdb364b4915021746e6845aca8e20</vt:lpwstr>
  </property>
  <property fmtid="{D5CDD505-2E9C-101B-9397-08002B2CF9AE}" pid="6" name="EagleCloud2">
    <vt:lpwstr>053e0b059fe66a41c4509345e63de103ff5daf464e7bca13f094f8d1d813b29ed78fbd8df37601740f0f3b9b9ab666edd13bff1ea64433a0aed6f01ce50651eb1e9bd5f3db45e7ea7648ee3265a777dd7dcd31af71183f1b085b984eb60576a69cb3eef103443bb28d5bd46e3321af3fb1c6f0813c9c72ae59de3b40fc0f595</vt:lpwstr>
  </property>
  <property fmtid="{D5CDD505-2E9C-101B-9397-08002B2CF9AE}" pid="7" name="EagleCloud3">
    <vt:lpwstr>cdbff496e19c8255bbefcb52988338d79991b097c9363cf0371c1a997258ee5200b3c7d68e170e78bf5d9ffd134a614ff57985f0870483518018d08771bc77262ebf1e6e6a5be665d2df17606d794e81af2493d9af92bb88b05cc81a764d681c0fb50f6cd6f4dfc6b280efecd07218b70bfca69ac9bf0fde4cc1c20889f548d</vt:lpwstr>
  </property>
  <property fmtid="{D5CDD505-2E9C-101B-9397-08002B2CF9AE}" pid="8" name="EagleCloud4">
    <vt:lpwstr>69387c5665744c95bc84c6b9d887516312c5af0f549a9b6381518f1c8b2dec970e009bd5f3db45e7ea7648ee3265a777dd7dcd31af71183f1b085b984eb60576a69cb3eef103443bb28d5bd46e3321af3fb191f234b590988e07134cf577297343d2b05bf8e9b9ac4af381644ca3f58529df60036c85ad3877b65eb7c4d80cd</vt:lpwstr>
  </property>
  <property fmtid="{D5CDD505-2E9C-101B-9397-08002B2CF9AE}" pid="9" name="EagleCloud5">
    <vt:lpwstr>04379361f0e34a11f4372681b06fc9a8812176d23cca156b30cf7e8be61c75dc84c1f45cf47a227a5061e0b7b1c83b30efc2c7353f50216aa0a5c7bccfd4449ca01fcaa392fc9087b8651f9676691039edca55bba44d85cc48e278eba9a29fe169d20477e36d2b58bbec5f40d55465963cddb2084a8c69d57c3f640ed5d51c7</vt:lpwstr>
  </property>
  <property fmtid="{D5CDD505-2E9C-101B-9397-08002B2CF9AE}" pid="10" name="EagleCloud6">
    <vt:lpwstr>b3fb0d1b94746bf0c43daf039033d97131b9f7561a353bc1e5ae3eace3c5cc4bc744d539eb6d281cc5a548ddebdaeca0f9328af79e23446a3418e4cb1e768bc466297f3f6c4878431f93f91116b2ddba8b712248824964d7e7d6e48b7e1d01b13bf45116b6a56476b6097b9dcf4f9266cad5ede8ab372a84929b77594e3886c</vt:lpwstr>
  </property>
  <property fmtid="{D5CDD505-2E9C-101B-9397-08002B2CF9AE}" pid="11" name="EagleCloud7">
    <vt:lpwstr>b7004508651a655f6786d404c16662a8e119b35aa392fc9087b8651f9676691039edca5def129b4eb30a0884320a8d59ce46db0080ad439b3870296863115ebb51c3071621cebc3bf00e95ced970517c452425a9798245c2caaad1249fb17d62b3c3b858b1933359b6ff4794e181ba3750d2861b665ee4850031fbacea7acb5</vt:lpwstr>
  </property>
  <property fmtid="{D5CDD505-2E9C-101B-9397-08002B2CF9AE}" pid="12" name="EagleCloud8">
    <vt:lpwstr>61b594b18ec67f9be35a85c3e9c5308d2ff40fd022ed5ce8b41a41fa43121d3499cade047e73486c32a9c354cd74f7cdd58c62a86779fce777db5422e19f34fc5bd276747140aef06cd5be1c134151983520e25da8e72a0649415d91c29bdad354808b1d15f142872c0f2aec96a6aab709864f29d43f14ac96a2725b7c29d0d</vt:lpwstr>
  </property>
  <property fmtid="{D5CDD505-2E9C-101B-9397-08002B2CF9AE}" pid="13" name="EagleCloud9">
    <vt:lpwstr>7507cda4f057dd8a302dabec674b378a4e51751f8304cc752a5cb6908265acca5e758355fb121e228e2e2954c59ddc558bd1e57805c7b92476498848e0c772cc49eac00dcbe6df5293ce7a17c7e28b9b2e478133b8665e4ff7f66875a5a811f442be7cb5370d0ed574fb7beef64046a595afc30bf59c0aeb9f694de7a90de2f</vt:lpwstr>
  </property>
  <property fmtid="{D5CDD505-2E9C-101B-9397-08002B2CF9AE}" pid="14" name="EagleCloud10">
    <vt:lpwstr>8db05717b949ec058a47d2d89fc8e47dbc93b1c0b3444e67178a3f2ad05dc76c17fab5dcb28463ecbcc1377fb375dd3b298491d313eb35d2755e57d326516c0c3182f26450363b8a14d7668d3d28e699c920a4af3ed57eb5c51518d15ed2107533fe5b21e1057dd8a302dabec674b378a4e51751f8304cc752a5cb6908265ac</vt:lpwstr>
  </property>
  <property fmtid="{D5CDD505-2E9C-101B-9397-08002B2CF9AE}" pid="15" name="EagleCloud11">
    <vt:lpwstr>ca5e758355fb121e228e2e2954c59ddc558bd1e5780403caca74ab9711282f61e7db6cdc76dd50f1ae3c486d00aa9684fd26b9caba7a29069c3c395f12a9814b4aff9f52b63f195d67ab91294735f55d4530ae7e24eed8e7eb3a34113cae1bc1ac9756b2f1c6e547a5d073e2041a7fe9e7de48cba89b0cabb2a49ea1dc0f6fe</vt:lpwstr>
  </property>
  <property fmtid="{D5CDD505-2E9C-101B-9397-08002B2CF9AE}" pid="16" name="EagleCloud12">
    <vt:lpwstr>fd90646216cad4345b59d1cada21190c019e082c0e54b6fa61e76904c7e3472bf1fabcfddf4d81cf4c9b76de1b2c912977b7d4196f05e9ac0afdcd1028abf68d0176bbb810d8cfaa9b6c7f0c404cd6fdd76dd855580a7ec4a1f482576da83e1cbbaadbb073b319e1d7413cc85e0d809baacd8d9b464a61676334b4e8422151e</vt:lpwstr>
  </property>
  <property fmtid="{D5CDD505-2E9C-101B-9397-08002B2CF9AE}" pid="17" name="EagleCloud13">
    <vt:lpwstr>43967553014381f5e06876ebe2bbce66cedec39aecaace13a7a50d2e78fc24905f2d51543115795a9cce22c76fd372cd3f9f52b71e05d7981cb6029295712c817adac33a3f2d4b0cabb2a49ea1dc0f6fefd90646216cad4345b59d1cada21190c019e082c0e5437787c87066fd0c65d93167e1161fa962668db91c1b440c959</vt:lpwstr>
  </property>
  <property fmtid="{D5CDD505-2E9C-101B-9397-08002B2CF9AE}" pid="18" name="EagleCloud14">
    <vt:lpwstr>2c29399dc6bbbff59bcbab3b7a4ccd221b2bfb3d87112f7f072c2fe95102c4b2380415f2ac57da4c8ee267b8c253f0612ef003f4dc131fbed285a0187f09bfe44a8f70e128cbfb0dc8aaa42089648d63fcde9e2638abfd7ceb22f5704e7c1f2ad75253bb975beb7cdb364b4915021746e6845aca8e200537b4d3406bfae612b</vt:lpwstr>
  </property>
  <property fmtid="{D5CDD505-2E9C-101B-9397-08002B2CF9AE}" pid="19" name="EagleCloud15">
    <vt:lpwstr>e9538707ba3e70fe056b321aafea4380ddccc6f514010ab8fbd8df37601740f0f3b9b9ab666edd13bff1ea64433a0aed6f01ce50651eb1e9bd5f3db45e7ea7648ee3265a777dd7dcd31af71183f1b085b984eb60576a69cb3eef103443bb28d5bd46e3321af3fb1c6f0813c9c72ae59de3b40fc0f595cdbff496e19c8255bbe</vt:lpwstr>
  </property>
  <property fmtid="{D5CDD505-2E9C-101B-9397-08002B2CF9AE}" pid="20" name="EagleCloud16">
    <vt:lpwstr>fcb52988338d79991b097c9363cf0371c1a997258ee5200b3c7d68e170e78bf5d9ffd134a614ff57985f0870483518018d08771bc77262ebeb0b14f5d162f637bb7563d1ffce06b5ecf168520c3c926409bbc0fd2958648650f6cd6f4dfc6b280efecd07218b70bfca69ac9bf0fde4cc1c20889f548d69387c5665744c95bc8</vt:lpwstr>
  </property>
  <property fmtid="{D5CDD505-2E9C-101B-9397-08002B2CF9AE}" pid="21" name="EagleCloud17">
    <vt:lpwstr>4c6b9d887516312c5af0f549a9b6381518f1c8b2dec970e009bd5f3db45e7ea7648ee3265a777dd7dcd31af71183f1b085b984eb60576a69cb3eef103443bb28d5bd46e3321af3fb191f234b590988e07134cf577297343d2b05bf8e9b9ac4af381644ca3f58529df60036c85ad3877b65eb7c4d80cd04379361f0e34a11f43</vt:lpwstr>
  </property>
  <property fmtid="{D5CDD505-2E9C-101B-9397-08002B2CF9AE}" pid="22" name="EagleCloud18">
    <vt:lpwstr>72681b06fc9a8812176d23cca156b30cf7e8be61c75dc84c1f45cf47a227a5061e0b7b1c83b30efc2c7353f50216aa0a5c7bccfd4449ca01fcaa392fc9087b8651f9676691039edca55bba44d85cc48e278eba9a29fe169d20477e36d2b58bbec5f40d55465963cddb2084a8c69d57c3f640ed5d51c7b3fb0d1b94746bf0c43</vt:lpwstr>
  </property>
  <property fmtid="{D5CDD505-2E9C-101B-9397-08002B2CF9AE}" pid="23" name="EagleCloud19">
    <vt:lpwstr>daf039033d97131b9f7561a353bc1e5ae3eace3c5cc4bc744d539eb6d281cc5a548ddebdaeca0f9328af79e23446a3418e4cb1e768bc466297f3f6c4878431f93f91116b2ddba8b712248824964d7e7d6e48b7e1d01b13bf4515cbeaec0864f2da563c3491c148f868c54eb2db9cd2a8448ff571b698b6117ee37f4122d7b30</vt:lpwstr>
  </property>
  <property fmtid="{D5CDD505-2E9C-101B-9397-08002B2CF9AE}" pid="24" name="EagleCloud20">
    <vt:lpwstr>e399a6a01b235580858b89bdfee7f11263420d8764e3b4d28cf766fc4dfe1a5dff16d785749ed1924bf3b816ccedfab5d0aa8c22fb4230ca71ea92b27fccbe65cd9458abe9c5c3aa398993bf5eb309127fe74a1583814bf63ebd534240357677320bccbdc4535754328b30412c98e8fec3f1876450173c2f035d2da413819ab</vt:lpwstr>
  </property>
  <property fmtid="{D5CDD505-2E9C-101B-9397-08002B2CF9AE}" pid="25" name="EagleCloud21">
    <vt:lpwstr>41fd722aaa594facb89ef2a26ae37cdbd44ab980306b0650129af8bdf54be3a5cd38f8498747de18370394c55aa3553e9f97aa462b5a4e172062000c78fa0e81063fddeffb5b42e5553c0140e56ba7bfafd7b155d6dc583272e146a0f15326ab20cb5d93f90186ae030dae4ff58982197f8bff2ca8af0c6bb91bda3e0b0b724</vt:lpwstr>
  </property>
  <property fmtid="{D5CDD505-2E9C-101B-9397-08002B2CF9AE}" pid="26" name="EagleCloud22">
    <vt:lpwstr>bc62d125503e8bd1a7dfad3a26abbcec9f3bea9704f59516e477b57d48be117e071bb59d3427c38c47f5d9de3a14e2e21444d70fc9d1dc289f81822b85b6622ae1a2c68cbf08d52c0871825a2d6ba87fe9bf4f9eade940ba787767a215f3437f215ce697a05257ab52b9b3f5720a060e0716b955436f973a2c7e4bc7546db91</vt:lpwstr>
  </property>
  <property fmtid="{D5CDD505-2E9C-101B-9397-08002B2CF9AE}" pid="27" name="EagleCloud23">
    <vt:lpwstr>1e20e4617b25d0ed2faeee96ab090de3ae06d8e4cdd12e2cbd63c517206d2d9ed3bcc1ad82372c854634684de30fc20d0b10152d78ec8434d15558535e1f0837b9e63d8c2c19809d59f46537d268687d26a3070e953769e702e47c704ce2bc7f1517ab5d43bbc678b20dc09fa12e57a025d1b53952e58995440abafa597b5f4</vt:lpwstr>
  </property>
  <property fmtid="{D5CDD505-2E9C-101B-9397-08002B2CF9AE}" pid="28" name="EagleCloud24">
    <vt:lpwstr>012716f2fb14d673ac75bce79e642641ff43e65a7ee2b04f31a4e2cde9a953fb79767933584618881b6a3381181193a359f48447e66763c1c9461cd060036c85ad3877b65eb7c4d80cd04379361f0e34a11f4372681b06fc9a8812176d23cca156b30cf7e8be61c75dc84c1f3f8eed37ba90490d1fdf52094495e67a87c2f6e</vt:lpwstr>
  </property>
  <property fmtid="{D5CDD505-2E9C-101B-9397-08002B2CF9AE}" pid="29" name="EagleCloud25">
    <vt:lpwstr>cfab5683849a12f43a85e25b5f333358bb58ff82a08eaefe160a5a53710bcc9ca458c2ae9214ae95ba14f18f292b27fccbe65cd9458abe9c5c3aa398993bf5eb309127fe74a1583814bf63ebd534240357677320bccbdc4535754328be71d676933f76a2d490c2126fb42105539eb6d281cc5a548ddebdaeca0f9328af013b9</vt:lpwstr>
  </property>
  <property fmtid="{D5CDD505-2E9C-101B-9397-08002B2CF9AE}" pid="30" name="EagleCloud26">
    <vt:lpwstr>cfd6bed2dcdd5f33ff2fddbbec</vt:lpwstr>
  </property>
  <property fmtid="{D5CDD505-2E9C-101B-9397-08002B2CF9AE}" pid="31" name="KSOTemplateDocerSaveRecord">
    <vt:lpwstr>eyJoZGlkIjoiZjYyMWZmNmFlOWZiMTE0ZGFiYzNmMTVkMDM3YTcyNTgiLCJ1c2VySWQiOiIzNTM4NDQyNDYifQ==</vt:lpwstr>
  </property>
</Properties>
</file>