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Times New Roman"/>
          <w:b/>
          <w:sz w:val="32"/>
          <w:szCs w:val="32"/>
          <w:lang w:val="en-US" w:eastAsia="zh-CN"/>
        </w:rPr>
      </w:pPr>
      <w:r>
        <w:rPr>
          <w:rFonts w:hint="eastAsia" w:ascii="微软雅黑" w:hAnsi="微软雅黑" w:eastAsia="微软雅黑" w:cs="Times New Roman"/>
          <w:b/>
          <w:sz w:val="32"/>
          <w:szCs w:val="32"/>
          <w:lang w:val="en-US" w:eastAsia="zh-CN"/>
        </w:rPr>
        <w:t>德保、田林铝厂2025年第二批启槽高分子冰晶石</w:t>
      </w:r>
    </w:p>
    <w:p>
      <w:pPr>
        <w:jc w:val="center"/>
        <w:rPr>
          <w:rFonts w:hint="eastAsia" w:ascii="微软雅黑" w:hAnsi="微软雅黑" w:eastAsia="微软雅黑" w:cs="Times New Roman"/>
          <w:b/>
          <w:sz w:val="32"/>
          <w:szCs w:val="32"/>
          <w:lang w:val="en-US" w:eastAsia="zh-CN"/>
        </w:rPr>
      </w:pPr>
      <w:r>
        <w:rPr>
          <w:rFonts w:hint="eastAsia" w:ascii="微软雅黑" w:hAnsi="微软雅黑" w:eastAsia="微软雅黑" w:cs="Times New Roman"/>
          <w:b/>
          <w:sz w:val="32"/>
          <w:szCs w:val="32"/>
          <w:lang w:val="en-US" w:eastAsia="zh-CN"/>
        </w:rPr>
        <w:t>采购项目邀请书</w:t>
      </w:r>
    </w:p>
    <w:p>
      <w:pPr>
        <w:pStyle w:val="23"/>
        <w:rPr>
          <w:rFonts w:hint="eastAsia"/>
          <w:lang w:val="en-US" w:eastAsia="zh-CN"/>
        </w:rPr>
      </w:pPr>
    </w:p>
    <w:p>
      <w:pPr>
        <w:pStyle w:val="23"/>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采购类别：生产辅料类（注：新用户时请选择此类别，否则无法报名）</w:t>
      </w:r>
    </w:p>
    <w:p>
      <w:pPr>
        <w:pStyle w:val="33"/>
        <w:rPr>
          <w:rFonts w:hint="eastAsia" w:ascii="宋体" w:hAnsi="宋体" w:eastAsia="宋体" w:cs="宋体"/>
          <w:b/>
          <w:bCs/>
          <w:sz w:val="24"/>
          <w:szCs w:val="24"/>
        </w:rPr>
      </w:pPr>
      <w:bookmarkStart w:id="0" w:name="_Toc33189455"/>
      <w:r>
        <w:rPr>
          <w:rFonts w:hint="eastAsia" w:ascii="宋体" w:hAnsi="宋体" w:eastAsia="宋体" w:cs="宋体"/>
          <w:b/>
          <w:bCs/>
          <w:sz w:val="24"/>
          <w:szCs w:val="24"/>
        </w:rPr>
        <w:t xml:space="preserve">1. </w:t>
      </w:r>
      <w:r>
        <w:rPr>
          <w:rFonts w:hint="eastAsia" w:ascii="宋体" w:hAnsi="宋体" w:eastAsia="宋体" w:cs="宋体"/>
          <w:b/>
          <w:bCs/>
          <w:sz w:val="24"/>
          <w:szCs w:val="24"/>
          <w:lang w:val="en-US" w:eastAsia="zh-CN"/>
        </w:rPr>
        <w:t>采购项目</w:t>
      </w:r>
      <w:r>
        <w:rPr>
          <w:rFonts w:hint="eastAsia" w:ascii="宋体" w:hAnsi="宋体" w:eastAsia="宋体" w:cs="宋体"/>
          <w:b/>
          <w:bCs/>
          <w:sz w:val="24"/>
          <w:szCs w:val="24"/>
        </w:rPr>
        <w:t>条件</w:t>
      </w:r>
      <w:bookmarkEnd w:id="0"/>
    </w:p>
    <w:p>
      <w:pPr>
        <w:spacing w:line="400" w:lineRule="exact"/>
        <w:rPr>
          <w:rFonts w:hint="eastAsia"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u w:val="none"/>
          <w:lang w:val="en-US" w:eastAsia="zh-CN" w:bidi="ar-SA"/>
        </w:rPr>
        <w:t>各</w:t>
      </w:r>
      <w:r>
        <w:rPr>
          <w:rFonts w:hint="eastAsia" w:ascii="宋体" w:hAnsi="宋体" w:eastAsia="宋体" w:cs="宋体"/>
          <w:b w:val="0"/>
          <w:bCs w:val="0"/>
          <w:sz w:val="24"/>
          <w:szCs w:val="24"/>
          <w:u w:val="none"/>
          <w:lang w:val="en-US" w:eastAsia="zh-CN"/>
        </w:rPr>
        <w:t>冰晶石供应商：</w:t>
      </w:r>
      <w:r>
        <w:rPr>
          <w:rFonts w:hint="eastAsia" w:ascii="宋体" w:hAnsi="宋体" w:eastAsia="宋体" w:cs="宋体"/>
          <w:b w:val="0"/>
          <w:bCs w:val="0"/>
          <w:kern w:val="2"/>
          <w:sz w:val="24"/>
          <w:szCs w:val="24"/>
          <w:u w:val="none"/>
          <w:lang w:val="en-US" w:eastAsia="zh-CN" w:bidi="ar-SA"/>
        </w:rPr>
        <w:t>`</w:t>
      </w:r>
    </w:p>
    <w:p>
      <w:pPr>
        <w:numPr>
          <w:ilvl w:val="0"/>
          <w:numId w:val="0"/>
        </w:num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b w:val="0"/>
          <w:bCs w:val="0"/>
          <w:sz w:val="24"/>
          <w:szCs w:val="24"/>
          <w:lang w:val="en-US" w:eastAsia="zh-CN"/>
        </w:rPr>
        <w:t>德保、田林铝厂2025年</w:t>
      </w:r>
      <w:bookmarkStart w:id="2" w:name="_GoBack"/>
      <w:bookmarkEnd w:id="2"/>
      <w:r>
        <w:rPr>
          <w:rFonts w:hint="eastAsia" w:ascii="宋体" w:hAnsi="宋体" w:eastAsia="宋体" w:cs="宋体"/>
          <w:b w:val="0"/>
          <w:bCs w:val="0"/>
          <w:sz w:val="24"/>
          <w:szCs w:val="24"/>
          <w:lang w:val="en-US" w:eastAsia="zh-CN"/>
        </w:rPr>
        <w:t>第二批启槽高分子冰晶石采购项目</w:t>
      </w:r>
      <w:r>
        <w:rPr>
          <w:rFonts w:hint="eastAsia" w:ascii="宋体" w:hAnsi="宋体" w:eastAsia="宋体" w:cs="宋体"/>
          <w:sz w:val="24"/>
          <w:lang w:val="en-US" w:eastAsia="zh-CN"/>
        </w:rPr>
        <w:t>已具备采购条件，现邀请贵司参与本项目报单。</w:t>
      </w:r>
    </w:p>
    <w:p>
      <w:pPr>
        <w:numPr>
          <w:ilvl w:val="0"/>
          <w:numId w:val="0"/>
        </w:numPr>
        <w:spacing w:line="440" w:lineRule="exact"/>
        <w:rPr>
          <w:rFonts w:hint="eastAsia" w:ascii="宋体" w:hAnsi="宋体" w:eastAsia="宋体" w:cs="宋体"/>
          <w:b/>
          <w:sz w:val="24"/>
          <w:szCs w:val="24"/>
        </w:rPr>
      </w:pPr>
      <w:r>
        <w:rPr>
          <w:rFonts w:hint="eastAsia" w:ascii="宋体" w:hAnsi="宋体" w:eastAsia="宋体" w:cs="宋体"/>
          <w:b/>
          <w:sz w:val="24"/>
          <w:szCs w:val="24"/>
        </w:rPr>
        <w:t>2.项目概况与</w:t>
      </w:r>
      <w:r>
        <w:rPr>
          <w:rFonts w:hint="eastAsia" w:ascii="宋体" w:hAnsi="宋体" w:eastAsia="宋体" w:cs="宋体"/>
          <w:b/>
          <w:sz w:val="24"/>
          <w:szCs w:val="24"/>
          <w:lang w:val="en-US" w:eastAsia="zh-CN"/>
        </w:rPr>
        <w:t>采购</w:t>
      </w:r>
      <w:r>
        <w:rPr>
          <w:rFonts w:hint="eastAsia" w:ascii="宋体" w:hAnsi="宋体" w:eastAsia="宋体" w:cs="宋体"/>
          <w:b/>
          <w:sz w:val="24"/>
          <w:szCs w:val="24"/>
        </w:rPr>
        <w:t>范围</w:t>
      </w:r>
    </w:p>
    <w:p>
      <w:pPr>
        <w:spacing w:line="440" w:lineRule="exact"/>
        <w:rPr>
          <w:rFonts w:hint="eastAsia" w:ascii="宋体" w:hAnsi="宋体"/>
          <w:color w:val="auto"/>
          <w:sz w:val="24"/>
          <w:lang w:val="en-US" w:eastAsia="zh-CN"/>
        </w:rPr>
      </w:pPr>
      <w:r>
        <w:rPr>
          <w:rFonts w:hint="eastAsia" w:ascii="宋体" w:hAnsi="宋体" w:eastAsia="宋体"/>
          <w:b/>
          <w:bCs/>
          <w:sz w:val="24"/>
          <w:szCs w:val="24"/>
        </w:rPr>
        <w:t>2.1</w:t>
      </w:r>
      <w:r>
        <w:rPr>
          <w:rFonts w:hint="eastAsia" w:ascii="宋体" w:hAnsi="宋体" w:eastAsia="宋体" w:cs="华文仿宋"/>
          <w:b/>
          <w:bCs/>
          <w:color w:val="000000"/>
          <w:sz w:val="24"/>
          <w:szCs w:val="24"/>
        </w:rPr>
        <w:t>项目概</w:t>
      </w:r>
      <w:r>
        <w:rPr>
          <w:rFonts w:hint="eastAsia" w:ascii="宋体" w:hAnsi="宋体" w:eastAsia="宋体"/>
          <w:b/>
          <w:bCs/>
          <w:sz w:val="24"/>
          <w:szCs w:val="24"/>
        </w:rPr>
        <w:t>况：</w:t>
      </w:r>
    </w:p>
    <w:p>
      <w:pPr>
        <w:numPr>
          <w:ilvl w:val="0"/>
          <w:numId w:val="0"/>
        </w:numPr>
        <w:spacing w:line="44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广西德保百矿铝业有限公司位</w:t>
      </w:r>
      <w:r>
        <w:rPr>
          <w:rFonts w:hint="eastAsia" w:ascii="宋体" w:hAnsi="宋体"/>
          <w:color w:val="auto"/>
          <w:sz w:val="24"/>
          <w:lang w:eastAsia="zh-CN"/>
        </w:rPr>
        <w:t>于</w:t>
      </w:r>
      <w:r>
        <w:rPr>
          <w:rFonts w:hint="eastAsia" w:ascii="宋体" w:hAnsi="宋体"/>
          <w:color w:val="auto"/>
          <w:sz w:val="24"/>
        </w:rPr>
        <w:t>广西德保马隘铝产业园内</w:t>
      </w:r>
      <w:r>
        <w:rPr>
          <w:rFonts w:hint="eastAsia" w:ascii="宋体" w:hAnsi="宋体"/>
          <w:color w:val="auto"/>
          <w:sz w:val="24"/>
          <w:lang w:eastAsia="zh-CN"/>
        </w:rPr>
        <w:t>，</w:t>
      </w:r>
      <w:r>
        <w:rPr>
          <w:rFonts w:hint="eastAsia" w:ascii="宋体" w:hAnsi="宋体"/>
          <w:color w:val="auto"/>
          <w:sz w:val="24"/>
        </w:rPr>
        <w:t>该工业园地处</w:t>
      </w:r>
      <w:r>
        <w:rPr>
          <w:rFonts w:hint="eastAsia" w:ascii="宋体" w:hAnsi="宋体"/>
          <w:color w:val="auto"/>
          <w:sz w:val="24"/>
          <w:lang w:val="en-US" w:eastAsia="zh-CN"/>
        </w:rPr>
        <w:t>德保县</w:t>
      </w:r>
      <w:r>
        <w:rPr>
          <w:rFonts w:hint="eastAsia" w:ascii="宋体" w:hAnsi="宋体"/>
          <w:color w:val="auto"/>
          <w:sz w:val="24"/>
        </w:rPr>
        <w:t>马隘</w:t>
      </w:r>
      <w:r>
        <w:rPr>
          <w:rFonts w:hint="eastAsia" w:ascii="宋体" w:hAnsi="宋体"/>
          <w:color w:val="auto"/>
          <w:sz w:val="24"/>
          <w:lang w:val="en-US" w:eastAsia="zh-CN"/>
        </w:rPr>
        <w:t>镇</w:t>
      </w:r>
      <w:r>
        <w:rPr>
          <w:rFonts w:hint="eastAsia" w:ascii="宋体" w:hAnsi="宋体"/>
          <w:color w:val="auto"/>
          <w:sz w:val="24"/>
          <w:lang w:eastAsia="zh-CN"/>
        </w:rPr>
        <w:t>，</w:t>
      </w:r>
      <w:r>
        <w:rPr>
          <w:rFonts w:hint="eastAsia" w:ascii="宋体" w:hAnsi="宋体"/>
          <w:color w:val="auto"/>
          <w:sz w:val="24"/>
          <w:lang w:val="en-US" w:eastAsia="zh-CN"/>
        </w:rPr>
        <w:t>距</w:t>
      </w:r>
      <w:r>
        <w:rPr>
          <w:rFonts w:hint="eastAsia" w:ascii="宋体" w:hAnsi="宋体"/>
          <w:color w:val="auto"/>
          <w:sz w:val="24"/>
          <w:lang w:eastAsia="zh-CN"/>
        </w:rPr>
        <w:t>百色市约</w:t>
      </w:r>
      <w:r>
        <w:rPr>
          <w:rFonts w:hint="eastAsia" w:ascii="宋体" w:hAnsi="宋体"/>
          <w:color w:val="auto"/>
          <w:sz w:val="24"/>
          <w:lang w:val="en-US" w:eastAsia="zh-CN"/>
        </w:rPr>
        <w:t>98</w:t>
      </w:r>
      <w:r>
        <w:rPr>
          <w:rFonts w:hint="eastAsia" w:ascii="宋体" w:hAnsi="宋体"/>
          <w:color w:val="auto"/>
          <w:sz w:val="24"/>
          <w:lang w:eastAsia="zh-CN"/>
        </w:rPr>
        <w:t>km，厂址距</w:t>
      </w:r>
      <w:r>
        <w:rPr>
          <w:rFonts w:hint="eastAsia" w:ascii="宋体" w:hAnsi="宋体"/>
          <w:color w:val="auto"/>
          <w:sz w:val="24"/>
          <w:lang w:val="en-US" w:eastAsia="zh-CN"/>
        </w:rPr>
        <w:t>德保</w:t>
      </w:r>
      <w:r>
        <w:rPr>
          <w:rFonts w:hint="eastAsia" w:ascii="宋体" w:hAnsi="宋体"/>
          <w:color w:val="auto"/>
          <w:sz w:val="24"/>
          <w:lang w:eastAsia="zh-CN"/>
        </w:rPr>
        <w:t>县城约</w:t>
      </w:r>
      <w:r>
        <w:rPr>
          <w:rFonts w:hint="eastAsia" w:ascii="宋体" w:hAnsi="宋体"/>
          <w:color w:val="auto"/>
          <w:sz w:val="24"/>
          <w:lang w:val="en-US" w:eastAsia="zh-CN"/>
        </w:rPr>
        <w:t>5</w:t>
      </w:r>
      <w:r>
        <w:rPr>
          <w:rFonts w:hint="eastAsia" w:ascii="宋体" w:hAnsi="宋体"/>
          <w:color w:val="auto"/>
          <w:sz w:val="24"/>
          <w:lang w:eastAsia="zh-CN"/>
        </w:rPr>
        <w:t>km。</w:t>
      </w:r>
      <w:r>
        <w:rPr>
          <w:rFonts w:hint="eastAsia" w:ascii="宋体" w:hAnsi="宋体"/>
          <w:color w:val="auto"/>
          <w:sz w:val="24"/>
          <w:lang w:val="en-US" w:eastAsia="zh-CN"/>
        </w:rPr>
        <w:t>德保铝业紧靠氧化铝土矿主产区，资源优势得天独厚，是资源就地消化的典范，</w:t>
      </w:r>
      <w:r>
        <w:rPr>
          <w:rFonts w:hint="eastAsia" w:ascii="宋体" w:hAnsi="宋体"/>
          <w:color w:val="auto"/>
          <w:sz w:val="24"/>
          <w:lang w:eastAsia="zh-CN"/>
        </w:rPr>
        <w:t>占地面积845亩，</w:t>
      </w:r>
      <w:r>
        <w:rPr>
          <w:rFonts w:hint="eastAsia" w:ascii="宋体" w:hAnsi="宋体"/>
          <w:color w:val="auto"/>
          <w:sz w:val="24"/>
          <w:lang w:val="en-US" w:eastAsia="zh-CN"/>
        </w:rPr>
        <w:t>2017年2月开工建设，总投资25.5亿元，</w:t>
      </w:r>
      <w:r>
        <w:rPr>
          <w:rFonts w:hint="eastAsia" w:ascii="宋体" w:hAnsi="宋体"/>
          <w:color w:val="auto"/>
          <w:sz w:val="24"/>
          <w:lang w:eastAsia="zh-CN"/>
        </w:rPr>
        <w:t>项目完全投产后，年营业收入达到5</w:t>
      </w:r>
      <w:r>
        <w:rPr>
          <w:rFonts w:hint="eastAsia" w:ascii="宋体" w:hAnsi="宋体"/>
          <w:color w:val="auto"/>
          <w:sz w:val="24"/>
          <w:lang w:val="en-US" w:eastAsia="zh-CN"/>
        </w:rPr>
        <w:t>6.5</w:t>
      </w:r>
      <w:r>
        <w:rPr>
          <w:rFonts w:hint="eastAsia" w:ascii="宋体" w:hAnsi="宋体"/>
          <w:color w:val="auto"/>
          <w:sz w:val="24"/>
          <w:lang w:eastAsia="zh-CN"/>
        </w:rPr>
        <w:t>亿元，实现利税近</w:t>
      </w:r>
      <w:r>
        <w:rPr>
          <w:rFonts w:hint="eastAsia" w:ascii="宋体" w:hAnsi="宋体"/>
          <w:color w:val="auto"/>
          <w:sz w:val="24"/>
          <w:lang w:val="en-US" w:eastAsia="zh-CN"/>
        </w:rPr>
        <w:t>3</w:t>
      </w:r>
      <w:r>
        <w:rPr>
          <w:rFonts w:hint="eastAsia" w:ascii="宋体" w:hAnsi="宋体"/>
          <w:color w:val="auto"/>
          <w:sz w:val="24"/>
          <w:lang w:eastAsia="zh-CN"/>
        </w:rPr>
        <w:t>亿元</w:t>
      </w:r>
      <w:r>
        <w:rPr>
          <w:rFonts w:hint="eastAsia" w:ascii="宋体" w:hAnsi="宋体"/>
          <w:color w:val="auto"/>
          <w:sz w:val="24"/>
          <w:lang w:val="en-US" w:eastAsia="zh-CN"/>
        </w:rPr>
        <w:t>,</w:t>
      </w:r>
      <w:r>
        <w:rPr>
          <w:rFonts w:hint="eastAsia" w:ascii="宋体" w:hAnsi="宋体"/>
          <w:color w:val="auto"/>
          <w:sz w:val="24"/>
          <w:lang w:eastAsia="zh-CN"/>
        </w:rPr>
        <w:t>带动就业</w:t>
      </w:r>
      <w:r>
        <w:rPr>
          <w:rFonts w:hint="eastAsia" w:ascii="宋体" w:hAnsi="宋体"/>
          <w:color w:val="auto"/>
          <w:sz w:val="24"/>
          <w:lang w:val="en-US" w:eastAsia="zh-CN"/>
        </w:rPr>
        <w:t>850</w:t>
      </w:r>
      <w:r>
        <w:rPr>
          <w:rFonts w:hint="eastAsia" w:ascii="宋体" w:hAnsi="宋体"/>
          <w:color w:val="auto"/>
          <w:sz w:val="24"/>
          <w:lang w:eastAsia="zh-CN"/>
        </w:rPr>
        <w:t>人。</w:t>
      </w:r>
      <w:r>
        <w:rPr>
          <w:rFonts w:hint="eastAsia" w:ascii="宋体" w:hAnsi="宋体"/>
          <w:color w:val="auto"/>
          <w:sz w:val="24"/>
          <w:lang w:val="en-US" w:eastAsia="zh-CN"/>
        </w:rPr>
        <w:t>目前已经生产铝水达30万吨/年。</w:t>
      </w:r>
    </w:p>
    <w:p>
      <w:pPr>
        <w:numPr>
          <w:ilvl w:val="0"/>
          <w:numId w:val="0"/>
        </w:numPr>
        <w:spacing w:line="440" w:lineRule="exact"/>
        <w:ind w:firstLine="480" w:firstLineChars="200"/>
        <w:rPr>
          <w:rFonts w:hint="eastAsia"/>
          <w:lang w:val="en-US" w:eastAsia="zh-CN"/>
        </w:rPr>
      </w:pPr>
      <w:r>
        <w:rPr>
          <w:rFonts w:hint="eastAsia" w:ascii="宋体" w:hAnsi="宋体"/>
          <w:color w:val="auto"/>
          <w:sz w:val="24"/>
          <w:lang w:val="en-US" w:eastAsia="zh-CN"/>
        </w:rPr>
        <w:t>广西田林百矿铝业有限公司址位于广西百</w:t>
      </w:r>
      <w:r>
        <w:rPr>
          <w:rFonts w:hint="eastAsia" w:ascii="宋体" w:hAnsi="宋体"/>
          <w:color w:val="auto"/>
          <w:sz w:val="24"/>
        </w:rPr>
        <w:t>色市田林县桂黔（田林）经济合作产业园，该工业园地处田林县旧州镇板坚村</w:t>
      </w:r>
      <w:r>
        <w:rPr>
          <w:rFonts w:hint="eastAsia" w:ascii="宋体" w:hAnsi="宋体"/>
          <w:color w:val="auto"/>
          <w:sz w:val="24"/>
          <w:lang w:eastAsia="zh-CN"/>
        </w:rPr>
        <w:t>，</w:t>
      </w:r>
      <w:r>
        <w:rPr>
          <w:rFonts w:hint="eastAsia" w:ascii="宋体" w:hAnsi="宋体"/>
          <w:color w:val="auto"/>
          <w:sz w:val="24"/>
          <w:lang w:val="en-US" w:eastAsia="zh-CN"/>
        </w:rPr>
        <w:t>厂址</w:t>
      </w:r>
      <w:r>
        <w:rPr>
          <w:rFonts w:hint="eastAsia" w:ascii="宋体" w:hAnsi="宋体"/>
          <w:color w:val="auto"/>
          <w:sz w:val="24"/>
        </w:rPr>
        <w:t>距离南宁市370km，距百色市137km。项目于2017年5月14日</w:t>
      </w:r>
      <w:r>
        <w:rPr>
          <w:rFonts w:hint="eastAsia" w:ascii="宋体" w:hAnsi="宋体"/>
          <w:color w:val="auto"/>
          <w:sz w:val="24"/>
          <w:lang w:val="en"/>
        </w:rPr>
        <w:t>开工建设</w:t>
      </w:r>
      <w:r>
        <w:rPr>
          <w:rFonts w:hint="eastAsia" w:ascii="宋体" w:hAnsi="宋体"/>
          <w:color w:val="auto"/>
          <w:sz w:val="24"/>
        </w:rPr>
        <w:t>，建设规模为年产30万吨铝水，总投资约22亿元，占地面积约800亩。</w:t>
      </w:r>
      <w:r>
        <w:rPr>
          <w:rFonts w:hint="eastAsia" w:ascii="宋体" w:hAnsi="宋体"/>
          <w:color w:val="auto"/>
          <w:sz w:val="24"/>
          <w:lang w:val="en-US" w:eastAsia="zh-CN"/>
        </w:rPr>
        <w:t>目前已经生产铝水达30万吨/年。</w:t>
      </w:r>
    </w:p>
    <w:p>
      <w:pPr>
        <w:spacing w:line="440" w:lineRule="exact"/>
        <w:rPr>
          <w:rFonts w:hint="eastAsia" w:ascii="宋体" w:hAnsi="宋体" w:eastAsia="宋体" w:cs="宋体"/>
          <w:b/>
          <w:bCs/>
          <w:sz w:val="24"/>
          <w:szCs w:val="24"/>
        </w:rPr>
      </w:pPr>
      <w:r>
        <w:rPr>
          <w:rFonts w:hint="eastAsia" w:ascii="宋体" w:hAnsi="宋体" w:eastAsia="宋体" w:cs="宋体"/>
          <w:b/>
          <w:bCs/>
          <w:color w:val="000000"/>
          <w:sz w:val="24"/>
          <w:szCs w:val="24"/>
        </w:rPr>
        <w:t>2.2</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范围：</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255"/>
        <w:gridCol w:w="1789"/>
        <w:gridCol w:w="1139"/>
        <w:gridCol w:w="1139"/>
        <w:gridCol w:w="1613"/>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0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需求单位</w:t>
            </w:r>
          </w:p>
        </w:tc>
        <w:tc>
          <w:tcPr>
            <w:tcW w:w="100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物料名称</w:t>
            </w:r>
          </w:p>
        </w:tc>
        <w:tc>
          <w:tcPr>
            <w:tcW w:w="63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63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1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德保铝厂</w:t>
            </w:r>
          </w:p>
        </w:tc>
        <w:tc>
          <w:tcPr>
            <w:tcW w:w="10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高分子冰晶石</w:t>
            </w:r>
          </w:p>
        </w:tc>
        <w:tc>
          <w:tcPr>
            <w:tcW w:w="636"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CH-1</w:t>
            </w:r>
          </w:p>
        </w:tc>
        <w:tc>
          <w:tcPr>
            <w:tcW w:w="636"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按质量技术标准</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0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田林铝厂</w:t>
            </w:r>
          </w:p>
        </w:tc>
        <w:tc>
          <w:tcPr>
            <w:tcW w:w="10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高分子冰晶石</w:t>
            </w:r>
          </w:p>
        </w:tc>
        <w:tc>
          <w:tcPr>
            <w:tcW w:w="636"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6"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7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r>
    </w:tbl>
    <w:p>
      <w:pPr>
        <w:keepNext w:val="0"/>
        <w:keepLines w:val="0"/>
        <w:pageBreakBefore w:val="0"/>
        <w:tabs>
          <w:tab w:val="left" w:pos="780"/>
          <w:tab w:val="left" w:pos="5700"/>
        </w:tabs>
        <w:kinsoku/>
        <w:wordWrap/>
        <w:overflowPunct/>
        <w:topLinePunct w:val="0"/>
        <w:bidi w:val="0"/>
        <w:adjustRightInd w:val="0"/>
        <w:snapToGrid w:val="0"/>
        <w:spacing w:line="400" w:lineRule="atLeas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2.3</w:t>
      </w:r>
      <w:r>
        <w:rPr>
          <w:rFonts w:hint="eastAsia" w:ascii="宋体" w:hAnsi="宋体" w:eastAsia="宋体" w:cs="宋体"/>
          <w:b/>
          <w:bCs/>
          <w:sz w:val="24"/>
          <w:szCs w:val="24"/>
        </w:rPr>
        <w:t>开标时间</w:t>
      </w:r>
    </w:p>
    <w:p>
      <w:pPr>
        <w:keepNext w:val="0"/>
        <w:keepLines w:val="0"/>
        <w:pageBreakBefore w:val="0"/>
        <w:tabs>
          <w:tab w:val="left" w:pos="780"/>
          <w:tab w:val="left" w:pos="5700"/>
        </w:tabs>
        <w:kinsoku/>
        <w:wordWrap/>
        <w:overflowPunct/>
        <w:topLinePunct w:val="0"/>
        <w:bidi w:val="0"/>
        <w:adjustRightInd w:val="0"/>
        <w:snapToGrid w:val="0"/>
        <w:spacing w:line="400" w:lineRule="atLeas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开</w:t>
      </w:r>
      <w:r>
        <w:rPr>
          <w:rFonts w:hint="eastAsia" w:ascii="宋体" w:hAnsi="宋体" w:eastAsia="宋体" w:cs="宋体"/>
          <w:sz w:val="24"/>
          <w:szCs w:val="24"/>
          <w:highlight w:val="none"/>
        </w:rPr>
        <w:t>标时间：20</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下午</w:t>
      </w:r>
      <w:r>
        <w:rPr>
          <w:rFonts w:hint="eastAsia" w:ascii="宋体" w:hAnsi="宋体" w:eastAsia="宋体" w:cs="宋体"/>
          <w:sz w:val="24"/>
          <w:szCs w:val="24"/>
          <w:highlight w:val="none"/>
          <w:lang w:eastAsia="zh-CN"/>
        </w:rPr>
        <w:t>（</w:t>
      </w:r>
      <w:r>
        <w:rPr>
          <w:rFonts w:hint="eastAsia" w:ascii="宋体" w:hAnsi="宋体"/>
          <w:sz w:val="24"/>
          <w:highlight w:val="none"/>
          <w:lang w:val="en-US" w:eastAsia="zh-CN"/>
        </w:rPr>
        <w:t>具</w:t>
      </w:r>
      <w:r>
        <w:rPr>
          <w:rFonts w:hint="eastAsia" w:ascii="宋体" w:hAnsi="宋体"/>
          <w:sz w:val="24"/>
          <w:lang w:val="en-US" w:eastAsia="zh-CN"/>
        </w:rPr>
        <w:t>体以采购主管单位通知为准</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pacing w:line="400" w:lineRule="atLeast"/>
        <w:textAlignment w:val="auto"/>
        <w:rPr>
          <w:rFonts w:hint="default" w:ascii="宋体" w:hAnsi="宋体"/>
          <w:sz w:val="24"/>
          <w:lang w:val="en-US" w:eastAsia="zh-CN"/>
        </w:rPr>
      </w:pPr>
      <w:r>
        <w:rPr>
          <w:rFonts w:hint="eastAsia" w:ascii="宋体" w:hAnsi="宋体" w:eastAsia="宋体" w:cs="华文仿宋"/>
          <w:b/>
          <w:bCs/>
          <w:color w:val="000000"/>
          <w:sz w:val="24"/>
          <w:szCs w:val="24"/>
        </w:rPr>
        <w:t>2.</w:t>
      </w:r>
      <w:r>
        <w:rPr>
          <w:rFonts w:hint="eastAsia" w:ascii="宋体" w:hAnsi="宋体" w:eastAsia="宋体" w:cs="华文仿宋"/>
          <w:b/>
          <w:bCs/>
          <w:color w:val="000000"/>
          <w:sz w:val="24"/>
          <w:szCs w:val="24"/>
          <w:lang w:val="en-US" w:eastAsia="zh-CN"/>
        </w:rPr>
        <w:t>4供货</w:t>
      </w:r>
      <w:r>
        <w:rPr>
          <w:rFonts w:hint="eastAsia" w:ascii="宋体" w:hAnsi="宋体" w:eastAsia="宋体" w:cs="华文仿宋"/>
          <w:b/>
          <w:bCs/>
          <w:color w:val="000000"/>
          <w:sz w:val="24"/>
          <w:szCs w:val="24"/>
        </w:rPr>
        <w:t>地点</w:t>
      </w:r>
      <w:r>
        <w:rPr>
          <w:rFonts w:hint="eastAsia" w:ascii="宋体" w:hAnsi="宋体" w:eastAsia="宋体" w:cs="华文仿宋"/>
          <w:b/>
          <w:bCs/>
          <w:color w:val="000000"/>
          <w:sz w:val="24"/>
          <w:szCs w:val="24"/>
          <w:lang w:eastAsia="zh-CN"/>
        </w:rPr>
        <w:t>：</w:t>
      </w:r>
    </w:p>
    <w:p>
      <w:pPr>
        <w:keepNext w:val="0"/>
        <w:keepLines w:val="0"/>
        <w:pageBreakBefore w:val="0"/>
        <w:tabs>
          <w:tab w:val="left" w:pos="600"/>
        </w:tabs>
        <w:kinsoku/>
        <w:wordWrap/>
        <w:overflowPunct/>
        <w:topLinePunct w:val="0"/>
        <w:bidi w:val="0"/>
        <w:spacing w:line="400" w:lineRule="atLeast"/>
        <w:ind w:firstLine="480" w:firstLineChars="200"/>
        <w:textAlignment w:val="auto"/>
        <w:rPr>
          <w:rFonts w:hint="eastAsia" w:ascii="宋体" w:hAnsi="宋体"/>
          <w:sz w:val="24"/>
          <w:lang w:val="en-US" w:eastAsia="zh-CN"/>
        </w:rPr>
      </w:pPr>
      <w:r>
        <w:rPr>
          <w:rFonts w:hint="eastAsia" w:ascii="宋体" w:hAnsi="宋体"/>
          <w:sz w:val="24"/>
          <w:lang w:val="en-US" w:eastAsia="zh-CN"/>
        </w:rPr>
        <w:t>广西百色市德保县马隘铝产业园区德保铝厂内；</w:t>
      </w:r>
    </w:p>
    <w:p>
      <w:pPr>
        <w:keepNext w:val="0"/>
        <w:keepLines w:val="0"/>
        <w:pageBreakBefore w:val="0"/>
        <w:tabs>
          <w:tab w:val="left" w:pos="600"/>
        </w:tabs>
        <w:kinsoku/>
        <w:wordWrap/>
        <w:overflowPunct/>
        <w:topLinePunct w:val="0"/>
        <w:bidi w:val="0"/>
        <w:spacing w:line="400" w:lineRule="atLeast"/>
        <w:ind w:firstLine="480" w:firstLineChars="200"/>
        <w:textAlignment w:val="auto"/>
        <w:rPr>
          <w:rFonts w:hint="eastAsia" w:ascii="宋体" w:hAnsi="宋体"/>
          <w:sz w:val="24"/>
          <w:lang w:val="en-US" w:eastAsia="zh-CN"/>
        </w:rPr>
      </w:pPr>
      <w:r>
        <w:rPr>
          <w:rFonts w:hint="eastAsia" w:ascii="宋体" w:hAnsi="宋体"/>
          <w:sz w:val="24"/>
          <w:lang w:val="en-US" w:eastAsia="zh-CN"/>
        </w:rPr>
        <w:t>广西百色田林县旧州镇百矿经济产业园区田林铝厂内；</w:t>
      </w:r>
    </w:p>
    <w:p>
      <w:pPr>
        <w:keepNext w:val="0"/>
        <w:keepLines w:val="0"/>
        <w:pageBreakBefore w:val="0"/>
        <w:kinsoku/>
        <w:wordWrap/>
        <w:overflowPunct/>
        <w:topLinePunct w:val="0"/>
        <w:bidi w:val="0"/>
        <w:spacing w:line="400" w:lineRule="atLeast"/>
        <w:textAlignment w:val="auto"/>
        <w:rPr>
          <w:rFonts w:hint="default"/>
          <w:color w:val="auto"/>
          <w:lang w:val="en-US" w:eastAsia="zh-CN"/>
        </w:rPr>
      </w:pPr>
      <w:r>
        <w:rPr>
          <w:rFonts w:hint="eastAsia" w:ascii="宋体" w:hAnsi="宋体" w:eastAsia="宋体" w:cs="华文仿宋"/>
          <w:b/>
          <w:bCs/>
          <w:color w:val="auto"/>
          <w:sz w:val="24"/>
          <w:szCs w:val="24"/>
        </w:rPr>
        <w:t>2.</w:t>
      </w:r>
      <w:r>
        <w:rPr>
          <w:rFonts w:hint="eastAsia" w:ascii="宋体" w:hAnsi="宋体" w:eastAsia="宋体" w:cs="华文仿宋"/>
          <w:b/>
          <w:bCs/>
          <w:color w:val="auto"/>
          <w:sz w:val="24"/>
          <w:szCs w:val="24"/>
          <w:lang w:val="en-US" w:eastAsia="zh-CN"/>
        </w:rPr>
        <w:t>5供货时间：</w:t>
      </w:r>
    </w:p>
    <w:p>
      <w:pPr>
        <w:keepNext w:val="0"/>
        <w:keepLines w:val="0"/>
        <w:pageBreakBefore w:val="0"/>
        <w:widowControl w:val="0"/>
        <w:tabs>
          <w:tab w:val="left" w:pos="600"/>
        </w:tabs>
        <w:kinsoku/>
        <w:wordWrap/>
        <w:overflowPunct/>
        <w:topLinePunct w:val="0"/>
        <w:autoSpaceDE/>
        <w:autoSpaceDN/>
        <w:bidi w:val="0"/>
        <w:adjustRightInd/>
        <w:snapToGrid/>
        <w:spacing w:line="400" w:lineRule="atLeast"/>
        <w:ind w:firstLine="480" w:firstLineChars="200"/>
        <w:textAlignment w:val="auto"/>
        <w:rPr>
          <w:rFonts w:hint="eastAsia" w:ascii="宋体" w:hAnsi="宋体"/>
          <w:color w:val="auto"/>
          <w:sz w:val="24"/>
          <w:lang w:val="en-US" w:eastAsia="zh-CN"/>
        </w:rPr>
      </w:pPr>
      <w:r>
        <w:rPr>
          <w:rFonts w:hint="eastAsia" w:ascii="宋体" w:hAnsi="宋体"/>
          <w:color w:val="auto"/>
          <w:sz w:val="24"/>
          <w:highlight w:val="none"/>
          <w:lang w:val="en-US" w:eastAsia="zh-CN"/>
        </w:rPr>
        <w:t>以甲方订单通知为准。</w:t>
      </w:r>
    </w:p>
    <w:p>
      <w:pPr>
        <w:keepNext w:val="0"/>
        <w:keepLines w:val="0"/>
        <w:pageBreakBefore w:val="0"/>
        <w:kinsoku/>
        <w:wordWrap/>
        <w:overflowPunct/>
        <w:topLinePunct w:val="0"/>
        <w:bidi w:val="0"/>
        <w:spacing w:line="400" w:lineRule="atLeast"/>
        <w:textAlignment w:val="auto"/>
        <w:rPr>
          <w:rFonts w:hint="eastAsia" w:ascii="宋体" w:hAnsi="宋体" w:eastAsia="宋体" w:cs="宋体"/>
          <w:color w:val="auto"/>
          <w:spacing w:val="-20"/>
          <w:sz w:val="24"/>
          <w:szCs w:val="24"/>
        </w:rPr>
      </w:pPr>
      <w:r>
        <w:rPr>
          <w:rFonts w:hint="eastAsia" w:ascii="宋体" w:hAnsi="宋体" w:eastAsia="宋体" w:cs="华文仿宋"/>
          <w:b/>
          <w:bCs/>
          <w:color w:val="auto"/>
          <w:sz w:val="24"/>
          <w:szCs w:val="24"/>
        </w:rPr>
        <w:t>2.</w:t>
      </w:r>
      <w:r>
        <w:rPr>
          <w:rFonts w:hint="eastAsia" w:ascii="宋体" w:hAnsi="宋体" w:eastAsia="宋体" w:cs="华文仿宋"/>
          <w:b/>
          <w:bCs/>
          <w:color w:val="auto"/>
          <w:sz w:val="24"/>
          <w:szCs w:val="24"/>
          <w:lang w:val="en-US" w:eastAsia="zh-CN"/>
        </w:rPr>
        <w:t>6技术</w:t>
      </w:r>
      <w:r>
        <w:rPr>
          <w:rFonts w:hint="eastAsia" w:ascii="宋体" w:hAnsi="宋体" w:eastAsia="宋体" w:cs="华文仿宋"/>
          <w:b/>
          <w:bCs/>
          <w:color w:val="auto"/>
          <w:sz w:val="24"/>
          <w:szCs w:val="24"/>
        </w:rPr>
        <w:t>要求</w:t>
      </w:r>
      <w:r>
        <w:rPr>
          <w:rFonts w:hint="eastAsia" w:ascii="仿宋" w:hAnsi="仿宋" w:eastAsia="仿宋" w:cs="仿宋"/>
          <w:b/>
          <w:bCs/>
          <w:color w:val="auto"/>
          <w:sz w:val="28"/>
          <w:szCs w:val="28"/>
          <w:lang w:val="en-US" w:eastAsia="zh-CN"/>
        </w:rPr>
        <w:t xml:space="preserve"> </w:t>
      </w:r>
      <w:r>
        <w:rPr>
          <w:rFonts w:hint="eastAsia" w:ascii="宋体" w:hAnsi="宋体" w:eastAsia="宋体" w:cs="宋体"/>
          <w:color w:val="auto"/>
          <w:spacing w:val="-20"/>
          <w:sz w:val="24"/>
          <w:szCs w:val="24"/>
        </w:rPr>
        <w:t xml:space="preserve"> </w:t>
      </w:r>
    </w:p>
    <w:p>
      <w:pPr>
        <w:pStyle w:val="23"/>
        <w:ind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见附件</w:t>
      </w:r>
    </w:p>
    <w:p>
      <w:pPr>
        <w:keepNext w:val="0"/>
        <w:keepLines w:val="0"/>
        <w:pageBreakBefore w:val="0"/>
        <w:numPr>
          <w:ilvl w:val="0"/>
          <w:numId w:val="0"/>
        </w:numPr>
        <w:kinsoku/>
        <w:wordWrap/>
        <w:overflowPunct/>
        <w:topLinePunct w:val="0"/>
        <w:bidi w:val="0"/>
        <w:spacing w:line="400" w:lineRule="atLeast"/>
        <w:textAlignment w:val="auto"/>
        <w:rPr>
          <w:rFonts w:hint="eastAsia" w:ascii="黑体" w:hAnsi="黑体" w:eastAsia="黑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报价</w:t>
      </w:r>
      <w:r>
        <w:rPr>
          <w:rFonts w:hint="eastAsia" w:ascii="宋体" w:hAnsi="宋体" w:eastAsia="宋体" w:cs="宋体"/>
          <w:b/>
          <w:color w:val="auto"/>
          <w:sz w:val="24"/>
          <w:szCs w:val="24"/>
        </w:rPr>
        <w:t>人资格要求</w:t>
      </w:r>
    </w:p>
    <w:p>
      <w:pPr>
        <w:pageBreakBefore w:val="0"/>
        <w:numPr>
          <w:ilvl w:val="0"/>
          <w:numId w:val="0"/>
        </w:numPr>
        <w:kinsoku/>
        <w:wordWrap/>
        <w:overflowPunct/>
        <w:topLinePunct w:val="0"/>
        <w:autoSpaceDE/>
        <w:autoSpaceDN/>
        <w:bidi w:val="0"/>
        <w:adjustRightInd w:val="0"/>
        <w:snapToGrid w:val="0"/>
        <w:spacing w:line="24" w:lineRule="atLeast"/>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3.1 在中国境内注册，有独立法人资格和承担民事责任的能力。</w:t>
      </w:r>
    </w:p>
    <w:p>
      <w:pPr>
        <w:pageBreakBefore w:val="0"/>
        <w:numPr>
          <w:ilvl w:val="0"/>
          <w:numId w:val="0"/>
        </w:numPr>
        <w:kinsoku/>
        <w:wordWrap/>
        <w:overflowPunct/>
        <w:topLinePunct w:val="0"/>
        <w:autoSpaceDE/>
        <w:autoSpaceDN/>
        <w:bidi w:val="0"/>
        <w:adjustRightInd w:val="0"/>
        <w:snapToGrid w:val="0"/>
        <w:spacing w:line="24" w:lineRule="atLeast"/>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3.2 遵守中华人民共和国有关法律、法规和条例。</w:t>
      </w:r>
    </w:p>
    <w:p>
      <w:pPr>
        <w:pageBreakBefore w:val="0"/>
        <w:numPr>
          <w:ilvl w:val="0"/>
          <w:numId w:val="0"/>
        </w:numPr>
        <w:kinsoku/>
        <w:wordWrap/>
        <w:overflowPunct/>
        <w:topLinePunct w:val="0"/>
        <w:autoSpaceDE/>
        <w:autoSpaceDN/>
        <w:bidi w:val="0"/>
        <w:adjustRightInd w:val="0"/>
        <w:snapToGrid w:val="0"/>
        <w:spacing w:line="24" w:lineRule="atLeast"/>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3.3 近年来有较好业绩且无不良商业行为。</w:t>
      </w:r>
    </w:p>
    <w:p>
      <w:pPr>
        <w:pageBreakBefore w:val="0"/>
        <w:numPr>
          <w:ilvl w:val="0"/>
          <w:numId w:val="0"/>
        </w:numPr>
        <w:kinsoku/>
        <w:wordWrap/>
        <w:overflowPunct/>
        <w:topLinePunct w:val="0"/>
        <w:autoSpaceDE/>
        <w:autoSpaceDN/>
        <w:bidi w:val="0"/>
        <w:adjustRightInd w:val="0"/>
        <w:snapToGrid w:val="0"/>
        <w:spacing w:line="24" w:lineRule="atLeast"/>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3.4 具有良好的商业信誉和健全的财务会计制度。</w:t>
      </w:r>
    </w:p>
    <w:p>
      <w:pPr>
        <w:pStyle w:val="23"/>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3.5 业绩要求：提供近三年内不少于2份电解铝行业冰晶石业绩合同及结算发票证明材料。</w:t>
      </w:r>
    </w:p>
    <w:p>
      <w:pPr>
        <w:pStyle w:val="12"/>
        <w:keepNext w:val="0"/>
        <w:keepLines w:val="0"/>
        <w:pageBreakBefore w:val="0"/>
        <w:shd w:val="clear" w:color="auto" w:fill="FFFFFF"/>
        <w:kinsoku/>
        <w:wordWrap/>
        <w:overflowPunct/>
        <w:topLinePunct w:val="0"/>
        <w:bidi w:val="0"/>
        <w:spacing w:before="0" w:beforeAutospacing="0" w:after="0" w:afterAutospacing="0" w:line="400" w:lineRule="atLeast"/>
        <w:textAlignment w:val="auto"/>
        <w:rPr>
          <w:rFonts w:hint="eastAsia" w:ascii="宋体" w:hAnsi="宋体" w:eastAsia="宋体" w:cs="宋体"/>
          <w:b/>
          <w:color w:val="auto"/>
          <w:sz w:val="24"/>
          <w:szCs w:val="24"/>
          <w:highlight w:val="yellow"/>
        </w:rPr>
      </w:pPr>
      <w:r>
        <w:rPr>
          <w:rFonts w:hint="eastAsia" w:cstheme="minorBidi"/>
          <w:color w:val="auto"/>
          <w:kern w:val="2"/>
          <w:sz w:val="24"/>
          <w:szCs w:val="24"/>
          <w:highlight w:val="none"/>
          <w:lang w:val="en-US" w:eastAsia="zh-CN" w:bidi="ar-SA"/>
        </w:rPr>
        <w:t xml:space="preserve">3.6 </w:t>
      </w:r>
      <w:r>
        <w:rPr>
          <w:rFonts w:hint="default" w:ascii="宋体" w:hAnsi="宋体" w:eastAsia="宋体" w:cstheme="minorBidi"/>
          <w:color w:val="auto"/>
          <w:kern w:val="2"/>
          <w:sz w:val="24"/>
          <w:szCs w:val="24"/>
          <w:highlight w:val="none"/>
          <w:lang w:val="en-US" w:eastAsia="zh-CN" w:bidi="ar-SA"/>
        </w:rPr>
        <w:t>本次报价不接受联合体报价。</w:t>
      </w:r>
    </w:p>
    <w:p>
      <w:pPr>
        <w:keepNext w:val="0"/>
        <w:keepLines w:val="0"/>
        <w:pageBreakBefore w:val="0"/>
        <w:numPr>
          <w:ilvl w:val="0"/>
          <w:numId w:val="0"/>
        </w:numPr>
        <w:kinsoku/>
        <w:wordWrap/>
        <w:overflowPunct/>
        <w:topLinePunct w:val="0"/>
        <w:bidi w:val="0"/>
        <w:spacing w:line="400" w:lineRule="atLeas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eastAsia="zh-CN"/>
        </w:rPr>
        <w:t>报</w:t>
      </w:r>
      <w:r>
        <w:rPr>
          <w:rFonts w:hint="eastAsia" w:ascii="宋体" w:hAnsi="宋体" w:eastAsia="宋体" w:cs="宋体"/>
          <w:b/>
          <w:color w:val="auto"/>
          <w:sz w:val="24"/>
          <w:szCs w:val="24"/>
          <w:lang w:val="en-US" w:eastAsia="zh-CN"/>
        </w:rPr>
        <w:t>价</w:t>
      </w:r>
      <w:r>
        <w:rPr>
          <w:rFonts w:hint="eastAsia" w:ascii="宋体" w:hAnsi="宋体" w:eastAsia="宋体" w:cs="宋体"/>
          <w:b/>
          <w:color w:val="auto"/>
          <w:sz w:val="24"/>
          <w:szCs w:val="24"/>
          <w:lang w:eastAsia="zh-CN"/>
        </w:rPr>
        <w:t>及相关要求</w:t>
      </w:r>
    </w:p>
    <w:p>
      <w:pPr>
        <w:keepNext w:val="0"/>
        <w:keepLines w:val="0"/>
        <w:pageBreakBefore w:val="0"/>
        <w:kinsoku/>
        <w:wordWrap/>
        <w:overflowPunct/>
        <w:topLinePunct w:val="0"/>
        <w:bidi w:val="0"/>
        <w:spacing w:line="400" w:lineRule="atLeast"/>
        <w:textAlignment w:val="auto"/>
        <w:rPr>
          <w:rFonts w:hint="eastAsia"/>
          <w:color w:val="auto"/>
          <w:lang w:val="en-US" w:eastAsia="zh-CN"/>
        </w:rPr>
      </w:pPr>
      <w:r>
        <w:rPr>
          <w:rFonts w:hint="eastAsia" w:ascii="宋体" w:hAnsi="宋体" w:eastAsia="宋体" w:cs="华文仿宋"/>
          <w:b/>
          <w:bCs/>
          <w:color w:val="auto"/>
          <w:sz w:val="24"/>
          <w:szCs w:val="24"/>
          <w:lang w:val="en-US" w:eastAsia="zh-CN"/>
        </w:rPr>
        <w:t>4.1结算及付款方式</w:t>
      </w:r>
    </w:p>
    <w:p>
      <w:pPr>
        <w:numPr>
          <w:ilvl w:val="0"/>
          <w:numId w:val="0"/>
        </w:numPr>
        <w:spacing w:line="44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每批次产品经甲方验收合格入库后，按合同每项实际到货过磅重量</w:t>
      </w:r>
      <w:r>
        <w:rPr>
          <w:rFonts w:hint="eastAsia" w:ascii="宋体" w:hAnsi="宋体" w:cs="Arial"/>
          <w:sz w:val="24"/>
        </w:rPr>
        <w:t>(±5%吨</w:t>
      </w:r>
      <w:r>
        <w:rPr>
          <w:rFonts w:hint="eastAsia" w:ascii="宋体" w:hAnsi="宋体" w:cs="Arial"/>
          <w:sz w:val="24"/>
          <w:lang w:eastAsia="zh-CN"/>
        </w:rPr>
        <w:t>，</w:t>
      </w:r>
      <w:r>
        <w:rPr>
          <w:rFonts w:hint="eastAsia" w:ascii="宋体" w:hAnsi="宋体" w:cs="Arial"/>
          <w:sz w:val="24"/>
          <w:lang w:val="en-US" w:eastAsia="zh-CN"/>
        </w:rPr>
        <w:t>原则上不允许超出合同暂估量</w:t>
      </w:r>
      <w:r>
        <w:rPr>
          <w:rFonts w:hint="eastAsia" w:ascii="宋体" w:hAnsi="宋体" w:cs="Arial"/>
          <w:sz w:val="24"/>
        </w:rPr>
        <w:t>)</w:t>
      </w:r>
      <w:r>
        <w:rPr>
          <w:rFonts w:hint="eastAsia" w:ascii="宋体" w:hAnsi="宋体"/>
          <w:color w:val="auto"/>
          <w:sz w:val="24"/>
          <w:lang w:val="en-US" w:eastAsia="zh-CN"/>
        </w:rPr>
        <w:t>乘合同（产品清单）单价结算。</w:t>
      </w:r>
    </w:p>
    <w:p>
      <w:pPr>
        <w:numPr>
          <w:ilvl w:val="0"/>
          <w:numId w:val="0"/>
        </w:numPr>
        <w:spacing w:line="44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若遇国家税率调整，应按调整后的最新税率计付合同款项，即合同不含税价格不受国家税率调整的影响。</w:t>
      </w:r>
    </w:p>
    <w:p>
      <w:pPr>
        <w:numPr>
          <w:ilvl w:val="0"/>
          <w:numId w:val="0"/>
        </w:numPr>
        <w:spacing w:line="44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乙方根据双方每批次确认的付款金额开具税率为13%的增值税专用发票，发票入甲方财务账35日内付款。</w:t>
      </w:r>
    </w:p>
    <w:p>
      <w:pPr>
        <w:numPr>
          <w:ilvl w:val="0"/>
          <w:numId w:val="0"/>
        </w:numPr>
        <w:spacing w:line="440" w:lineRule="exact"/>
        <w:ind w:firstLine="480" w:firstLineChars="200"/>
        <w:rPr>
          <w:rFonts w:ascii="宋体" w:hAnsi="宋体" w:cs="Arial"/>
          <w:color w:val="auto"/>
          <w:sz w:val="24"/>
        </w:rPr>
      </w:pPr>
      <w:r>
        <w:rPr>
          <w:rFonts w:hint="eastAsia" w:ascii="宋体" w:hAnsi="宋体"/>
          <w:color w:val="auto"/>
          <w:sz w:val="24"/>
          <w:lang w:val="en-US" w:eastAsia="zh-CN"/>
        </w:rPr>
        <w:t xml:space="preserve"> 甲方付款前，乙方必须开具对应批次产品全额的增值税专用发票，否则甲方有权拒绝付款，并不承担逾期付款的责任。</w:t>
      </w:r>
    </w:p>
    <w:p>
      <w:pPr>
        <w:keepNext w:val="0"/>
        <w:keepLines w:val="0"/>
        <w:pageBreakBefore w:val="0"/>
        <w:kinsoku/>
        <w:wordWrap/>
        <w:overflowPunct/>
        <w:topLinePunct w:val="0"/>
        <w:bidi w:val="0"/>
        <w:spacing w:line="400" w:lineRule="atLeast"/>
        <w:textAlignment w:val="auto"/>
        <w:rPr>
          <w:rFonts w:hint="eastAsia" w:ascii="宋体" w:hAnsi="宋体" w:eastAsia="宋体" w:cstheme="minorBidi"/>
          <w:color w:val="auto"/>
          <w:kern w:val="2"/>
          <w:sz w:val="24"/>
          <w:szCs w:val="24"/>
          <w:lang w:val="en-US" w:eastAsia="zh-CN" w:bidi="ar-SA"/>
        </w:rPr>
      </w:pPr>
      <w:r>
        <w:rPr>
          <w:rFonts w:hint="eastAsia" w:ascii="宋体" w:hAnsi="宋体" w:eastAsia="宋体" w:cs="华文仿宋"/>
          <w:b/>
          <w:bCs/>
          <w:color w:val="auto"/>
          <w:sz w:val="24"/>
          <w:szCs w:val="24"/>
          <w:lang w:val="en-US" w:eastAsia="zh-CN"/>
        </w:rPr>
        <w:t>4.2议价方式</w:t>
      </w:r>
    </w:p>
    <w:p>
      <w:pPr>
        <w:pStyle w:val="5"/>
        <w:keepNext w:val="0"/>
        <w:keepLines w:val="0"/>
        <w:pageBreakBefore w:val="0"/>
        <w:kinsoku/>
        <w:wordWrap/>
        <w:overflowPunct/>
        <w:topLinePunct w:val="0"/>
        <w:bidi w:val="0"/>
        <w:spacing w:line="400" w:lineRule="atLeast"/>
        <w:textAlignment w:val="auto"/>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本次采购项目通过采用电子平台竞价方式进行，请登录系统地址：</w:t>
      </w:r>
      <w:r>
        <w:fldChar w:fldCharType="begin"/>
      </w:r>
      <w:r>
        <w:instrText xml:space="preserve"> HYPERLINK "http://glzb.geely.com" </w:instrText>
      </w:r>
      <w:r>
        <w:fldChar w:fldCharType="separate"/>
      </w:r>
      <w:r>
        <w:rPr>
          <w:rFonts w:hint="eastAsia" w:ascii="宋体" w:hAnsi="宋体" w:eastAsia="宋体" w:cstheme="minorBidi"/>
          <w:color w:val="auto"/>
          <w:kern w:val="2"/>
          <w:sz w:val="24"/>
          <w:szCs w:val="24"/>
          <w:lang w:val="en-US" w:eastAsia="zh-CN" w:bidi="ar-SA"/>
        </w:rPr>
        <w:t>http://glzb.geely.com</w:t>
      </w:r>
      <w:r>
        <w:rPr>
          <w:rFonts w:hint="eastAsia" w:ascii="宋体" w:hAnsi="宋体" w:eastAsia="宋体" w:cstheme="minorBidi"/>
          <w:color w:val="auto"/>
          <w:kern w:val="2"/>
          <w:sz w:val="24"/>
          <w:szCs w:val="24"/>
          <w:lang w:val="en-US" w:eastAsia="zh-CN" w:bidi="ar-SA"/>
        </w:rPr>
        <w:fldChar w:fldCharType="end"/>
      </w:r>
      <w:r>
        <w:rPr>
          <w:rFonts w:hint="eastAsia" w:ascii="宋体" w:hAnsi="宋体" w:eastAsia="宋体" w:cstheme="minorBidi"/>
          <w:color w:val="auto"/>
          <w:kern w:val="2"/>
          <w:sz w:val="24"/>
          <w:szCs w:val="24"/>
          <w:lang w:val="en-US" w:eastAsia="zh-CN" w:bidi="ar-SA"/>
        </w:rPr>
        <w:t>;于竞价前自行注册账号，注册时请正确填写公司详细信息、联系人详细信息并上传相关营业执照、经营许可证及其它相关证书扫描件；请妥善保管您的账号和密码！</w:t>
      </w:r>
    </w:p>
    <w:p>
      <w:pPr>
        <w:keepNext w:val="0"/>
        <w:keepLines w:val="0"/>
        <w:pageBreakBefore w:val="0"/>
        <w:kinsoku/>
        <w:wordWrap/>
        <w:overflowPunct/>
        <w:topLinePunct w:val="0"/>
        <w:bidi w:val="0"/>
        <w:spacing w:line="400" w:lineRule="atLeast"/>
        <w:textAlignment w:val="auto"/>
        <w:rPr>
          <w:rFonts w:hint="eastAsia" w:ascii="宋体" w:hAnsi="宋体" w:eastAsia="宋体" w:cs="华文仿宋"/>
          <w:b/>
          <w:bCs/>
          <w:color w:val="auto"/>
          <w:sz w:val="24"/>
          <w:szCs w:val="24"/>
          <w:lang w:val="en-US" w:eastAsia="zh-CN"/>
        </w:rPr>
      </w:pPr>
      <w:r>
        <w:rPr>
          <w:rFonts w:hint="eastAsia" w:ascii="宋体" w:hAnsi="宋体" w:eastAsia="宋体" w:cs="华文仿宋"/>
          <w:b/>
          <w:bCs/>
          <w:color w:val="auto"/>
          <w:sz w:val="24"/>
          <w:szCs w:val="24"/>
          <w:lang w:val="en-US" w:eastAsia="zh-CN"/>
        </w:rPr>
        <w:t>4.4 评定方法</w:t>
      </w:r>
    </w:p>
    <w:p>
      <w:pPr>
        <w:pStyle w:val="5"/>
        <w:keepNext w:val="0"/>
        <w:keepLines w:val="0"/>
        <w:pageBreakBefore w:val="0"/>
        <w:kinsoku/>
        <w:wordWrap/>
        <w:overflowPunct/>
        <w:topLinePunct w:val="0"/>
        <w:bidi w:val="0"/>
        <w:spacing w:line="400" w:lineRule="atLeast"/>
        <w:ind w:left="0" w:leftChars="0" w:firstLine="480" w:firstLineChars="200"/>
        <w:textAlignment w:val="auto"/>
        <w:rPr>
          <w:rFonts w:hint="eastAsia" w:ascii="宋体" w:hAnsi="宋体" w:eastAsia="宋体" w:cstheme="minorBidi"/>
          <w:color w:val="auto"/>
          <w:kern w:val="2"/>
          <w:sz w:val="24"/>
          <w:szCs w:val="24"/>
          <w:lang w:val="en-US" w:eastAsia="zh-CN" w:bidi="ar-SA"/>
        </w:rPr>
      </w:pPr>
      <w:r>
        <w:rPr>
          <w:rFonts w:hint="eastAsia" w:ascii="宋体" w:hAnsi="宋体" w:eastAsia="宋体" w:cs="宋体"/>
          <w:bCs/>
          <w:color w:val="auto"/>
          <w:sz w:val="24"/>
          <w:szCs w:val="24"/>
          <w:highlight w:val="none"/>
          <w:lang w:val="en-US" w:eastAsia="zh-CN"/>
        </w:rPr>
        <w:t>本项目选定1名中标单位（</w:t>
      </w:r>
      <w:r>
        <w:rPr>
          <w:rFonts w:hint="eastAsia" w:ascii="宋体" w:hAnsi="宋体" w:eastAsia="宋体" w:cs="宋体"/>
          <w:b/>
          <w:bCs w:val="0"/>
          <w:color w:val="auto"/>
          <w:sz w:val="24"/>
          <w:szCs w:val="24"/>
          <w:highlight w:val="none"/>
          <w:lang w:val="en-US" w:eastAsia="zh-CN"/>
        </w:rPr>
        <w:t>招标小组视开标现场情况，必要时选择两家单位，排名第一的供应德保铝厂、排名第二的供应田林铝厂</w:t>
      </w:r>
      <w:r>
        <w:rPr>
          <w:rFonts w:hint="eastAsia" w:ascii="宋体" w:hAnsi="宋体" w:eastAsia="宋体" w:cs="宋体"/>
          <w:bCs/>
          <w:color w:val="auto"/>
          <w:sz w:val="24"/>
          <w:szCs w:val="24"/>
          <w:highlight w:val="none"/>
          <w:lang w:val="en-US" w:eastAsia="zh-CN"/>
        </w:rPr>
        <w:t>）。招标方对各投标单位的技术、商务进行评标后，招标方有权选择电子竞价、电子谈判或者多种形式结合的方式，确定预中标单位，直至第一、第二预中标人产生（必要时保留第三预中标人）。本项目按价格由低到高确定预中标人</w:t>
      </w:r>
      <w:r>
        <w:rPr>
          <w:rFonts w:hint="eastAsia" w:ascii="宋体" w:hAnsi="宋体" w:eastAsia="宋体" w:cstheme="minorBidi"/>
          <w:color w:val="auto"/>
          <w:kern w:val="2"/>
          <w:sz w:val="24"/>
          <w:szCs w:val="24"/>
          <w:lang w:val="en-US" w:eastAsia="zh-CN" w:bidi="ar-SA"/>
        </w:rPr>
        <w:t>。</w:t>
      </w:r>
      <w:bookmarkStart w:id="1" w:name="_Toc33189460"/>
    </w:p>
    <w:p>
      <w:pPr>
        <w:pStyle w:val="5"/>
        <w:keepNext w:val="0"/>
        <w:keepLines w:val="0"/>
        <w:pageBreakBefore w:val="0"/>
        <w:kinsoku/>
        <w:wordWrap/>
        <w:overflowPunct/>
        <w:topLinePunct w:val="0"/>
        <w:bidi w:val="0"/>
        <w:spacing w:line="400" w:lineRule="atLeast"/>
        <w:ind w:left="0" w:leftChars="0" w:firstLine="0" w:firstLineChars="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5.确认</w:t>
      </w:r>
      <w:bookmarkEnd w:id="1"/>
    </w:p>
    <w:p>
      <w:pPr>
        <w:keepNext w:val="0"/>
        <w:keepLines w:val="0"/>
        <w:pageBreakBefore w:val="0"/>
        <w:kinsoku/>
        <w:wordWrap/>
        <w:overflowPunct/>
        <w:topLinePunct w:val="0"/>
        <w:bidi w:val="0"/>
        <w:spacing w:line="400" w:lineRule="atLeast"/>
        <w:ind w:firstLine="450"/>
        <w:textAlignment w:val="auto"/>
        <w:rPr>
          <w:rFonts w:hint="eastAsia" w:ascii="宋体" w:hAnsi="宋体" w:eastAsia="宋体"/>
          <w:color w:val="auto"/>
          <w:sz w:val="24"/>
          <w:szCs w:val="24"/>
        </w:rPr>
      </w:pPr>
      <w:r>
        <w:rPr>
          <w:rFonts w:hint="eastAsia" w:ascii="宋体" w:hAnsi="宋体" w:eastAsia="宋体"/>
          <w:color w:val="auto"/>
          <w:sz w:val="24"/>
          <w:szCs w:val="24"/>
          <w:lang w:eastAsia="zh-CN"/>
        </w:rPr>
        <w:t>贵公司</w:t>
      </w:r>
      <w:r>
        <w:rPr>
          <w:rFonts w:hint="eastAsia" w:ascii="宋体" w:hAnsi="宋体" w:eastAsia="宋体"/>
          <w:color w:val="auto"/>
          <w:sz w:val="24"/>
          <w:szCs w:val="24"/>
        </w:rPr>
        <w:t>收到本标邀请书后，请</w:t>
      </w:r>
      <w:r>
        <w:rPr>
          <w:rFonts w:hint="eastAsia" w:ascii="宋体" w:hAnsi="宋体" w:eastAsia="宋体"/>
          <w:color w:val="auto"/>
          <w:sz w:val="24"/>
          <w:szCs w:val="24"/>
          <w:highlight w:val="none"/>
        </w:rPr>
        <w:t xml:space="preserve">于 </w:t>
      </w:r>
      <w:r>
        <w:rPr>
          <w:rFonts w:hint="eastAsia" w:ascii="宋体" w:hAnsi="宋体" w:eastAsia="宋体"/>
          <w:color w:val="auto"/>
          <w:sz w:val="24"/>
          <w:szCs w:val="24"/>
          <w:highlight w:val="none"/>
          <w:u w:val="single"/>
          <w:lang w:val="en-US" w:eastAsia="zh-CN"/>
        </w:rPr>
        <w:t>2025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10</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27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16 </w:t>
      </w:r>
      <w:r>
        <w:rPr>
          <w:rFonts w:hint="eastAsia" w:ascii="宋体" w:hAnsi="宋体" w:eastAsia="宋体"/>
          <w:color w:val="auto"/>
          <w:sz w:val="24"/>
          <w:szCs w:val="24"/>
          <w:highlight w:val="none"/>
        </w:rPr>
        <w:t>时前</w:t>
      </w:r>
      <w:r>
        <w:rPr>
          <w:rFonts w:hint="eastAsia" w:ascii="宋体" w:hAnsi="宋体" w:eastAsia="宋体"/>
          <w:color w:val="auto"/>
          <w:sz w:val="24"/>
          <w:szCs w:val="24"/>
        </w:rPr>
        <w:t>将确认通知（附件</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及营业执照、业绩合同扫描件、发票证明</w:t>
      </w:r>
      <w:r>
        <w:rPr>
          <w:rFonts w:hint="eastAsia" w:ascii="宋体" w:hAnsi="宋体" w:eastAsia="宋体"/>
          <w:color w:val="auto"/>
          <w:sz w:val="24"/>
          <w:szCs w:val="24"/>
        </w:rPr>
        <w:t>以邮件方式反馈给招标人商务人员，以确认是否参加。在本投标邀请书规定的时间内未表示是否参加或明确表示不参加投标的，不得再参加投标。</w:t>
      </w:r>
    </w:p>
    <w:p>
      <w:pPr>
        <w:keepNext w:val="0"/>
        <w:keepLines w:val="0"/>
        <w:pageBreakBefore w:val="0"/>
        <w:widowControl/>
        <w:kinsoku/>
        <w:wordWrap/>
        <w:overflowPunct/>
        <w:topLinePunct w:val="0"/>
        <w:bidi w:val="0"/>
        <w:snapToGrid w:val="0"/>
        <w:spacing w:line="400" w:lineRule="atLeast"/>
        <w:jc w:val="left"/>
        <w:textAlignment w:val="auto"/>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特别约定条款：</w:t>
      </w:r>
    </w:p>
    <w:p>
      <w:pPr>
        <w:keepNext w:val="0"/>
        <w:keepLines w:val="0"/>
        <w:pageBreakBefore w:val="0"/>
        <w:widowControl/>
        <w:kinsoku/>
        <w:wordWrap/>
        <w:overflowPunct/>
        <w:topLinePunct w:val="0"/>
        <w:bidi w:val="0"/>
        <w:snapToGrid w:val="0"/>
        <w:spacing w:line="400" w:lineRule="atLeast"/>
        <w:ind w:firstLine="480" w:firstLineChars="200"/>
        <w:jc w:val="left"/>
        <w:textAlignment w:val="auto"/>
        <w:rPr>
          <w:rFonts w:hint="eastAsia" w:asciiTheme="majorEastAsia" w:hAnsiTheme="majorEastAsia" w:eastAsiaTheme="majorEastAsia" w:cstheme="majorEastAsia"/>
          <w:b/>
          <w:bCs/>
          <w:color w:val="auto"/>
          <w:kern w:val="0"/>
          <w:sz w:val="24"/>
          <w:szCs w:val="24"/>
          <w:lang w:val="en-US" w:eastAsia="zh-CN"/>
        </w:rPr>
      </w:pPr>
      <w:r>
        <w:rPr>
          <w:rFonts w:hint="eastAsia" w:ascii="宋体" w:hAnsi="宋体" w:eastAsia="宋体" w:cs="宋体"/>
          <w:b w:val="0"/>
          <w:bCs w:val="0"/>
          <w:color w:val="auto"/>
          <w:kern w:val="0"/>
          <w:sz w:val="24"/>
        </w:rPr>
        <w:t>鉴于卖方通过参加买方的招投标活动或</w:t>
      </w:r>
      <w:r>
        <w:rPr>
          <w:rFonts w:hint="eastAsia" w:ascii="宋体" w:hAnsi="宋体" w:eastAsia="宋体"/>
          <w:color w:val="auto"/>
          <w:kern w:val="0"/>
          <w:sz w:val="24"/>
          <w:lang w:eastAsia="zh-CN"/>
        </w:rPr>
        <w:t>竞</w:t>
      </w:r>
      <w:r>
        <w:rPr>
          <w:rFonts w:hint="eastAsia" w:ascii="宋体" w:hAnsi="宋体"/>
          <w:color w:val="auto"/>
          <w:kern w:val="0"/>
          <w:sz w:val="24"/>
        </w:rPr>
        <w:t>争性谈判而取得签订本合同的资格，在合同签订后或者合同履行过程中，如果买方发现卖方在投标或者与买方谈判过程中有虚构事实，从而使买方误信卖方符合投标或者谈判条件，进而卖方中标并与买方签订合同的情形，则买方有权单方终止本合同，并且自买方口头或者书面通知卖方</w:t>
      </w:r>
      <w:r>
        <w:rPr>
          <w:rFonts w:hint="eastAsia" w:asciiTheme="majorEastAsia" w:hAnsiTheme="majorEastAsia" w:eastAsiaTheme="majorEastAsia" w:cstheme="majorEastAsia"/>
          <w:color w:val="auto"/>
          <w:kern w:val="0"/>
          <w:sz w:val="24"/>
          <w:szCs w:val="24"/>
        </w:rPr>
        <w:t>合同终止日起本合同终止。</w:t>
      </w:r>
    </w:p>
    <w:p>
      <w:pPr>
        <w:pStyle w:val="23"/>
        <w:rPr>
          <w:rFonts w:hint="eastAsia" w:asciiTheme="majorEastAsia" w:hAnsiTheme="majorEastAsia" w:eastAsiaTheme="majorEastAsia" w:cstheme="majorEastAsia"/>
          <w:b/>
          <w:bCs/>
          <w:color w:val="auto"/>
          <w:kern w:val="0"/>
          <w:sz w:val="24"/>
          <w:szCs w:val="24"/>
          <w:lang w:val="en-US" w:eastAsia="zh-CN"/>
        </w:rPr>
      </w:pPr>
      <w:r>
        <w:rPr>
          <w:rFonts w:hint="eastAsia" w:asciiTheme="majorEastAsia" w:hAnsiTheme="majorEastAsia" w:eastAsiaTheme="majorEastAsia" w:cstheme="majorEastAsia"/>
          <w:b/>
          <w:bCs/>
          <w:color w:val="auto"/>
          <w:kern w:val="0"/>
          <w:sz w:val="24"/>
          <w:szCs w:val="24"/>
          <w:lang w:val="en-US" w:eastAsia="zh-CN"/>
        </w:rPr>
        <w:t>7.投标保证金及履约保证金</w:t>
      </w:r>
    </w:p>
    <w:p>
      <w:pPr>
        <w:pStyle w:val="23"/>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7.1</w:t>
      </w:r>
      <w:r>
        <w:rPr>
          <w:rFonts w:hint="eastAsia" w:ascii="宋体" w:hAnsi="宋体" w:cs="宋体"/>
          <w:bCs/>
          <w:color w:val="auto"/>
          <w:kern w:val="2"/>
          <w:sz w:val="24"/>
          <w:szCs w:val="24"/>
          <w:highlight w:val="none"/>
          <w:lang w:val="en-US" w:eastAsia="zh-CN" w:bidi="ar-SA"/>
        </w:rPr>
        <w:t xml:space="preserve"> </w:t>
      </w:r>
      <w:r>
        <w:rPr>
          <w:rFonts w:hint="eastAsia" w:ascii="宋体" w:hAnsi="宋体" w:eastAsia="宋体" w:cs="宋体"/>
          <w:bCs/>
          <w:color w:val="auto"/>
          <w:kern w:val="2"/>
          <w:sz w:val="24"/>
          <w:szCs w:val="24"/>
          <w:highlight w:val="none"/>
          <w:lang w:val="en-US" w:eastAsia="zh-CN" w:bidi="ar-SA"/>
        </w:rPr>
        <w:t>投标保证金金额：投标保证金</w:t>
      </w:r>
      <w:r>
        <w:rPr>
          <w:rFonts w:hint="eastAsia" w:ascii="宋体" w:hAnsi="宋体" w:cs="宋体"/>
          <w:b/>
          <w:bCs w:val="0"/>
          <w:color w:val="auto"/>
          <w:kern w:val="2"/>
          <w:sz w:val="24"/>
          <w:szCs w:val="24"/>
          <w:highlight w:val="none"/>
          <w:lang w:val="en-US" w:eastAsia="zh-CN" w:bidi="ar-SA"/>
        </w:rPr>
        <w:t>10</w:t>
      </w:r>
      <w:r>
        <w:rPr>
          <w:rFonts w:hint="eastAsia" w:ascii="宋体" w:hAnsi="宋体" w:eastAsia="宋体" w:cs="宋体"/>
          <w:bCs/>
          <w:color w:val="auto"/>
          <w:kern w:val="2"/>
          <w:sz w:val="24"/>
          <w:szCs w:val="24"/>
          <w:highlight w:val="none"/>
          <w:lang w:val="en-US" w:eastAsia="zh-CN" w:bidi="ar-SA"/>
        </w:rPr>
        <w:t>万元。投标保证金须在2025年</w:t>
      </w:r>
      <w:r>
        <w:rPr>
          <w:rFonts w:hint="eastAsia" w:ascii="宋体" w:hAnsi="宋体" w:cs="宋体"/>
          <w:bCs/>
          <w:color w:val="auto"/>
          <w:kern w:val="2"/>
          <w:sz w:val="24"/>
          <w:szCs w:val="24"/>
          <w:highlight w:val="none"/>
          <w:lang w:val="en-US" w:eastAsia="zh-CN" w:bidi="ar-SA"/>
        </w:rPr>
        <w:t>10</w:t>
      </w:r>
      <w:r>
        <w:rPr>
          <w:rFonts w:hint="eastAsia" w:ascii="宋体" w:hAnsi="宋体" w:eastAsia="宋体" w:cs="宋体"/>
          <w:bCs/>
          <w:color w:val="auto"/>
          <w:kern w:val="2"/>
          <w:sz w:val="24"/>
          <w:szCs w:val="24"/>
          <w:highlight w:val="none"/>
          <w:lang w:val="en-US" w:eastAsia="zh-CN" w:bidi="ar-SA"/>
        </w:rPr>
        <w:t>月</w:t>
      </w:r>
      <w:r>
        <w:rPr>
          <w:rFonts w:hint="eastAsia" w:ascii="宋体" w:hAnsi="宋体" w:cs="宋体"/>
          <w:bCs/>
          <w:color w:val="auto"/>
          <w:kern w:val="2"/>
          <w:sz w:val="24"/>
          <w:szCs w:val="24"/>
          <w:highlight w:val="none"/>
          <w:lang w:val="en-US" w:eastAsia="zh-CN" w:bidi="ar-SA"/>
        </w:rPr>
        <w:t>10</w:t>
      </w:r>
      <w:r>
        <w:rPr>
          <w:rFonts w:hint="eastAsia" w:ascii="宋体" w:hAnsi="宋体" w:eastAsia="宋体" w:cs="宋体"/>
          <w:bCs/>
          <w:color w:val="auto"/>
          <w:kern w:val="2"/>
          <w:sz w:val="24"/>
          <w:szCs w:val="24"/>
          <w:highlight w:val="none"/>
          <w:lang w:val="en-US" w:eastAsia="zh-CN" w:bidi="ar-SA"/>
        </w:rPr>
        <w:t>日前汇入我公司账户并提供相应材料（资审合格单位收到通知后缴纳）。未按规定的时间缴纳保证的，不得参加投标。</w:t>
      </w:r>
    </w:p>
    <w:p>
      <w:pPr>
        <w:pStyle w:val="23"/>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 xml:space="preserve">7.2 </w:t>
      </w:r>
      <w:r>
        <w:rPr>
          <w:rFonts w:hint="eastAsia" w:ascii="宋体" w:hAnsi="宋体" w:eastAsia="宋体" w:cs="宋体"/>
          <w:color w:val="auto"/>
          <w:sz w:val="24"/>
          <w:szCs w:val="24"/>
          <w:highlight w:val="none"/>
        </w:rPr>
        <w:t>中标人的投标保证金在中标人与招标方签订了经济合同</w:t>
      </w:r>
      <w:r>
        <w:rPr>
          <w:rFonts w:hint="eastAsia" w:ascii="宋体" w:hAnsi="宋体" w:eastAsia="宋体" w:cs="宋体"/>
          <w:color w:val="auto"/>
          <w:sz w:val="24"/>
          <w:szCs w:val="24"/>
          <w:highlight w:val="none"/>
          <w:lang w:val="en-US" w:eastAsia="zh-CN"/>
        </w:rPr>
        <w:t>并缴纳履约保证金至对应业务单位账户后退还</w:t>
      </w:r>
      <w:r>
        <w:rPr>
          <w:rFonts w:hint="eastAsia" w:ascii="宋体" w:hAnsi="宋体" w:eastAsia="宋体" w:cs="宋体"/>
          <w:color w:val="auto"/>
          <w:sz w:val="24"/>
          <w:szCs w:val="24"/>
          <w:highlight w:val="none"/>
        </w:rPr>
        <w:t>，第二预中标人投标保证金在第一预中标人合同签订后才能无息退还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其余投标人</w:t>
      </w:r>
      <w:r>
        <w:rPr>
          <w:rFonts w:hint="eastAsia" w:ascii="宋体" w:hAnsi="宋体" w:eastAsia="宋体" w:cs="宋体"/>
          <w:color w:val="auto"/>
          <w:sz w:val="24"/>
          <w:szCs w:val="24"/>
          <w:highlight w:val="none"/>
        </w:rPr>
        <w:t>的投标保证金将在确定中标人后15个工作日内无息退还</w:t>
      </w:r>
      <w:r>
        <w:rPr>
          <w:rFonts w:hint="eastAsia" w:ascii="宋体" w:hAnsi="宋体" w:eastAsia="宋体" w:cs="宋体"/>
          <w:bCs/>
          <w:color w:val="auto"/>
          <w:kern w:val="2"/>
          <w:sz w:val="24"/>
          <w:szCs w:val="24"/>
          <w:highlight w:val="none"/>
          <w:lang w:val="en-US" w:eastAsia="zh-CN" w:bidi="ar-SA"/>
        </w:rPr>
        <w:t>。</w:t>
      </w:r>
    </w:p>
    <w:p>
      <w:pPr>
        <w:spacing w:line="360" w:lineRule="auto"/>
        <w:ind w:firstLine="482"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投标保证金收款账户</w:t>
      </w:r>
      <w:r>
        <w:rPr>
          <w:rFonts w:hint="eastAsia" w:ascii="宋体" w:hAnsi="宋体" w:eastAsia="宋体" w:cs="宋体"/>
          <w:color w:val="auto"/>
          <w:sz w:val="24"/>
          <w:szCs w:val="24"/>
          <w:highlight w:val="none"/>
        </w:rPr>
        <w:t>：</w:t>
      </w:r>
    </w:p>
    <w:p>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开户名称：广西德保百矿铝业有限公司</w:t>
      </w:r>
    </w:p>
    <w:p>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开户账号：45050167760100000099</w:t>
      </w:r>
    </w:p>
    <w:p>
      <w:pPr>
        <w:pStyle w:val="23"/>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Cs/>
          <w:color w:val="auto"/>
          <w:kern w:val="2"/>
          <w:sz w:val="24"/>
          <w:szCs w:val="24"/>
          <w:highlight w:val="yellow"/>
          <w:lang w:val="en-US" w:eastAsia="zh-CN" w:bidi="ar-SA"/>
        </w:rPr>
      </w:pPr>
      <w:r>
        <w:rPr>
          <w:rFonts w:hint="eastAsia" w:ascii="宋体" w:hAnsi="宋体" w:eastAsia="宋体" w:cs="宋体"/>
          <w:bCs/>
          <w:color w:val="auto"/>
          <w:kern w:val="2"/>
          <w:sz w:val="24"/>
          <w:szCs w:val="24"/>
          <w:highlight w:val="none"/>
          <w:lang w:val="en-US" w:eastAsia="zh-CN" w:bidi="ar-SA"/>
        </w:rPr>
        <w:t>开户行：中国建设银行股份有限公司德保桂西华银铝支行</w:t>
      </w:r>
    </w:p>
    <w:p>
      <w:pPr>
        <w:pStyle w:val="23"/>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（汇款时备注：德保、田林铝厂第二批启槽高分子冰晶石采购项目</w:t>
      </w:r>
      <w:r>
        <w:rPr>
          <w:rFonts w:hint="eastAsia" w:ascii="宋体" w:hAnsi="宋体" w:cs="宋体"/>
          <w:b/>
          <w:bCs w:val="0"/>
          <w:color w:val="auto"/>
          <w:kern w:val="2"/>
          <w:sz w:val="24"/>
          <w:szCs w:val="24"/>
          <w:highlight w:val="none"/>
          <w:lang w:val="en-US" w:eastAsia="zh-CN" w:bidi="ar-SA"/>
        </w:rPr>
        <w:t>投标保证金</w:t>
      </w:r>
      <w:r>
        <w:rPr>
          <w:rFonts w:hint="eastAsia" w:ascii="宋体" w:hAnsi="宋体" w:eastAsia="宋体" w:cs="宋体"/>
          <w:b/>
          <w:bCs w:val="0"/>
          <w:color w:val="auto"/>
          <w:kern w:val="2"/>
          <w:sz w:val="24"/>
          <w:szCs w:val="24"/>
          <w:highlight w:val="none"/>
          <w:lang w:val="en-US" w:eastAsia="zh-CN" w:bidi="ar-SA"/>
        </w:rPr>
        <w:t>）</w:t>
      </w:r>
    </w:p>
    <w:p>
      <w:pPr>
        <w:spacing w:line="440" w:lineRule="exac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7.3有下列情形之一的，投标保证金将不予退还：</w:t>
      </w:r>
    </w:p>
    <w:p>
      <w:pPr>
        <w:spacing w:line="440" w:lineRule="exac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1）未按规定时间签订或拒不签订正式合同。 </w:t>
      </w:r>
    </w:p>
    <w:p>
      <w:pPr>
        <w:spacing w:line="440" w:lineRule="exac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2）未按规定时间提交履约保证金。 </w:t>
      </w:r>
    </w:p>
    <w:p>
      <w:pPr>
        <w:spacing w:line="440" w:lineRule="exac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3）因恶意竞争、经营财务发生较大变化等自身原因要求放弃中标。 </w:t>
      </w:r>
    </w:p>
    <w:p>
      <w:pPr>
        <w:spacing w:line="440" w:lineRule="exac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4）存在违法行为获取中标或存在以其他方式弄虚作假行为骗取中标。 </w:t>
      </w:r>
    </w:p>
    <w:p>
      <w:pPr>
        <w:spacing w:line="440" w:lineRule="exac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5）投标有效期内投标单位撤销投标文件。 </w:t>
      </w:r>
    </w:p>
    <w:p>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6）投标人被发现有围标、串标行为或法律法规、邀请书规定其它应扣留</w:t>
      </w:r>
      <w:r>
        <w:rPr>
          <w:rFonts w:hint="eastAsia" w:ascii="宋体" w:hAnsi="宋体" w:eastAsia="宋体" w:cs="宋体"/>
          <w:color w:val="auto"/>
          <w:kern w:val="0"/>
          <w:sz w:val="24"/>
          <w:szCs w:val="24"/>
          <w:highlight w:val="none"/>
          <w:lang w:val="en-US" w:eastAsia="zh-CN" w:bidi="ar-SA"/>
        </w:rPr>
        <w:t xml:space="preserve">投标保证金的。 </w:t>
      </w:r>
    </w:p>
    <w:p>
      <w:pPr>
        <w:pStyle w:val="23"/>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7.4 若第一预中标人放弃中标资格，招标人将与第二中标候选人签订合同，如果第二中标候选人同样出现6.2规定的情形的，其投标保证金不予退还。</w:t>
      </w:r>
    </w:p>
    <w:p>
      <w:pPr>
        <w:pStyle w:val="23"/>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7.5 投标人如违反招标人纪律要求的，其投标保证金不予退还。</w:t>
      </w:r>
    </w:p>
    <w:p>
      <w:pPr>
        <w:pStyle w:val="23"/>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7.6 </w:t>
      </w:r>
      <w:r>
        <w:rPr>
          <w:rFonts w:hint="eastAsia" w:ascii="宋体" w:hAnsi="宋体" w:eastAsia="宋体" w:cs="宋体"/>
          <w:b/>
          <w:bCs w:val="0"/>
          <w:color w:val="auto"/>
          <w:kern w:val="2"/>
          <w:sz w:val="24"/>
          <w:szCs w:val="24"/>
          <w:highlight w:val="none"/>
          <w:lang w:val="en-US" w:eastAsia="zh-CN" w:bidi="ar-SA"/>
        </w:rPr>
        <w:t>履约保证金：</w:t>
      </w:r>
    </w:p>
    <w:p>
      <w:pP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7.6.1 履约保证金缴纳形式：电汇或见索即付不可撤销的保函均可。</w:t>
      </w:r>
    </w:p>
    <w:p>
      <w:pP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7.6.2 履约保证金的金额：</w:t>
      </w:r>
      <w:r>
        <w:rPr>
          <w:rFonts w:hint="eastAsia" w:ascii="宋体" w:hAnsi="宋体" w:eastAsia="宋体" w:cs="宋体"/>
          <w:b/>
          <w:bCs w:val="0"/>
          <w:color w:val="auto"/>
          <w:sz w:val="24"/>
          <w:szCs w:val="24"/>
          <w:highlight w:val="none"/>
          <w:lang w:val="en-US" w:eastAsia="zh-CN"/>
        </w:rPr>
        <w:t>中标总金额的3%</w:t>
      </w:r>
      <w:r>
        <w:rPr>
          <w:rFonts w:hint="eastAsia" w:ascii="宋体" w:hAnsi="宋体" w:eastAsia="宋体" w:cs="宋体"/>
          <w:bCs/>
          <w:color w:val="auto"/>
          <w:sz w:val="24"/>
          <w:szCs w:val="24"/>
          <w:highlight w:val="none"/>
          <w:lang w:val="en-US" w:eastAsia="zh-CN"/>
        </w:rPr>
        <w:t>，双方签订合同后7个工作日内缴纳至甲方指定账户。</w:t>
      </w:r>
    </w:p>
    <w:p>
      <w:pP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7.6.3 履约保证金退还：中标人按合同履约完成供货后30日内，招标人将履约保证金全额无息退还给中标人；如有违约金或损失赔偿金等需要扣除的，则退还扣除后的剩余部分，如履约保证金不足以弥补的，招标人有权追偿。</w:t>
      </w:r>
    </w:p>
    <w:p>
      <w:pPr>
        <w:pStyle w:val="23"/>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7.6.4 见索即付不可撤销的保函担保期限：合同生效至乙方按合同履约完成供货后30日。如有违约金或损失赔偿金等需要扣除的，中标人可以通过履约保函进行索赔，如履约保函索赔金额不足以弥补的，招标人有权追偿。</w:t>
      </w:r>
    </w:p>
    <w:p>
      <w:pPr>
        <w:pStyle w:val="5"/>
        <w:ind w:left="0" w:leftChars="0" w:firstLine="0" w:firstLineChars="0"/>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8.联系方式</w:t>
      </w:r>
    </w:p>
    <w:tbl>
      <w:tblPr>
        <w:tblStyle w:val="14"/>
        <w:tblW w:w="6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84"/>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distribute"/>
              <w:rPr>
                <w:rFonts w:hint="eastAsia" w:eastAsiaTheme="minorEastAsia"/>
                <w:color w:val="auto"/>
                <w:kern w:val="0"/>
                <w:sz w:val="24"/>
                <w:szCs w:val="24"/>
                <w:lang w:eastAsia="zh-CN"/>
              </w:rPr>
            </w:pPr>
            <w:r>
              <w:rPr>
                <w:rFonts w:hint="eastAsia"/>
                <w:color w:val="auto"/>
                <w:kern w:val="0"/>
                <w:sz w:val="24"/>
                <w:szCs w:val="24"/>
                <w:lang w:val="en-US" w:eastAsia="zh-CN"/>
              </w:rPr>
              <w:t>公司</w:t>
            </w:r>
          </w:p>
        </w:tc>
        <w:tc>
          <w:tcPr>
            <w:tcW w:w="284" w:type="dxa"/>
            <w:tcBorders>
              <w:top w:val="nil"/>
              <w:left w:val="nil"/>
              <w:bottom w:val="nil"/>
              <w:right w:val="nil"/>
            </w:tcBorders>
            <w:tcMar>
              <w:left w:w="0" w:type="dxa"/>
              <w:right w:w="0" w:type="dxa"/>
            </w:tcMar>
            <w:vAlign w:val="center"/>
          </w:tcPr>
          <w:p>
            <w:pPr>
              <w:spacing w:line="400" w:lineRule="exact"/>
              <w:rPr>
                <w:color w:val="auto"/>
                <w:kern w:val="0"/>
                <w:sz w:val="24"/>
                <w:szCs w:val="24"/>
              </w:rPr>
            </w:pPr>
            <w:r>
              <w:rPr>
                <w:rFonts w:hint="eastAsia"/>
                <w:color w:val="auto"/>
                <w:kern w:val="0"/>
                <w:sz w:val="24"/>
                <w:szCs w:val="24"/>
              </w:rPr>
              <w:t>：</w:t>
            </w:r>
          </w:p>
        </w:tc>
        <w:tc>
          <w:tcPr>
            <w:tcW w:w="5114" w:type="dxa"/>
            <w:tcBorders>
              <w:top w:val="nil"/>
              <w:left w:val="nil"/>
              <w:right w:val="nil"/>
            </w:tcBorders>
          </w:tcPr>
          <w:p>
            <w:pPr>
              <w:spacing w:line="400" w:lineRule="exact"/>
              <w:rPr>
                <w:rFonts w:hint="eastAsia" w:ascii="宋体" w:hAnsi="宋体" w:eastAsia="宋体"/>
                <w:color w:val="auto"/>
                <w:sz w:val="24"/>
                <w:szCs w:val="24"/>
              </w:rPr>
            </w:pPr>
            <w:r>
              <w:rPr>
                <w:rFonts w:hint="eastAsia" w:ascii="宋体" w:hAnsi="宋体" w:eastAsia="宋体"/>
                <w:color w:val="auto"/>
                <w:sz w:val="24"/>
                <w:szCs w:val="24"/>
                <w:lang w:val="en-US" w:eastAsia="zh-CN"/>
              </w:rPr>
              <w:t>吉利百矿集团有限公司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distribute"/>
              <w:rPr>
                <w:color w:val="auto"/>
                <w:kern w:val="0"/>
                <w:sz w:val="24"/>
                <w:szCs w:val="24"/>
              </w:rPr>
            </w:pPr>
            <w:r>
              <w:rPr>
                <w:rFonts w:hint="eastAsia"/>
                <w:color w:val="auto"/>
                <w:kern w:val="0"/>
                <w:sz w:val="24"/>
                <w:szCs w:val="24"/>
              </w:rPr>
              <w:t>地址</w:t>
            </w:r>
          </w:p>
        </w:tc>
        <w:tc>
          <w:tcPr>
            <w:tcW w:w="284" w:type="dxa"/>
            <w:tcBorders>
              <w:top w:val="nil"/>
              <w:left w:val="nil"/>
              <w:bottom w:val="nil"/>
              <w:right w:val="nil"/>
            </w:tcBorders>
            <w:tcMar>
              <w:left w:w="0" w:type="dxa"/>
              <w:right w:w="0" w:type="dxa"/>
            </w:tcMar>
            <w:vAlign w:val="center"/>
          </w:tcPr>
          <w:p>
            <w:pPr>
              <w:spacing w:line="400" w:lineRule="exact"/>
              <w:rPr>
                <w:color w:val="auto"/>
                <w:kern w:val="0"/>
                <w:sz w:val="24"/>
                <w:szCs w:val="24"/>
              </w:rPr>
            </w:pPr>
            <w:r>
              <w:rPr>
                <w:rFonts w:hint="eastAsia"/>
                <w:color w:val="auto"/>
                <w:kern w:val="0"/>
                <w:sz w:val="24"/>
                <w:szCs w:val="24"/>
              </w:rPr>
              <w:t>：</w:t>
            </w:r>
          </w:p>
        </w:tc>
        <w:tc>
          <w:tcPr>
            <w:tcW w:w="5114" w:type="dxa"/>
            <w:tcBorders>
              <w:left w:val="nil"/>
              <w:right w:val="nil"/>
            </w:tcBorders>
          </w:tcPr>
          <w:p>
            <w:pPr>
              <w:spacing w:line="400" w:lineRule="exact"/>
              <w:rPr>
                <w:rFonts w:hint="default" w:ascii="宋体" w:hAnsi="宋体" w:eastAsia="宋体"/>
                <w:color w:val="auto"/>
                <w:sz w:val="24"/>
                <w:szCs w:val="24"/>
                <w:lang w:val="en-US" w:eastAsia="zh-CN"/>
              </w:rPr>
            </w:pPr>
            <w:r>
              <w:rPr>
                <w:rFonts w:hint="eastAsia" w:ascii="宋体" w:hAnsi="宋体" w:eastAsia="宋体"/>
                <w:color w:val="auto"/>
                <w:sz w:val="24"/>
                <w:szCs w:val="24"/>
              </w:rPr>
              <w:t>广西</w:t>
            </w:r>
            <w:r>
              <w:rPr>
                <w:rFonts w:hint="eastAsia" w:ascii="宋体" w:hAnsi="宋体" w:eastAsia="宋体"/>
                <w:color w:val="auto"/>
                <w:sz w:val="24"/>
                <w:szCs w:val="24"/>
                <w:lang w:eastAsia="zh-CN"/>
              </w:rPr>
              <w:t>百色市右江区</w:t>
            </w:r>
            <w:r>
              <w:rPr>
                <w:rFonts w:hint="eastAsia" w:ascii="宋体" w:hAnsi="宋体" w:eastAsia="宋体"/>
                <w:color w:val="auto"/>
                <w:sz w:val="24"/>
                <w:szCs w:val="24"/>
                <w:lang w:val="en-US" w:eastAsia="zh-CN"/>
              </w:rPr>
              <w:t>永安大道1号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distribute"/>
              <w:rPr>
                <w:color w:val="auto"/>
                <w:kern w:val="0"/>
                <w:sz w:val="24"/>
                <w:szCs w:val="24"/>
              </w:rPr>
            </w:pPr>
            <w:r>
              <w:rPr>
                <w:rFonts w:hint="eastAsia"/>
                <w:color w:val="auto"/>
                <w:kern w:val="0"/>
                <w:sz w:val="24"/>
                <w:szCs w:val="24"/>
              </w:rPr>
              <w:t>网址</w:t>
            </w:r>
          </w:p>
        </w:tc>
        <w:tc>
          <w:tcPr>
            <w:tcW w:w="284" w:type="dxa"/>
            <w:tcBorders>
              <w:top w:val="nil"/>
              <w:left w:val="nil"/>
              <w:bottom w:val="nil"/>
              <w:right w:val="nil"/>
            </w:tcBorders>
            <w:tcMar>
              <w:left w:w="0" w:type="dxa"/>
              <w:right w:w="0" w:type="dxa"/>
            </w:tcMar>
            <w:vAlign w:val="center"/>
          </w:tcPr>
          <w:p>
            <w:pPr>
              <w:spacing w:line="400" w:lineRule="exact"/>
              <w:rPr>
                <w:rFonts w:hint="eastAsia" w:ascii="宋体" w:hAnsi="宋体" w:eastAsia="宋体"/>
                <w:color w:val="auto"/>
                <w:sz w:val="24"/>
                <w:szCs w:val="24"/>
              </w:rPr>
            </w:pPr>
            <w:r>
              <w:rPr>
                <w:rFonts w:hint="eastAsia" w:ascii="宋体" w:hAnsi="宋体" w:eastAsia="宋体"/>
                <w:color w:val="auto"/>
                <w:sz w:val="24"/>
                <w:szCs w:val="24"/>
              </w:rPr>
              <w:t>：</w:t>
            </w:r>
          </w:p>
        </w:tc>
        <w:tc>
          <w:tcPr>
            <w:tcW w:w="5114" w:type="dxa"/>
            <w:tcBorders>
              <w:left w:val="nil"/>
              <w:right w:val="nil"/>
            </w:tcBorders>
          </w:tcPr>
          <w:p>
            <w:pPr>
              <w:spacing w:line="400" w:lineRule="exact"/>
              <w:rPr>
                <w:rFonts w:hint="eastAsia" w:ascii="宋体" w:hAnsi="宋体" w:eastAsia="宋体"/>
                <w:color w:val="auto"/>
                <w:sz w:val="24"/>
                <w:szCs w:val="24"/>
              </w:rPr>
            </w:pPr>
            <w:r>
              <w:fldChar w:fldCharType="begin"/>
            </w:r>
            <w:r>
              <w:instrText xml:space="preserve"> HYPERLINK "https://glzb.geely.com" </w:instrText>
            </w:r>
            <w:r>
              <w:fldChar w:fldCharType="separate"/>
            </w:r>
            <w:r>
              <w:rPr>
                <w:rFonts w:hint="eastAsia" w:ascii="宋体" w:hAnsi="宋体" w:eastAsia="宋体"/>
                <w:color w:val="auto"/>
                <w:sz w:val="24"/>
                <w:szCs w:val="24"/>
              </w:rPr>
              <w:t>https://glzb.geely.com</w:t>
            </w:r>
            <w:r>
              <w:rPr>
                <w:rFonts w:hint="eastAsia" w:ascii="宋体" w:hAnsi="宋体" w:eastAsia="宋体"/>
                <w:color w:val="auto"/>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center"/>
              <w:rPr>
                <w:rFonts w:hint="eastAsia" w:ascii="宋体" w:hAnsi="宋体" w:eastAsia="宋体"/>
                <w:color w:val="auto"/>
                <w:sz w:val="24"/>
                <w:szCs w:val="24"/>
              </w:rPr>
            </w:pPr>
            <w:r>
              <w:rPr>
                <w:rFonts w:hint="eastAsia" w:ascii="宋体" w:hAnsi="宋体" w:eastAsia="宋体"/>
                <w:color w:val="auto"/>
                <w:sz w:val="24"/>
                <w:szCs w:val="24"/>
              </w:rPr>
              <w:t>联系人</w:t>
            </w:r>
          </w:p>
        </w:tc>
        <w:tc>
          <w:tcPr>
            <w:tcW w:w="284" w:type="dxa"/>
            <w:tcBorders>
              <w:top w:val="nil"/>
              <w:left w:val="nil"/>
              <w:bottom w:val="nil"/>
              <w:right w:val="nil"/>
            </w:tcBorders>
            <w:tcMar>
              <w:left w:w="0" w:type="dxa"/>
              <w:right w:w="0" w:type="dxa"/>
            </w:tcMar>
            <w:vAlign w:val="center"/>
          </w:tcPr>
          <w:p>
            <w:pPr>
              <w:spacing w:line="400" w:lineRule="exact"/>
              <w:rPr>
                <w:color w:val="auto"/>
                <w:kern w:val="0"/>
                <w:sz w:val="24"/>
                <w:szCs w:val="24"/>
              </w:rPr>
            </w:pPr>
            <w:r>
              <w:rPr>
                <w:rFonts w:hint="eastAsia"/>
                <w:color w:val="auto"/>
                <w:kern w:val="0"/>
                <w:sz w:val="24"/>
                <w:szCs w:val="24"/>
              </w:rPr>
              <w:t>：</w:t>
            </w:r>
          </w:p>
        </w:tc>
        <w:tc>
          <w:tcPr>
            <w:tcW w:w="5114" w:type="dxa"/>
            <w:tcBorders>
              <w:left w:val="nil"/>
              <w:right w:val="nil"/>
            </w:tcBorders>
          </w:tcPr>
          <w:p>
            <w:pPr>
              <w:spacing w:line="400" w:lineRule="exact"/>
              <w:rPr>
                <w:rFonts w:hint="default" w:ascii="宋体" w:hAnsi="宋体" w:eastAsia="宋体"/>
                <w:color w:val="auto"/>
                <w:sz w:val="24"/>
                <w:szCs w:val="24"/>
                <w:lang w:val="en-US"/>
              </w:rPr>
            </w:pPr>
            <w:r>
              <w:rPr>
                <w:rFonts w:hint="eastAsia" w:ascii="宋体" w:hAnsi="宋体" w:eastAsia="宋体"/>
                <w:color w:val="auto"/>
                <w:sz w:val="24"/>
                <w:szCs w:val="24"/>
                <w:lang w:val="en-US" w:eastAsia="zh-CN"/>
              </w:rPr>
              <w:t>赵尚</w:t>
            </w:r>
            <w:r>
              <w:rPr>
                <w:rFonts w:hint="eastAsia" w:ascii="宋体" w:hAnsi="宋体" w:eastAsia="宋体"/>
                <w:color w:val="auto"/>
                <w:sz w:val="24"/>
                <w:szCs w:val="24"/>
              </w:rPr>
              <w:t xml:space="preserve"> </w:t>
            </w:r>
            <w:r>
              <w:rPr>
                <w:rFonts w:hint="eastAsia" w:ascii="宋体" w:hAnsi="宋体" w:eastAsia="宋体"/>
                <w:color w:val="auto"/>
                <w:sz w:val="24"/>
                <w:szCs w:val="24"/>
                <w:lang w:val="en-US" w:eastAsia="zh-CN"/>
              </w:rPr>
              <w:t>18577684634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distribute"/>
              <w:rPr>
                <w:color w:val="auto"/>
                <w:kern w:val="0"/>
                <w:sz w:val="24"/>
                <w:szCs w:val="24"/>
              </w:rPr>
            </w:pPr>
            <w:r>
              <w:rPr>
                <w:color w:val="auto"/>
                <w:kern w:val="0"/>
                <w:sz w:val="24"/>
                <w:szCs w:val="24"/>
              </w:rPr>
              <w:t>邮箱</w:t>
            </w:r>
          </w:p>
        </w:tc>
        <w:tc>
          <w:tcPr>
            <w:tcW w:w="284" w:type="dxa"/>
            <w:tcBorders>
              <w:top w:val="nil"/>
              <w:left w:val="nil"/>
              <w:bottom w:val="nil"/>
              <w:right w:val="nil"/>
            </w:tcBorders>
            <w:tcMar>
              <w:left w:w="0" w:type="dxa"/>
              <w:right w:w="0" w:type="dxa"/>
            </w:tcMar>
            <w:vAlign w:val="center"/>
          </w:tcPr>
          <w:p>
            <w:pPr>
              <w:spacing w:line="400" w:lineRule="exact"/>
              <w:rPr>
                <w:color w:val="auto"/>
                <w:kern w:val="0"/>
                <w:sz w:val="24"/>
                <w:szCs w:val="24"/>
              </w:rPr>
            </w:pPr>
            <w:r>
              <w:rPr>
                <w:rFonts w:hint="eastAsia"/>
                <w:color w:val="auto"/>
                <w:kern w:val="0"/>
                <w:sz w:val="24"/>
                <w:szCs w:val="24"/>
              </w:rPr>
              <w:t>：</w:t>
            </w:r>
          </w:p>
        </w:tc>
        <w:tc>
          <w:tcPr>
            <w:tcW w:w="5114" w:type="dxa"/>
            <w:tcBorders>
              <w:left w:val="nil"/>
              <w:right w:val="nil"/>
            </w:tcBorders>
          </w:tcPr>
          <w:p>
            <w:pPr>
              <w:spacing w:line="400" w:lineRule="exact"/>
              <w:rPr>
                <w:rFonts w:hint="eastAsia" w:ascii="宋体" w:hAnsi="宋体" w:eastAsia="宋体"/>
                <w:color w:val="auto"/>
                <w:sz w:val="24"/>
                <w:szCs w:val="24"/>
              </w:rPr>
            </w:pPr>
            <w:r>
              <w:rPr>
                <w:rFonts w:hint="eastAsia" w:ascii="宋体" w:hAnsi="宋体" w:eastAsia="宋体"/>
                <w:color w:val="auto"/>
                <w:sz w:val="24"/>
                <w:szCs w:val="24"/>
                <w:lang w:val="en-US" w:eastAsia="zh-CN"/>
              </w:rPr>
              <w:t>Shang</w:t>
            </w:r>
            <w:r>
              <w:rPr>
                <w:rFonts w:hint="eastAsia" w:ascii="宋体" w:hAnsi="宋体" w:eastAsia="宋体"/>
                <w:color w:val="auto"/>
                <w:sz w:val="24"/>
                <w:szCs w:val="24"/>
              </w:rPr>
              <w:t>.</w:t>
            </w:r>
            <w:r>
              <w:rPr>
                <w:rFonts w:hint="eastAsia" w:ascii="宋体" w:hAnsi="宋体" w:eastAsia="宋体"/>
                <w:color w:val="auto"/>
                <w:sz w:val="24"/>
                <w:szCs w:val="24"/>
                <w:lang w:val="en-US" w:eastAsia="zh-CN"/>
              </w:rPr>
              <w:t>Zhao</w:t>
            </w:r>
            <w:r>
              <w:rPr>
                <w:rFonts w:hint="eastAsia" w:ascii="宋体" w:hAnsi="宋体" w:eastAsia="宋体"/>
                <w:color w:val="auto"/>
                <w:sz w:val="24"/>
                <w:szCs w:val="24"/>
              </w:rPr>
              <w:t>@geely.com</w:t>
            </w:r>
          </w:p>
        </w:tc>
      </w:tr>
    </w:tbl>
    <w:p>
      <w:pPr>
        <w:tabs>
          <w:tab w:val="left" w:pos="600"/>
        </w:tabs>
        <w:spacing w:line="440" w:lineRule="exact"/>
        <w:rPr>
          <w:rFonts w:hint="eastAsia" w:ascii="宋体" w:hAnsi="宋体" w:eastAsia="宋体" w:cs="宋体"/>
          <w:b/>
          <w:bCs/>
          <w:color w:val="auto"/>
          <w:sz w:val="21"/>
          <w:szCs w:val="21"/>
          <w:lang w:eastAsia="zh-CN"/>
        </w:rPr>
      </w:pPr>
      <w:r>
        <w:rPr>
          <w:rFonts w:hint="eastAsia" w:ascii="宋体" w:hAnsi="宋体" w:eastAsia="宋体"/>
          <w:color w:val="auto"/>
          <w:sz w:val="24"/>
          <w:szCs w:val="24"/>
        </w:rPr>
        <w:t>注：无论</w:t>
      </w:r>
      <w:r>
        <w:rPr>
          <w:rFonts w:hint="eastAsia" w:ascii="宋体" w:hAnsi="宋体" w:eastAsia="宋体"/>
          <w:color w:val="auto"/>
          <w:sz w:val="24"/>
          <w:szCs w:val="24"/>
          <w:lang w:val="en-US" w:eastAsia="zh-CN"/>
        </w:rPr>
        <w:t>报价</w:t>
      </w:r>
      <w:r>
        <w:rPr>
          <w:rFonts w:hint="eastAsia" w:ascii="宋体" w:hAnsi="宋体" w:eastAsia="宋体"/>
          <w:color w:val="auto"/>
          <w:sz w:val="24"/>
          <w:szCs w:val="24"/>
        </w:rPr>
        <w:t>结果如何</w:t>
      </w:r>
      <w:r>
        <w:rPr>
          <w:rFonts w:hint="eastAsia" w:ascii="宋体" w:hAnsi="宋体" w:eastAsia="宋体"/>
          <w:color w:val="auto"/>
          <w:sz w:val="24"/>
          <w:szCs w:val="24"/>
          <w:lang w:val="en-US" w:eastAsia="zh-CN"/>
        </w:rPr>
        <w:t>报价</w:t>
      </w:r>
      <w:r>
        <w:rPr>
          <w:rFonts w:hint="eastAsia" w:ascii="宋体" w:hAnsi="宋体" w:eastAsia="宋体"/>
          <w:color w:val="auto"/>
          <w:sz w:val="24"/>
          <w:szCs w:val="24"/>
        </w:rPr>
        <w:t>人自行承担所有与参加</w:t>
      </w:r>
      <w:r>
        <w:rPr>
          <w:rFonts w:hint="eastAsia" w:ascii="宋体" w:hAnsi="宋体" w:eastAsia="宋体"/>
          <w:color w:val="auto"/>
          <w:sz w:val="24"/>
          <w:szCs w:val="24"/>
          <w:lang w:val="en-US" w:eastAsia="zh-CN"/>
        </w:rPr>
        <w:t>采购</w:t>
      </w:r>
      <w:r>
        <w:rPr>
          <w:rFonts w:hint="eastAsia" w:ascii="宋体" w:hAnsi="宋体" w:eastAsia="宋体"/>
          <w:color w:val="auto"/>
          <w:sz w:val="24"/>
          <w:szCs w:val="24"/>
        </w:rPr>
        <w:t>活动有关的全部费用。</w:t>
      </w:r>
    </w:p>
    <w:p>
      <w:pPr>
        <w:pStyle w:val="23"/>
        <w:rPr>
          <w:rFonts w:hint="eastAsia"/>
        </w:rPr>
      </w:pPr>
    </w:p>
    <w:p>
      <w:pPr>
        <w:rPr>
          <w:rFonts w:hint="eastAsia" w:asciiTheme="majorEastAsia" w:hAnsiTheme="majorEastAsia" w:eastAsiaTheme="majorEastAsia" w:cstheme="majorEastAsia"/>
          <w:b/>
          <w:szCs w:val="21"/>
        </w:rPr>
      </w:pPr>
    </w:p>
    <w:p>
      <w:pPr>
        <w:rPr>
          <w:rFonts w:hint="eastAsia" w:asciiTheme="majorEastAsia" w:hAnsiTheme="majorEastAsia" w:eastAsiaTheme="majorEastAsia" w:cstheme="majorEastAsia"/>
          <w:b/>
          <w:szCs w:val="21"/>
        </w:rPr>
      </w:pPr>
    </w:p>
    <w:p>
      <w:pPr>
        <w:rPr>
          <w:rFonts w:hint="eastAsia" w:asciiTheme="majorEastAsia" w:hAnsiTheme="majorEastAsia" w:eastAsiaTheme="majorEastAsia" w:cstheme="majorEastAsia"/>
          <w:b/>
          <w:szCs w:val="21"/>
        </w:rPr>
      </w:pPr>
    </w:p>
    <w:p>
      <w:pPr>
        <w:rPr>
          <w:rFonts w:hint="eastAsia" w:asciiTheme="majorEastAsia" w:hAnsiTheme="majorEastAsia" w:eastAsiaTheme="majorEastAsia" w:cstheme="majorEastAsia"/>
          <w:b/>
          <w:szCs w:val="21"/>
        </w:rPr>
      </w:pPr>
    </w:p>
    <w:p>
      <w:pPr>
        <w:rPr>
          <w:rFonts w:hint="eastAsia" w:asciiTheme="majorEastAsia" w:hAnsiTheme="majorEastAsia" w:eastAsiaTheme="majorEastAsia" w:cstheme="majorEastAsia"/>
          <w:b/>
          <w:szCs w:val="21"/>
        </w:rPr>
      </w:pPr>
    </w:p>
    <w:p>
      <w:pPr>
        <w:pStyle w:val="2"/>
        <w:rPr>
          <w:rFonts w:hint="eastAsia" w:asciiTheme="majorEastAsia" w:hAnsiTheme="majorEastAsia" w:eastAsiaTheme="majorEastAsia" w:cstheme="majorEastAsia"/>
          <w:b/>
          <w:szCs w:val="21"/>
        </w:rPr>
      </w:pPr>
    </w:p>
    <w:p>
      <w:pPr>
        <w:rPr>
          <w:rFonts w:hint="eastAsia"/>
        </w:rPr>
      </w:pPr>
    </w:p>
    <w:p>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附件</w:t>
      </w:r>
      <w:r>
        <w:rPr>
          <w:rFonts w:hint="eastAsia" w:asciiTheme="majorEastAsia" w:hAnsiTheme="majorEastAsia" w:eastAsiaTheme="majorEastAsia" w:cstheme="majorEastAsia"/>
          <w:b/>
          <w:szCs w:val="21"/>
          <w:lang w:val="en-US" w:eastAsia="zh-CN"/>
        </w:rPr>
        <w:t>1</w:t>
      </w:r>
      <w:r>
        <w:rPr>
          <w:rFonts w:hint="eastAsia" w:asciiTheme="majorEastAsia" w:hAnsiTheme="majorEastAsia" w:eastAsiaTheme="majorEastAsia" w:cstheme="majorEastAsia"/>
          <w:b/>
          <w:szCs w:val="21"/>
        </w:rPr>
        <w:t>：</w:t>
      </w:r>
      <w:r>
        <w:rPr>
          <w:rFonts w:hint="eastAsia" w:asciiTheme="majorEastAsia" w:hAnsiTheme="majorEastAsia" w:eastAsiaTheme="majorEastAsia" w:cstheme="majorEastAsia"/>
          <w:b/>
          <w:szCs w:val="21"/>
          <w:lang w:val="en-US" w:eastAsia="zh-CN"/>
        </w:rPr>
        <w:t>参与</w:t>
      </w:r>
      <w:r>
        <w:rPr>
          <w:rFonts w:hint="eastAsia" w:asciiTheme="majorEastAsia" w:hAnsiTheme="majorEastAsia" w:eastAsiaTheme="majorEastAsia" w:cstheme="majorEastAsia"/>
          <w:b/>
          <w:szCs w:val="21"/>
        </w:rPr>
        <w:t>确认通知</w:t>
      </w:r>
    </w:p>
    <w:p>
      <w:pPr>
        <w:spacing w:line="360" w:lineRule="auto"/>
        <w:ind w:firstLine="42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 w:val="24"/>
          <w:szCs w:val="24"/>
          <w:lang w:val="en-US" w:eastAsia="zh-CN"/>
        </w:rPr>
        <w:t>参与</w:t>
      </w:r>
      <w:r>
        <w:rPr>
          <w:rFonts w:hint="eastAsia" w:asciiTheme="majorEastAsia" w:hAnsiTheme="majorEastAsia" w:eastAsiaTheme="majorEastAsia" w:cstheme="majorEastAsia"/>
          <w:b/>
          <w:sz w:val="24"/>
          <w:szCs w:val="24"/>
        </w:rPr>
        <w:t>确认通知</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u w:val="single"/>
          <w:lang w:val="en-US" w:eastAsia="zh-CN"/>
        </w:rPr>
        <w:t>吉利百矿集团有限公司</w:t>
      </w:r>
      <w:r>
        <w:rPr>
          <w:rFonts w:hint="eastAsia" w:asciiTheme="majorEastAsia" w:hAnsiTheme="majorEastAsia" w:eastAsiaTheme="majorEastAsia" w:cstheme="majorEastAsia"/>
          <w:sz w:val="21"/>
          <w:szCs w:val="21"/>
        </w:rPr>
        <w:t>：</w:t>
      </w:r>
    </w:p>
    <w:p>
      <w:pPr>
        <w:spacing w:line="360" w:lineRule="auto"/>
        <w:ind w:firstLine="420"/>
        <w:rPr>
          <w:rFonts w:hint="eastAsia" w:asciiTheme="majorEastAsia" w:hAnsiTheme="majorEastAsia" w:eastAsiaTheme="majorEastAsia" w:cstheme="majorEastAsia"/>
          <w:sz w:val="21"/>
          <w:szCs w:val="21"/>
        </w:rPr>
      </w:pPr>
    </w:p>
    <w:p>
      <w:pPr>
        <w:spacing w:line="360" w:lineRule="auto"/>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我方已于</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日收到你方</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日发出的</w:t>
      </w:r>
      <w:r>
        <w:rPr>
          <w:rFonts w:hint="eastAsia" w:asciiTheme="majorEastAsia" w:hAnsiTheme="majorEastAsia" w:eastAsiaTheme="majorEastAsia" w:cstheme="majorEastAsia"/>
          <w:sz w:val="21"/>
          <w:szCs w:val="21"/>
          <w:u w:val="single"/>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德保、田林铝厂第二批启槽高分子冰晶石采购项目</w:t>
      </w:r>
      <w:r>
        <w:rPr>
          <w:rFonts w:hint="eastAsia" w:ascii="宋体" w:hAnsi="宋体" w:eastAsia="宋体" w:cs="宋体"/>
          <w:b w:val="0"/>
          <w:bCs w:val="0"/>
          <w:sz w:val="21"/>
          <w:szCs w:val="21"/>
        </w:rPr>
        <w:t>）</w:t>
      </w:r>
      <w:r>
        <w:rPr>
          <w:rFonts w:hint="eastAsia" w:asciiTheme="majorEastAsia" w:hAnsiTheme="majorEastAsia" w:eastAsiaTheme="majorEastAsia" w:cstheme="majorEastAsia"/>
          <w:sz w:val="21"/>
          <w:szCs w:val="21"/>
        </w:rPr>
        <w:t>的投标邀请书，并确认</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（参加/不参加）</w:t>
      </w:r>
      <w:r>
        <w:rPr>
          <w:rFonts w:hint="eastAsia" w:asciiTheme="majorEastAsia" w:hAnsiTheme="majorEastAsia" w:eastAsiaTheme="majorEastAsia" w:cstheme="majorEastAsia"/>
          <w:sz w:val="21"/>
          <w:szCs w:val="21"/>
          <w:lang w:val="en-US" w:eastAsia="zh-CN"/>
        </w:rPr>
        <w:t>竞价</w:t>
      </w:r>
      <w:r>
        <w:rPr>
          <w:rFonts w:hint="eastAsia" w:asciiTheme="majorEastAsia" w:hAnsiTheme="majorEastAsia" w:eastAsiaTheme="majorEastAsia" w:cstheme="majorEastAsia"/>
          <w:sz w:val="21"/>
          <w:szCs w:val="21"/>
        </w:rPr>
        <w:t>。</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u w:val="none"/>
        </w:rPr>
      </w:pP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1</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u w:val="none"/>
        </w:rPr>
        <w:t>货物交货期为满足</w:t>
      </w:r>
      <w:r>
        <w:rPr>
          <w:rFonts w:hint="eastAsia" w:asciiTheme="majorEastAsia" w:hAnsiTheme="majorEastAsia" w:eastAsiaTheme="majorEastAsia" w:cstheme="majorEastAsia"/>
          <w:b w:val="0"/>
          <w:bCs/>
          <w:sz w:val="21"/>
          <w:szCs w:val="21"/>
          <w:u w:val="single"/>
          <w:lang w:val="en-US" w:eastAsia="zh-CN"/>
        </w:rPr>
        <w:t>德保、田林铝厂第二批启槽高分子冰晶石采购项目</w:t>
      </w:r>
      <w:r>
        <w:rPr>
          <w:rFonts w:hint="eastAsia" w:asciiTheme="majorEastAsia" w:hAnsiTheme="majorEastAsia" w:eastAsiaTheme="majorEastAsia" w:cstheme="majorEastAsia"/>
          <w:b w:val="0"/>
          <w:bCs w:val="0"/>
          <w:sz w:val="21"/>
          <w:szCs w:val="21"/>
          <w:u w:val="none"/>
          <w:lang w:val="en-US" w:eastAsia="zh-CN"/>
        </w:rPr>
        <w:t>邀请书</w:t>
      </w:r>
      <w:r>
        <w:rPr>
          <w:rFonts w:hint="eastAsia" w:asciiTheme="majorEastAsia" w:hAnsiTheme="majorEastAsia" w:eastAsiaTheme="majorEastAsia" w:cstheme="majorEastAsia"/>
          <w:b w:val="0"/>
          <w:bCs w:val="0"/>
          <w:sz w:val="21"/>
          <w:szCs w:val="21"/>
          <w:u w:val="none"/>
        </w:rPr>
        <w:t>规定的交货期要求。</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w:t>
      </w:r>
      <w:r>
        <w:rPr>
          <w:rFonts w:hint="eastAsia" w:asciiTheme="majorEastAsia" w:hAnsiTheme="majorEastAsia" w:eastAsiaTheme="majorEastAsia" w:cstheme="majorEastAsia"/>
          <w:b w:val="0"/>
          <w:bCs w:val="0"/>
          <w:sz w:val="21"/>
          <w:szCs w:val="21"/>
        </w:rPr>
        <w:t>)投标方已详细审查</w:t>
      </w:r>
      <w:r>
        <w:rPr>
          <w:rFonts w:hint="eastAsia" w:asciiTheme="majorEastAsia" w:hAnsiTheme="majorEastAsia" w:eastAsiaTheme="majorEastAsia" w:cstheme="majorEastAsia"/>
          <w:b w:val="0"/>
          <w:bCs w:val="0"/>
          <w:sz w:val="21"/>
          <w:szCs w:val="21"/>
          <w:lang w:val="en-US" w:eastAsia="zh-CN"/>
        </w:rPr>
        <w:t>高分子冰晶石</w:t>
      </w:r>
      <w:r>
        <w:rPr>
          <w:rFonts w:hint="eastAsia" w:asciiTheme="majorEastAsia" w:hAnsiTheme="majorEastAsia" w:eastAsiaTheme="majorEastAsia" w:cstheme="majorEastAsia"/>
          <w:b w:val="0"/>
          <w:bCs w:val="0"/>
          <w:sz w:val="21"/>
          <w:szCs w:val="21"/>
          <w:lang w:eastAsia="zh-CN"/>
        </w:rPr>
        <w:t>采购</w:t>
      </w:r>
      <w:r>
        <w:rPr>
          <w:rFonts w:hint="eastAsia" w:asciiTheme="majorEastAsia" w:hAnsiTheme="majorEastAsia" w:eastAsiaTheme="majorEastAsia" w:cstheme="majorEastAsia"/>
          <w:b w:val="0"/>
          <w:bCs w:val="0"/>
          <w:sz w:val="21"/>
          <w:szCs w:val="21"/>
          <w:u w:val="none"/>
          <w:lang w:val="en-US" w:eastAsia="zh-CN"/>
        </w:rPr>
        <w:t>项目邀请书并响应（2.6技术要求）</w:t>
      </w:r>
      <w:r>
        <w:rPr>
          <w:rFonts w:hint="eastAsia" w:asciiTheme="majorEastAsia" w:hAnsiTheme="majorEastAsia" w:eastAsiaTheme="majorEastAsia" w:cstheme="majorEastAsia"/>
          <w:b w:val="0"/>
          <w:bCs w:val="0"/>
          <w:sz w:val="21"/>
          <w:szCs w:val="21"/>
        </w:rPr>
        <w:t>以及全部参考资料和有关附件。</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3）</w:t>
      </w:r>
      <w:r>
        <w:rPr>
          <w:rFonts w:hint="eastAsia" w:asciiTheme="majorEastAsia" w:hAnsiTheme="majorEastAsia" w:eastAsiaTheme="majorEastAsia" w:cstheme="majorEastAsia"/>
          <w:b w:val="0"/>
          <w:bCs w:val="0"/>
          <w:sz w:val="21"/>
          <w:szCs w:val="21"/>
        </w:rPr>
        <w:t>投标方将按</w:t>
      </w:r>
      <w:r>
        <w:rPr>
          <w:rFonts w:hint="eastAsia" w:asciiTheme="majorEastAsia" w:hAnsiTheme="majorEastAsia" w:eastAsiaTheme="majorEastAsia" w:cstheme="majorEastAsia"/>
          <w:b w:val="0"/>
          <w:bCs w:val="0"/>
          <w:sz w:val="21"/>
          <w:szCs w:val="21"/>
          <w:lang w:eastAsia="zh-CN"/>
        </w:rPr>
        <w:t>邀请书</w:t>
      </w:r>
      <w:r>
        <w:rPr>
          <w:rFonts w:hint="eastAsia" w:asciiTheme="majorEastAsia" w:hAnsiTheme="majorEastAsia" w:eastAsiaTheme="majorEastAsia" w:cstheme="majorEastAsia"/>
          <w:b w:val="0"/>
          <w:bCs w:val="0"/>
          <w:sz w:val="21"/>
          <w:szCs w:val="21"/>
        </w:rPr>
        <w:t>的规定履行合同责任和义务。</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(4</w:t>
      </w: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rPr>
        <w:t>邮箱</w:t>
      </w:r>
      <w:r>
        <w:rPr>
          <w:rFonts w:hint="eastAsia" w:asciiTheme="majorEastAsia" w:hAnsiTheme="majorEastAsia" w:eastAsiaTheme="majorEastAsia" w:cstheme="majorEastAsia"/>
          <w:b w:val="0"/>
          <w:bCs w:val="0"/>
          <w:sz w:val="21"/>
          <w:szCs w:val="21"/>
          <w:lang w:eastAsia="zh-CN"/>
        </w:rPr>
        <w:t>地址：</w:t>
      </w:r>
      <w:r>
        <w:rPr>
          <w:rFonts w:hint="eastAsia" w:ascii="宋体" w:hAnsi="宋体" w:eastAsia="宋体"/>
          <w:color w:val="auto"/>
          <w:sz w:val="24"/>
          <w:szCs w:val="24"/>
          <w:lang w:val="en-US" w:eastAsia="zh-CN"/>
        </w:rPr>
        <w:t>Shang</w:t>
      </w:r>
      <w:r>
        <w:rPr>
          <w:rFonts w:hint="eastAsia" w:ascii="宋体" w:hAnsi="宋体" w:eastAsia="宋体"/>
          <w:color w:val="auto"/>
          <w:sz w:val="24"/>
          <w:szCs w:val="24"/>
        </w:rPr>
        <w:t>.</w:t>
      </w:r>
      <w:r>
        <w:rPr>
          <w:rFonts w:hint="eastAsia" w:ascii="宋体" w:hAnsi="宋体" w:eastAsia="宋体"/>
          <w:color w:val="auto"/>
          <w:sz w:val="24"/>
          <w:szCs w:val="24"/>
          <w:lang w:val="en-US" w:eastAsia="zh-CN"/>
        </w:rPr>
        <w:t>Zhao</w:t>
      </w:r>
      <w:r>
        <w:rPr>
          <w:rFonts w:hint="eastAsia" w:ascii="宋体" w:hAnsi="宋体" w:eastAsia="宋体"/>
          <w:color w:val="auto"/>
          <w:sz w:val="24"/>
          <w:szCs w:val="24"/>
        </w:rPr>
        <w:t>@geely.com</w:t>
      </w:r>
    </w:p>
    <w:p>
      <w:pPr>
        <w:pStyle w:val="23"/>
        <w:rPr>
          <w:rFonts w:hint="eastAsia" w:asciiTheme="majorEastAsia" w:hAnsiTheme="majorEastAsia" w:eastAsiaTheme="majorEastAsia" w:cstheme="majorEastAsia"/>
          <w:lang w:eastAsia="zh-CN"/>
        </w:rPr>
      </w:pPr>
    </w:p>
    <w:p>
      <w:pPr>
        <w:pStyle w:val="23"/>
        <w:ind w:firstLine="840" w:firstLineChars="4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特此确认。</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被邀请单位名称：</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（盖单位章）</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法定代表人或其委托代理人：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（签字）</w:t>
      </w:r>
    </w:p>
    <w:p>
      <w:pPr>
        <w:spacing w:line="360" w:lineRule="auto"/>
        <w:ind w:firstLine="3119"/>
        <w:rPr>
          <w:rFonts w:hint="eastAsia"/>
        </w:rPr>
      </w:pP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日</w:t>
      </w:r>
    </w:p>
    <w:p>
      <w:pPr>
        <w:pStyle w:val="2"/>
        <w:ind w:left="0" w:leftChars="0" w:firstLine="0" w:firstLineChars="0"/>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4675539"/>
    </w:sdtPr>
    <w:sdtContent>
      <w:p>
        <w:pPr>
          <w:pStyle w:val="10"/>
          <w:jc w:val="center"/>
        </w:pPr>
        <w:r>
          <w:fldChar w:fldCharType="begin"/>
        </w:r>
        <w:r>
          <w:instrText xml:space="preserve">PAGE   \* MERGEFORMAT</w:instrText>
        </w:r>
        <w:r>
          <w:fldChar w:fldCharType="separate"/>
        </w:r>
        <w:r>
          <w:rPr>
            <w:lang w:val="zh-CN"/>
          </w:rPr>
          <w:t>3</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heme="minorEastAsia" w:hAnsiTheme="minorEastAsia"/>
        <w:sz w:val="24"/>
        <w:szCs w:val="24"/>
      </w:rPr>
    </w:pPr>
    <w:r>
      <w:rPr>
        <w:rFonts w:hint="eastAsia" w:asciiTheme="minorEastAsia" w:hAnsiTheme="minorEastAsia"/>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drawing>
        <wp:inline distT="0" distB="0" distL="0" distR="0">
          <wp:extent cx="1076325" cy="295275"/>
          <wp:effectExtent l="0" t="0" r="9525" b="9525"/>
          <wp:docPr id="4" name="图片 4" descr="C:\Users\HONGXI~1\AppData\Local\Temp\1558944175(1).jpg"/>
          <wp:cNvGraphicFramePr/>
          <a:graphic xmlns:a="http://schemas.openxmlformats.org/drawingml/2006/main">
            <a:graphicData uri="http://schemas.openxmlformats.org/drawingml/2006/picture">
              <pic:pic xmlns:pic="http://schemas.openxmlformats.org/drawingml/2006/picture">
                <pic:nvPicPr>
                  <pic:cNvPr id="4" name="图片 4" descr="C:\Users\HONGXI~1\AppData\Local\Temp\1558944175(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295275"/>
                  </a:xfrm>
                  <a:prstGeom prst="rect">
                    <a:avLst/>
                  </a:prstGeom>
                  <a:noFill/>
                  <a:ln>
                    <a:noFill/>
                  </a:ln>
                </pic:spPr>
              </pic:pic>
            </a:graphicData>
          </a:graphic>
        </wp:inline>
      </w:drawing>
    </w: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
  <w:p/>
  <w:p/>
  <w:p/>
  <w:p/>
  <w:p>
    <w:r>
      <w:pict>
        <v:shape id="EayslinkWatermark" o:spid="_x0000_s4099" o:spt="75" alt="Title: EayslinkWatermark" type="#_x0000_t75" style="position:absolute;left:0pt;height:56pt;width:120pt;mso-position-horizontal:right;mso-position-horizontal-relative:page;mso-position-vertical:top;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
  <w:p/>
  <w:p>
    <w:r>
      <w:pict>
        <v:shape id="_x0000_s4097" o:spid="_x0000_s4097" o:spt="75" alt="Title: EayslinkWatermark" type="#_x0000_t75" style="position:absolute;left:0pt;height:56pt;width:120pt;mso-position-horizontal:right;mso-position-horizontal-relative:page;mso-position-vertical:top;mso-position-vertical-relative:page;z-index:251661312;mso-width-relative:page;mso-height-relative:page;" filled="f" o:preferrelative="t" stroked="f" coordsize="21600,21600">
          <v:path/>
          <v:fill on="f" focussize="0,0"/>
          <v:stroke on="f" joinstyle="miter"/>
          <v:imagedata r:id="rId1" o:title=""/>
          <o:lock v:ext="edit" aspectratio="t"/>
        </v:shape>
      </w:pict>
    </w:r>
  </w:p>
  <w:p/>
  <w:p/>
  <w:p>
    <w:r>
      <w:pict>
        <v:shape id="_x0000_s4098" o:spid="_x0000_s4098" o:spt="75" alt="Title: EayslinkWatermark" type="#_x0000_t75" style="position:absolute;left:0pt;height:56pt;width:120pt;mso-position-horizontal:right;mso-position-horizontal-relative:page;mso-position-vertical:top;mso-position-vertical-relative:page;z-index:251660288;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lZWVkMTZkZjVlNjU3OTRkODdkMTU1MDIxYWI5NTUifQ=="/>
  </w:docVars>
  <w:rsids>
    <w:rsidRoot w:val="00530892"/>
    <w:rsid w:val="000047E1"/>
    <w:rsid w:val="00017FC1"/>
    <w:rsid w:val="0002075A"/>
    <w:rsid w:val="00076405"/>
    <w:rsid w:val="000837DB"/>
    <w:rsid w:val="000A6D89"/>
    <w:rsid w:val="000B15BD"/>
    <w:rsid w:val="000C6171"/>
    <w:rsid w:val="001353D8"/>
    <w:rsid w:val="00162FD9"/>
    <w:rsid w:val="00163002"/>
    <w:rsid w:val="00170A23"/>
    <w:rsid w:val="001973FE"/>
    <w:rsid w:val="001C07BD"/>
    <w:rsid w:val="001D4BBB"/>
    <w:rsid w:val="001F2C76"/>
    <w:rsid w:val="0024444C"/>
    <w:rsid w:val="00271FF0"/>
    <w:rsid w:val="00276A5F"/>
    <w:rsid w:val="002963B3"/>
    <w:rsid w:val="002A5D16"/>
    <w:rsid w:val="002C452D"/>
    <w:rsid w:val="00306622"/>
    <w:rsid w:val="00324999"/>
    <w:rsid w:val="00363E35"/>
    <w:rsid w:val="0038512F"/>
    <w:rsid w:val="003D64CD"/>
    <w:rsid w:val="003F72DF"/>
    <w:rsid w:val="0042504B"/>
    <w:rsid w:val="004265C9"/>
    <w:rsid w:val="00454FE2"/>
    <w:rsid w:val="004807A8"/>
    <w:rsid w:val="00481121"/>
    <w:rsid w:val="004A7B4C"/>
    <w:rsid w:val="004B6F9F"/>
    <w:rsid w:val="0050358B"/>
    <w:rsid w:val="0050480F"/>
    <w:rsid w:val="00527D9D"/>
    <w:rsid w:val="00527F4E"/>
    <w:rsid w:val="00530892"/>
    <w:rsid w:val="00531944"/>
    <w:rsid w:val="00532642"/>
    <w:rsid w:val="00550CDE"/>
    <w:rsid w:val="00552F5B"/>
    <w:rsid w:val="005E720F"/>
    <w:rsid w:val="005F10F7"/>
    <w:rsid w:val="005F1CA6"/>
    <w:rsid w:val="005F4504"/>
    <w:rsid w:val="00611EE5"/>
    <w:rsid w:val="00617B9E"/>
    <w:rsid w:val="00675F88"/>
    <w:rsid w:val="00682232"/>
    <w:rsid w:val="00691B53"/>
    <w:rsid w:val="006C299F"/>
    <w:rsid w:val="006C6652"/>
    <w:rsid w:val="006E24FF"/>
    <w:rsid w:val="00707F4A"/>
    <w:rsid w:val="00737E53"/>
    <w:rsid w:val="0076152F"/>
    <w:rsid w:val="00767BD6"/>
    <w:rsid w:val="007D7B5A"/>
    <w:rsid w:val="007E1E9E"/>
    <w:rsid w:val="007F0ED2"/>
    <w:rsid w:val="00830362"/>
    <w:rsid w:val="008329C6"/>
    <w:rsid w:val="008564CE"/>
    <w:rsid w:val="008615F2"/>
    <w:rsid w:val="0089523C"/>
    <w:rsid w:val="008C4DB4"/>
    <w:rsid w:val="008E68D9"/>
    <w:rsid w:val="008E7D3B"/>
    <w:rsid w:val="00917AE4"/>
    <w:rsid w:val="009C2365"/>
    <w:rsid w:val="009C614C"/>
    <w:rsid w:val="009C7D1B"/>
    <w:rsid w:val="009E2FB9"/>
    <w:rsid w:val="009F6852"/>
    <w:rsid w:val="00A06F6F"/>
    <w:rsid w:val="00A15E17"/>
    <w:rsid w:val="00A20CF0"/>
    <w:rsid w:val="00A24E80"/>
    <w:rsid w:val="00A32EBA"/>
    <w:rsid w:val="00A516F8"/>
    <w:rsid w:val="00A65B4A"/>
    <w:rsid w:val="00A708DB"/>
    <w:rsid w:val="00A97115"/>
    <w:rsid w:val="00AA5A77"/>
    <w:rsid w:val="00AE042E"/>
    <w:rsid w:val="00B0190D"/>
    <w:rsid w:val="00B108CA"/>
    <w:rsid w:val="00B20F57"/>
    <w:rsid w:val="00B26BD9"/>
    <w:rsid w:val="00B317C2"/>
    <w:rsid w:val="00B3604C"/>
    <w:rsid w:val="00B36FB4"/>
    <w:rsid w:val="00B53836"/>
    <w:rsid w:val="00B55BD5"/>
    <w:rsid w:val="00B61394"/>
    <w:rsid w:val="00B63240"/>
    <w:rsid w:val="00B73505"/>
    <w:rsid w:val="00B80B42"/>
    <w:rsid w:val="00B835AA"/>
    <w:rsid w:val="00BA6ED7"/>
    <w:rsid w:val="00BB005A"/>
    <w:rsid w:val="00BB3F83"/>
    <w:rsid w:val="00BB717C"/>
    <w:rsid w:val="00C144B5"/>
    <w:rsid w:val="00C54B02"/>
    <w:rsid w:val="00C616E3"/>
    <w:rsid w:val="00C90986"/>
    <w:rsid w:val="00CA5B08"/>
    <w:rsid w:val="00CB1E43"/>
    <w:rsid w:val="00CB25BE"/>
    <w:rsid w:val="00CD7CF5"/>
    <w:rsid w:val="00D063A1"/>
    <w:rsid w:val="00D240A1"/>
    <w:rsid w:val="00D407E4"/>
    <w:rsid w:val="00D443FB"/>
    <w:rsid w:val="00D45946"/>
    <w:rsid w:val="00D724EE"/>
    <w:rsid w:val="00D966FA"/>
    <w:rsid w:val="00DB4C36"/>
    <w:rsid w:val="00DC4145"/>
    <w:rsid w:val="00DD3F39"/>
    <w:rsid w:val="00DE61A1"/>
    <w:rsid w:val="00DE622F"/>
    <w:rsid w:val="00E15B3D"/>
    <w:rsid w:val="00E16FE2"/>
    <w:rsid w:val="00E20D3B"/>
    <w:rsid w:val="00E265CB"/>
    <w:rsid w:val="00E36C66"/>
    <w:rsid w:val="00E85FBB"/>
    <w:rsid w:val="00E97291"/>
    <w:rsid w:val="00EA6CA2"/>
    <w:rsid w:val="00EE5C85"/>
    <w:rsid w:val="00F0694B"/>
    <w:rsid w:val="00F11F10"/>
    <w:rsid w:val="00F14F98"/>
    <w:rsid w:val="00F375E3"/>
    <w:rsid w:val="00F37A6A"/>
    <w:rsid w:val="00F44DFF"/>
    <w:rsid w:val="00FA18DB"/>
    <w:rsid w:val="00FA68A3"/>
    <w:rsid w:val="00FC0591"/>
    <w:rsid w:val="00FC2D91"/>
    <w:rsid w:val="00FC5924"/>
    <w:rsid w:val="00FC7652"/>
    <w:rsid w:val="00FD176A"/>
    <w:rsid w:val="00FD1AD4"/>
    <w:rsid w:val="00FE05E3"/>
    <w:rsid w:val="00FE12BA"/>
    <w:rsid w:val="00FF0CEC"/>
    <w:rsid w:val="02D720AE"/>
    <w:rsid w:val="03B234C9"/>
    <w:rsid w:val="052F65AB"/>
    <w:rsid w:val="05772429"/>
    <w:rsid w:val="063B27C1"/>
    <w:rsid w:val="06F63781"/>
    <w:rsid w:val="07456121"/>
    <w:rsid w:val="099A154D"/>
    <w:rsid w:val="0A420305"/>
    <w:rsid w:val="0B1343EC"/>
    <w:rsid w:val="0B820F78"/>
    <w:rsid w:val="0B8A3BDC"/>
    <w:rsid w:val="0C5505BD"/>
    <w:rsid w:val="0C7C5845"/>
    <w:rsid w:val="0CAD008F"/>
    <w:rsid w:val="0DE54DDD"/>
    <w:rsid w:val="0E6C3CDC"/>
    <w:rsid w:val="0E7B416C"/>
    <w:rsid w:val="10437703"/>
    <w:rsid w:val="113A610C"/>
    <w:rsid w:val="12290200"/>
    <w:rsid w:val="12AC23E2"/>
    <w:rsid w:val="136B5FB3"/>
    <w:rsid w:val="137D4E2E"/>
    <w:rsid w:val="13934C8A"/>
    <w:rsid w:val="139B2695"/>
    <w:rsid w:val="144D187B"/>
    <w:rsid w:val="159B0014"/>
    <w:rsid w:val="17073614"/>
    <w:rsid w:val="17C15D97"/>
    <w:rsid w:val="185D040A"/>
    <w:rsid w:val="188E5A7E"/>
    <w:rsid w:val="18C56ABE"/>
    <w:rsid w:val="18C740FB"/>
    <w:rsid w:val="1A174747"/>
    <w:rsid w:val="1AED7481"/>
    <w:rsid w:val="1B0325F3"/>
    <w:rsid w:val="1BA12E75"/>
    <w:rsid w:val="1BE90CBC"/>
    <w:rsid w:val="1C0B4FDF"/>
    <w:rsid w:val="1C5B2F04"/>
    <w:rsid w:val="1C5E6EF7"/>
    <w:rsid w:val="1CD42A2E"/>
    <w:rsid w:val="1D5D2FEB"/>
    <w:rsid w:val="1DC3395B"/>
    <w:rsid w:val="1EA413BD"/>
    <w:rsid w:val="1EA96421"/>
    <w:rsid w:val="1F16393D"/>
    <w:rsid w:val="217C545D"/>
    <w:rsid w:val="21E229C3"/>
    <w:rsid w:val="22B86521"/>
    <w:rsid w:val="24782E39"/>
    <w:rsid w:val="256C065C"/>
    <w:rsid w:val="263920D0"/>
    <w:rsid w:val="271C3AA6"/>
    <w:rsid w:val="27FF17B9"/>
    <w:rsid w:val="28044D37"/>
    <w:rsid w:val="28266776"/>
    <w:rsid w:val="28DF7FBC"/>
    <w:rsid w:val="2A7055D9"/>
    <w:rsid w:val="2B457FE9"/>
    <w:rsid w:val="2BB655EB"/>
    <w:rsid w:val="2CA17371"/>
    <w:rsid w:val="2DE03868"/>
    <w:rsid w:val="2EFA0920"/>
    <w:rsid w:val="2F2E0DD3"/>
    <w:rsid w:val="2FDF0AC1"/>
    <w:rsid w:val="302E3742"/>
    <w:rsid w:val="30433658"/>
    <w:rsid w:val="30530CB9"/>
    <w:rsid w:val="30823F06"/>
    <w:rsid w:val="31241C20"/>
    <w:rsid w:val="31A606A8"/>
    <w:rsid w:val="31D357FA"/>
    <w:rsid w:val="320625AD"/>
    <w:rsid w:val="3370188D"/>
    <w:rsid w:val="337C12F0"/>
    <w:rsid w:val="337D56D9"/>
    <w:rsid w:val="33A5028C"/>
    <w:rsid w:val="340A6022"/>
    <w:rsid w:val="34991DD6"/>
    <w:rsid w:val="34A26162"/>
    <w:rsid w:val="34E47465"/>
    <w:rsid w:val="360E21C1"/>
    <w:rsid w:val="36401C52"/>
    <w:rsid w:val="37861D96"/>
    <w:rsid w:val="37FD118C"/>
    <w:rsid w:val="38AC6F88"/>
    <w:rsid w:val="39821AB9"/>
    <w:rsid w:val="3A251C25"/>
    <w:rsid w:val="3A3E06A3"/>
    <w:rsid w:val="3B0722D4"/>
    <w:rsid w:val="3CCC43B5"/>
    <w:rsid w:val="3D3619D8"/>
    <w:rsid w:val="3DF00CDD"/>
    <w:rsid w:val="3E4A7542"/>
    <w:rsid w:val="3E4F3034"/>
    <w:rsid w:val="3FBB48C6"/>
    <w:rsid w:val="408373C1"/>
    <w:rsid w:val="409E30A8"/>
    <w:rsid w:val="40FC4CB0"/>
    <w:rsid w:val="41034C6C"/>
    <w:rsid w:val="41504F94"/>
    <w:rsid w:val="41645272"/>
    <w:rsid w:val="42394885"/>
    <w:rsid w:val="44583188"/>
    <w:rsid w:val="470C73DA"/>
    <w:rsid w:val="47AB2817"/>
    <w:rsid w:val="487415C3"/>
    <w:rsid w:val="487B65BE"/>
    <w:rsid w:val="4A4B131B"/>
    <w:rsid w:val="4B166A95"/>
    <w:rsid w:val="4B493BD2"/>
    <w:rsid w:val="4C7157A4"/>
    <w:rsid w:val="4CBF6793"/>
    <w:rsid w:val="4D2423DA"/>
    <w:rsid w:val="4DF72F6D"/>
    <w:rsid w:val="4EF5676E"/>
    <w:rsid w:val="4F375BA5"/>
    <w:rsid w:val="4F3E52A8"/>
    <w:rsid w:val="4F4C10BA"/>
    <w:rsid w:val="4F586394"/>
    <w:rsid w:val="4F8E66AE"/>
    <w:rsid w:val="50232F42"/>
    <w:rsid w:val="50E81A32"/>
    <w:rsid w:val="51DE68AB"/>
    <w:rsid w:val="52074CBA"/>
    <w:rsid w:val="533D0BDE"/>
    <w:rsid w:val="53411EE9"/>
    <w:rsid w:val="53513A3C"/>
    <w:rsid w:val="53672E8B"/>
    <w:rsid w:val="536F00DE"/>
    <w:rsid w:val="539313E4"/>
    <w:rsid w:val="55421798"/>
    <w:rsid w:val="55497E47"/>
    <w:rsid w:val="561B446B"/>
    <w:rsid w:val="56AF3564"/>
    <w:rsid w:val="56AF3BAC"/>
    <w:rsid w:val="56B26B95"/>
    <w:rsid w:val="57005247"/>
    <w:rsid w:val="5780446C"/>
    <w:rsid w:val="57C021E2"/>
    <w:rsid w:val="57C6574D"/>
    <w:rsid w:val="5A141886"/>
    <w:rsid w:val="5A451364"/>
    <w:rsid w:val="5A58599B"/>
    <w:rsid w:val="5B1D587B"/>
    <w:rsid w:val="5B2172A6"/>
    <w:rsid w:val="5B3434F8"/>
    <w:rsid w:val="5D1619BA"/>
    <w:rsid w:val="5E6A71F7"/>
    <w:rsid w:val="5EA125DF"/>
    <w:rsid w:val="5FD41082"/>
    <w:rsid w:val="600E2170"/>
    <w:rsid w:val="60733780"/>
    <w:rsid w:val="60934C78"/>
    <w:rsid w:val="60FC4012"/>
    <w:rsid w:val="6106280A"/>
    <w:rsid w:val="618F164B"/>
    <w:rsid w:val="61A241F9"/>
    <w:rsid w:val="62976BA7"/>
    <w:rsid w:val="62D46057"/>
    <w:rsid w:val="63EF192E"/>
    <w:rsid w:val="640336FD"/>
    <w:rsid w:val="6534570D"/>
    <w:rsid w:val="65413FA7"/>
    <w:rsid w:val="65BB3DCB"/>
    <w:rsid w:val="65F04A1A"/>
    <w:rsid w:val="66D44B2F"/>
    <w:rsid w:val="67714B74"/>
    <w:rsid w:val="67A105BB"/>
    <w:rsid w:val="67D06B34"/>
    <w:rsid w:val="682806B6"/>
    <w:rsid w:val="686D619C"/>
    <w:rsid w:val="6ACD6C40"/>
    <w:rsid w:val="6B26681C"/>
    <w:rsid w:val="6B3E03B6"/>
    <w:rsid w:val="6B997406"/>
    <w:rsid w:val="6BE91E82"/>
    <w:rsid w:val="6CFB43E6"/>
    <w:rsid w:val="6D001A9B"/>
    <w:rsid w:val="6D226F1D"/>
    <w:rsid w:val="6D724E56"/>
    <w:rsid w:val="6E1038D1"/>
    <w:rsid w:val="6EA76F13"/>
    <w:rsid w:val="6F5D25CA"/>
    <w:rsid w:val="71246855"/>
    <w:rsid w:val="716B46DE"/>
    <w:rsid w:val="724F2B10"/>
    <w:rsid w:val="72E55401"/>
    <w:rsid w:val="73645753"/>
    <w:rsid w:val="73B93F82"/>
    <w:rsid w:val="74E62BE1"/>
    <w:rsid w:val="7600251B"/>
    <w:rsid w:val="7628014A"/>
    <w:rsid w:val="76444236"/>
    <w:rsid w:val="76BF0406"/>
    <w:rsid w:val="76E473B8"/>
    <w:rsid w:val="77C71351"/>
    <w:rsid w:val="78102442"/>
    <w:rsid w:val="789E2CA4"/>
    <w:rsid w:val="78E404CB"/>
    <w:rsid w:val="792917E7"/>
    <w:rsid w:val="798C6F6D"/>
    <w:rsid w:val="79AF27CF"/>
    <w:rsid w:val="7A53275F"/>
    <w:rsid w:val="7A9F6E02"/>
    <w:rsid w:val="7C8B31E4"/>
    <w:rsid w:val="7CD83F68"/>
    <w:rsid w:val="7D2E00A7"/>
    <w:rsid w:val="7E544334"/>
    <w:rsid w:val="7F6067F8"/>
    <w:rsid w:val="7F683C0C"/>
    <w:rsid w:val="7FA62F03"/>
    <w:rsid w:val="7FDC3B0C"/>
    <w:rsid w:val="7FF5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autoRedefine/>
    <w:qFormat/>
    <w:uiPriority w:val="9"/>
    <w:pPr>
      <w:keepNext/>
      <w:keepLines/>
      <w:spacing w:before="260" w:after="260" w:line="416" w:lineRule="auto"/>
      <w:outlineLvl w:val="1"/>
    </w:pPr>
    <w:rPr>
      <w:rFonts w:ascii="Arial" w:hAnsi="Arial" w:eastAsia="黑体"/>
      <w:b/>
      <w:bCs/>
      <w:sz w:val="32"/>
      <w:szCs w:val="32"/>
    </w:rPr>
  </w:style>
  <w:style w:type="character" w:default="1" w:styleId="15">
    <w:name w:val="Default Paragraph Font"/>
    <w:link w:val="16"/>
    <w:unhideWhenUsed/>
    <w:qFormat/>
    <w:uiPriority w:val="1"/>
    <w:rPr>
      <w:kern w:val="1"/>
    </w:rPr>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b w:val="0"/>
      <w:sz w:val="21"/>
    </w:rPr>
  </w:style>
  <w:style w:type="paragraph" w:styleId="3">
    <w:name w:val="Body Text Indent"/>
    <w:basedOn w:val="1"/>
    <w:autoRedefine/>
    <w:qFormat/>
    <w:uiPriority w:val="0"/>
    <w:pPr>
      <w:ind w:firstLine="444"/>
    </w:pPr>
    <w:rPr>
      <w:b/>
      <w:sz w:val="24"/>
    </w:rPr>
  </w:style>
  <w:style w:type="paragraph" w:styleId="5">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6">
    <w:name w:val="annotation text"/>
    <w:basedOn w:val="1"/>
    <w:link w:val="29"/>
    <w:autoRedefine/>
    <w:unhideWhenUsed/>
    <w:qFormat/>
    <w:uiPriority w:val="99"/>
    <w:pPr>
      <w:jc w:val="left"/>
    </w:pPr>
  </w:style>
  <w:style w:type="paragraph" w:styleId="7">
    <w:name w:val="Body Text"/>
    <w:basedOn w:val="1"/>
    <w:autoRedefine/>
    <w:qFormat/>
    <w:uiPriority w:val="1"/>
    <w:pPr>
      <w:ind w:left="169"/>
    </w:pPr>
    <w:rPr>
      <w:rFonts w:ascii="宋体" w:hAnsi="宋体" w:eastAsia="宋体" w:cs="宋体"/>
      <w:sz w:val="24"/>
      <w:szCs w:val="24"/>
      <w:lang w:val="zh-CN" w:eastAsia="zh-CN" w:bidi="zh-CN"/>
    </w:rPr>
  </w:style>
  <w:style w:type="paragraph" w:styleId="8">
    <w:name w:val="Date"/>
    <w:basedOn w:val="1"/>
    <w:next w:val="1"/>
    <w:link w:val="27"/>
    <w:autoRedefine/>
    <w:unhideWhenUsed/>
    <w:qFormat/>
    <w:uiPriority w:val="99"/>
    <w:pPr>
      <w:ind w:left="100" w:leftChars="2500"/>
    </w:pPr>
  </w:style>
  <w:style w:type="paragraph" w:styleId="9">
    <w:name w:val="Balloon Text"/>
    <w:basedOn w:val="1"/>
    <w:link w:val="30"/>
    <w:autoRedefine/>
    <w:unhideWhenUsed/>
    <w:qFormat/>
    <w:uiPriority w:val="99"/>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Char"/>
    <w:basedOn w:val="1"/>
    <w:link w:val="15"/>
    <w:autoRedefine/>
    <w:qFormat/>
    <w:uiPriority w:val="0"/>
    <w:rPr>
      <w:kern w:val="1"/>
    </w:rPr>
  </w:style>
  <w:style w:type="character" w:styleId="17">
    <w:name w:val="Strong"/>
    <w:basedOn w:val="15"/>
    <w:autoRedefine/>
    <w:qFormat/>
    <w:uiPriority w:val="22"/>
    <w:rPr>
      <w:b/>
      <w:bCs/>
    </w:rPr>
  </w:style>
  <w:style w:type="character" w:styleId="18">
    <w:name w:val="page number"/>
    <w:basedOn w:val="15"/>
    <w:autoRedefine/>
    <w:qFormat/>
    <w:uiPriority w:val="0"/>
  </w:style>
  <w:style w:type="character" w:styleId="19">
    <w:name w:val="FollowedHyperlink"/>
    <w:basedOn w:val="15"/>
    <w:autoRedefine/>
    <w:unhideWhenUsed/>
    <w:qFormat/>
    <w:uiPriority w:val="99"/>
    <w:rPr>
      <w:color w:val="800080" w:themeColor="followedHyperlink"/>
      <w:u w:val="single"/>
      <w14:textFill>
        <w14:solidFill>
          <w14:schemeClr w14:val="folHlink"/>
        </w14:solidFill>
      </w14:textFill>
    </w:rPr>
  </w:style>
  <w:style w:type="character" w:styleId="20">
    <w:name w:val="Emphasis"/>
    <w:basedOn w:val="15"/>
    <w:autoRedefine/>
    <w:qFormat/>
    <w:uiPriority w:val="20"/>
    <w:rPr>
      <w:i/>
    </w:rPr>
  </w:style>
  <w:style w:type="character" w:styleId="21">
    <w:name w:val="Hyperlink"/>
    <w:basedOn w:val="15"/>
    <w:autoRedefine/>
    <w:unhideWhenUsed/>
    <w:qFormat/>
    <w:uiPriority w:val="99"/>
    <w:rPr>
      <w:color w:val="0000FF"/>
      <w:u w:val="none"/>
    </w:rPr>
  </w:style>
  <w:style w:type="character" w:styleId="22">
    <w:name w:val="annotation reference"/>
    <w:basedOn w:val="15"/>
    <w:autoRedefine/>
    <w:unhideWhenUsed/>
    <w:qFormat/>
    <w:uiPriority w:val="99"/>
    <w:rPr>
      <w:sz w:val="21"/>
      <w:szCs w:val="21"/>
    </w:rPr>
  </w:style>
  <w:style w:type="paragraph" w:customStyle="1" w:styleId="23">
    <w:name w:val="Default"/>
    <w:basedOn w:val="24"/>
    <w:autoRedefine/>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paragraph" w:customStyle="1" w:styleId="24">
    <w:name w:val="正文（首行缩进两字）"/>
    <w:basedOn w:val="1"/>
    <w:autoRedefine/>
    <w:qFormat/>
    <w:uiPriority w:val="0"/>
    <w:rPr>
      <w:szCs w:val="21"/>
    </w:rPr>
  </w:style>
  <w:style w:type="character" w:customStyle="1" w:styleId="25">
    <w:name w:val="页眉 Char"/>
    <w:basedOn w:val="15"/>
    <w:link w:val="11"/>
    <w:autoRedefine/>
    <w:qFormat/>
    <w:uiPriority w:val="99"/>
    <w:rPr>
      <w:sz w:val="18"/>
      <w:szCs w:val="18"/>
    </w:rPr>
  </w:style>
  <w:style w:type="character" w:customStyle="1" w:styleId="26">
    <w:name w:val="页脚 Char"/>
    <w:basedOn w:val="15"/>
    <w:link w:val="10"/>
    <w:autoRedefine/>
    <w:qFormat/>
    <w:uiPriority w:val="99"/>
    <w:rPr>
      <w:sz w:val="18"/>
      <w:szCs w:val="18"/>
    </w:rPr>
  </w:style>
  <w:style w:type="character" w:customStyle="1" w:styleId="27">
    <w:name w:val="日期 Char"/>
    <w:basedOn w:val="15"/>
    <w:link w:val="8"/>
    <w:autoRedefine/>
    <w:semiHidden/>
    <w:qFormat/>
    <w:uiPriority w:val="99"/>
  </w:style>
  <w:style w:type="paragraph" w:customStyle="1" w:styleId="28">
    <w:name w:val="List Paragraph"/>
    <w:basedOn w:val="1"/>
    <w:autoRedefine/>
    <w:qFormat/>
    <w:uiPriority w:val="34"/>
    <w:pPr>
      <w:ind w:firstLine="420" w:firstLineChars="200"/>
    </w:pPr>
  </w:style>
  <w:style w:type="character" w:customStyle="1" w:styleId="29">
    <w:name w:val="批注文字 Char"/>
    <w:basedOn w:val="15"/>
    <w:link w:val="6"/>
    <w:autoRedefine/>
    <w:semiHidden/>
    <w:qFormat/>
    <w:uiPriority w:val="99"/>
  </w:style>
  <w:style w:type="character" w:customStyle="1" w:styleId="30">
    <w:name w:val="批注框文本 Char"/>
    <w:basedOn w:val="15"/>
    <w:link w:val="9"/>
    <w:autoRedefine/>
    <w:semiHidden/>
    <w:qFormat/>
    <w:uiPriority w:val="99"/>
    <w:rPr>
      <w:sz w:val="18"/>
      <w:szCs w:val="18"/>
    </w:rPr>
  </w:style>
  <w:style w:type="paragraph" w:customStyle="1" w:styleId="31">
    <w:name w:val="z0"/>
    <w:basedOn w:val="1"/>
    <w:autoRedefine/>
    <w:qFormat/>
    <w:uiPriority w:val="0"/>
    <w:pPr>
      <w:spacing w:line="360" w:lineRule="auto"/>
      <w:ind w:firstLine="200" w:firstLineChars="200"/>
    </w:pPr>
    <w:rPr>
      <w:rFonts w:ascii="宋体" w:hAnsi="宋体" w:eastAsia="宋体"/>
      <w:sz w:val="24"/>
      <w:szCs w:val="24"/>
    </w:rPr>
  </w:style>
  <w:style w:type="paragraph" w:customStyle="1" w:styleId="32">
    <w:name w:val="报告正文"/>
    <w:basedOn w:val="1"/>
    <w:autoRedefine/>
    <w:qFormat/>
    <w:uiPriority w:val="0"/>
    <w:pPr>
      <w:tabs>
        <w:tab w:val="left" w:pos="0"/>
      </w:tabs>
      <w:spacing w:line="360" w:lineRule="auto"/>
      <w:ind w:firstLine="200" w:firstLineChars="200"/>
    </w:pPr>
    <w:rPr>
      <w:color w:val="000000"/>
      <w:sz w:val="24"/>
    </w:rPr>
  </w:style>
  <w:style w:type="paragraph" w:customStyle="1" w:styleId="3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character" w:customStyle="1" w:styleId="34">
    <w:name w:val="font21"/>
    <w:basedOn w:val="15"/>
    <w:autoRedefine/>
    <w:qFormat/>
    <w:uiPriority w:val="0"/>
    <w:rPr>
      <w:rFonts w:hint="eastAsia" w:ascii="宋体" w:hAnsi="宋体" w:eastAsia="宋体" w:cs="宋体"/>
      <w:color w:val="000000"/>
      <w:sz w:val="24"/>
      <w:szCs w:val="24"/>
      <w:u w:val="none"/>
    </w:rPr>
  </w:style>
  <w:style w:type="character" w:customStyle="1" w:styleId="35">
    <w:name w:val="font41"/>
    <w:basedOn w:val="15"/>
    <w:autoRedefine/>
    <w:qFormat/>
    <w:uiPriority w:val="0"/>
    <w:rPr>
      <w:rFonts w:hint="default" w:ascii="Times New Roman" w:hAnsi="Times New Roman" w:cs="Times New Roman"/>
      <w:color w:val="000000"/>
      <w:sz w:val="22"/>
      <w:szCs w:val="22"/>
      <w:u w:val="none"/>
    </w:rPr>
  </w:style>
  <w:style w:type="character" w:customStyle="1" w:styleId="36">
    <w:name w:val="font11"/>
    <w:basedOn w:val="15"/>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3960</Words>
  <Characters>4731</Characters>
  <Lines>13</Lines>
  <Paragraphs>3</Paragraphs>
  <TotalTime>20</TotalTime>
  <ScaleCrop>false</ScaleCrop>
  <LinksUpToDate>false</LinksUpToDate>
  <CharactersWithSpaces>5128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2018-11-27T02:59:00Z</dcterms:created>
  <dc:creator>hxc</dc:creator>
  <cp:lastModifiedBy>四夕羅</cp:lastModifiedBy>
  <dcterms:modified xsi:type="dcterms:W3CDTF">2025-10-23T06:00:43Z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BD3C30A683794D4FA96E423101E5F91B</vt:lpwstr>
  </property>
  <property fmtid="{D5CDD505-2E9C-101B-9397-08002B2CF9AE}" pid="3" name="KSOProductBuildVer">
    <vt:lpwstr>2052-12.1.0.16388</vt:lpwstr>
  </property>
  <property fmtid="{D5CDD505-2E9C-101B-9397-08002B2CF9AE}" pid="4" name="EagleCloud">
    <vt:lpwstr>61676334b4e8422151e43967553014381f5e06876ebe2bbce66cedec39aecaac7d38f4a188ee032ed1e8ff2b0bf1df31a739aaf362c76062a63747f917d8c6967123e8e14c1d46b389e505411cba22d45d2f9383fc109e9f7684524d09588b11c9dea7d39c74b8627e3ff4579600881f77fcdff7a29593c3bb4e60ce53546c2</vt:lpwstr>
  </property>
  <property fmtid="{D5CDD505-2E9C-101B-9397-08002B2CF9AE}" pid="5" name="EagleCloud1">
    <vt:lpwstr>1b48249d10886433c62a0ad857e4d3d2b1f3a559a785375a3a5767ea20342ec4450ef542649d10d187e17dfdf375e0341dad5c811106f0810049dc3d567ff1878faa2b11d5c4318b084111b16426a481f0dc8aaa42089648d63fcde9e2638abfd7ceb22f5704e7c1f2ad75253bb975beb7cdb364b4915021746e6845aca8e20</vt:lpwstr>
  </property>
  <property fmtid="{D5CDD505-2E9C-101B-9397-08002B2CF9AE}" pid="6" name="EagleCloud2">
    <vt:lpwstr>05a55f0717c60c0f10ea27f25b12b5cbd61e987d74bbb758ca91cb772d8ffe4712064cf22982f1af41462f6dfa2cd9fe59c92722904e6df59d4f99ef856b97af1f3bc1706d1f9df501a124b18297139cbd7c9af25c9623f1fb5b6fbd4703fda4725b7301ea9a7f2ac62101b09bf85030ae2b76e73a367cc5c13309541eaa589</vt:lpwstr>
  </property>
  <property fmtid="{D5CDD505-2E9C-101B-9397-08002B2CF9AE}" pid="7" name="EagleCloud3">
    <vt:lpwstr>e0bff496e19c8255bbefcb52988338d79997a4708314e989db467b53fff772df264</vt:lpwstr>
  </property>
</Properties>
</file>