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EE8E5">
      <w:pPr>
        <w:ind w:left="883" w:leftChars="0" w:hanging="883" w:hangingChars="20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田林百矿田田碳素有限</w:t>
      </w:r>
      <w:r>
        <w:rPr>
          <w:rFonts w:hint="eastAsia" w:ascii="宋体" w:hAnsi="宋体" w:eastAsia="宋体" w:cs="宋体"/>
          <w:b/>
          <w:bCs/>
          <w:sz w:val="44"/>
          <w:szCs w:val="44"/>
          <w:lang w:eastAsia="zh-CN"/>
        </w:rPr>
        <w:t>公</w:t>
      </w:r>
      <w:r>
        <w:rPr>
          <w:rFonts w:hint="eastAsia" w:ascii="宋体" w:hAnsi="宋体" w:eastAsia="宋体" w:cs="宋体"/>
          <w:b/>
          <w:bCs/>
          <w:sz w:val="44"/>
          <w:szCs w:val="44"/>
        </w:rPr>
        <w:t>司</w:t>
      </w:r>
    </w:p>
    <w:p w14:paraId="1D99A538">
      <w:pPr>
        <w:ind w:firstLine="2209" w:firstLineChars="500"/>
        <w:jc w:val="both"/>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改质</w:t>
      </w:r>
      <w:r>
        <w:rPr>
          <w:rFonts w:hint="eastAsia" w:ascii="宋体" w:hAnsi="宋体" w:eastAsia="宋体" w:cs="宋体"/>
          <w:b/>
          <w:bCs/>
          <w:sz w:val="44"/>
          <w:szCs w:val="44"/>
          <w:lang w:val="en-US" w:eastAsia="zh-CN"/>
        </w:rPr>
        <w:t>沥青</w:t>
      </w:r>
      <w:r>
        <w:rPr>
          <w:rFonts w:hint="eastAsia" w:ascii="宋体" w:hAnsi="宋体" w:eastAsia="宋体" w:cs="宋体"/>
          <w:b/>
          <w:bCs/>
          <w:sz w:val="44"/>
          <w:szCs w:val="44"/>
          <w:lang w:eastAsia="zh-CN"/>
        </w:rPr>
        <w:t>采购项目</w:t>
      </w:r>
    </w:p>
    <w:p w14:paraId="6F2B85C0">
      <w:pPr>
        <w:ind w:left="880" w:leftChars="419" w:firstLine="2209" w:firstLineChars="500"/>
        <w:jc w:val="center"/>
        <w:rPr>
          <w:rFonts w:hint="eastAsia"/>
          <w:b/>
          <w:bCs/>
          <w:sz w:val="44"/>
          <w:szCs w:val="44"/>
          <w:lang w:val="en-US" w:eastAsia="zh-CN"/>
        </w:rPr>
      </w:pPr>
    </w:p>
    <w:p w14:paraId="25BD6BE5">
      <w:pPr>
        <w:ind w:left="880" w:leftChars="419" w:firstLine="2209" w:firstLineChars="500"/>
        <w:jc w:val="both"/>
        <w:rPr>
          <w:rFonts w:hint="eastAsia"/>
          <w:b/>
          <w:bCs/>
          <w:sz w:val="44"/>
          <w:szCs w:val="44"/>
          <w:lang w:val="en-US" w:eastAsia="zh-CN"/>
        </w:rPr>
      </w:pPr>
    </w:p>
    <w:p w14:paraId="3848C9F2">
      <w:pPr>
        <w:ind w:left="880" w:leftChars="419" w:firstLine="2209" w:firstLineChars="500"/>
        <w:jc w:val="both"/>
        <w:rPr>
          <w:rFonts w:hint="eastAsia"/>
          <w:b/>
          <w:bCs/>
          <w:sz w:val="44"/>
          <w:szCs w:val="44"/>
          <w:lang w:val="en-US" w:eastAsia="zh-CN"/>
        </w:rPr>
      </w:pPr>
    </w:p>
    <w:p w14:paraId="221D9E91">
      <w:pPr>
        <w:ind w:left="880" w:leftChars="419" w:firstLine="2209" w:firstLineChars="500"/>
        <w:jc w:val="both"/>
        <w:rPr>
          <w:rFonts w:hint="eastAsia" w:ascii="宋体" w:hAnsi="宋体" w:eastAsia="宋体" w:cs="宋体"/>
        </w:rPr>
      </w:pPr>
      <w:r>
        <w:rPr>
          <w:rFonts w:hint="eastAsia" w:ascii="宋体" w:hAnsi="宋体" w:eastAsia="宋体" w:cs="宋体"/>
          <w:b/>
          <w:bCs/>
          <w:sz w:val="44"/>
          <w:szCs w:val="44"/>
          <w:lang w:eastAsia="zh-CN"/>
        </w:rPr>
        <w:t>技术</w:t>
      </w:r>
      <w:r>
        <w:rPr>
          <w:rFonts w:hint="eastAsia" w:ascii="宋体" w:hAnsi="宋体" w:eastAsia="宋体" w:cs="宋体"/>
          <w:b/>
          <w:bCs/>
          <w:sz w:val="44"/>
          <w:szCs w:val="44"/>
        </w:rPr>
        <w:t>任务书</w:t>
      </w:r>
    </w:p>
    <w:p w14:paraId="3B1241F4">
      <w:pPr>
        <w:ind w:firstLine="562" w:firstLineChars="200"/>
        <w:jc w:val="left"/>
        <w:rPr>
          <w:rFonts w:hint="eastAsia" w:ascii="宋体" w:hAnsi="宋体" w:eastAsia="宋体" w:cs="宋体"/>
          <w:b/>
          <w:bCs/>
          <w:sz w:val="28"/>
          <w:szCs w:val="28"/>
        </w:rPr>
      </w:pPr>
    </w:p>
    <w:p w14:paraId="0D1881FC">
      <w:pPr>
        <w:pStyle w:val="11"/>
        <w:rPr>
          <w:rFonts w:hint="eastAsia"/>
          <w:b/>
          <w:bCs/>
          <w:sz w:val="28"/>
          <w:szCs w:val="28"/>
        </w:rPr>
      </w:pPr>
    </w:p>
    <w:p w14:paraId="4141A66E">
      <w:pPr>
        <w:pStyle w:val="11"/>
        <w:rPr>
          <w:rFonts w:hint="eastAsia"/>
          <w:b/>
          <w:bCs/>
          <w:sz w:val="28"/>
          <w:szCs w:val="28"/>
        </w:rPr>
      </w:pPr>
    </w:p>
    <w:p w14:paraId="2331B28E">
      <w:pPr>
        <w:pStyle w:val="11"/>
        <w:rPr>
          <w:rFonts w:hint="eastAsia"/>
          <w:b/>
          <w:bCs/>
          <w:sz w:val="28"/>
          <w:szCs w:val="28"/>
        </w:rPr>
      </w:pPr>
    </w:p>
    <w:p w14:paraId="15E44332">
      <w:pPr>
        <w:pStyle w:val="11"/>
        <w:rPr>
          <w:rFonts w:hint="eastAsia"/>
          <w:b/>
          <w:bCs/>
          <w:sz w:val="28"/>
          <w:szCs w:val="28"/>
        </w:rPr>
      </w:pPr>
    </w:p>
    <w:p w14:paraId="2D1AEBC8">
      <w:pPr>
        <w:ind w:firstLine="562" w:firstLineChars="200"/>
        <w:rPr>
          <w:rFonts w:hint="eastAsia"/>
          <w:b/>
          <w:bCs/>
          <w:sz w:val="28"/>
          <w:szCs w:val="28"/>
        </w:rPr>
      </w:pPr>
    </w:p>
    <w:p w14:paraId="38DE4CE3">
      <w:pPr>
        <w:ind w:firstLine="562" w:firstLineChars="200"/>
        <w:rPr>
          <w:rFonts w:hint="eastAsia"/>
          <w:b/>
          <w:bCs/>
          <w:sz w:val="28"/>
          <w:szCs w:val="28"/>
        </w:rPr>
      </w:pPr>
    </w:p>
    <w:p w14:paraId="42D8520D">
      <w:pPr>
        <w:pStyle w:val="11"/>
        <w:rPr>
          <w:rFonts w:hint="eastAsia"/>
        </w:rPr>
      </w:pPr>
    </w:p>
    <w:p w14:paraId="47092D35">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default" w:ascii="宋体" w:hAnsi="宋体" w:eastAsia="宋体" w:cs="宋体"/>
          <w:b/>
          <w:bCs/>
          <w:sz w:val="30"/>
          <w:szCs w:val="30"/>
          <w:u w:val="single"/>
          <w:lang w:val="en-US" w:eastAsia="zh-CN"/>
        </w:rPr>
      </w:pPr>
      <w:r>
        <w:rPr>
          <w:rFonts w:hint="eastAsia" w:ascii="宋体" w:hAnsi="宋体" w:eastAsia="宋体" w:cs="宋体"/>
          <w:b/>
          <w:bCs/>
          <w:sz w:val="30"/>
          <w:szCs w:val="30"/>
          <w:lang w:eastAsia="zh-CN"/>
        </w:rPr>
        <w:t>编</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制：</w:t>
      </w:r>
      <w:r>
        <w:rPr>
          <w:rFonts w:hint="eastAsia" w:ascii="宋体" w:hAnsi="宋体" w:eastAsia="宋体" w:cs="宋体"/>
          <w:b/>
          <w:bCs/>
          <w:sz w:val="30"/>
          <w:szCs w:val="30"/>
          <w:u w:val="single"/>
          <w:lang w:val="en-US" w:eastAsia="zh-CN"/>
        </w:rPr>
        <w:t xml:space="preserve">                 </w:t>
      </w:r>
    </w:p>
    <w:p w14:paraId="526791C8">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审</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核：</w:t>
      </w:r>
      <w:r>
        <w:rPr>
          <w:rFonts w:hint="eastAsia" w:ascii="宋体" w:hAnsi="宋体" w:eastAsia="宋体" w:cs="宋体"/>
          <w:b/>
          <w:bCs/>
          <w:sz w:val="30"/>
          <w:szCs w:val="30"/>
          <w:u w:val="single"/>
          <w:lang w:val="en-US" w:eastAsia="zh-CN"/>
        </w:rPr>
        <w:t xml:space="preserve">                 </w:t>
      </w:r>
    </w:p>
    <w:p w14:paraId="7587FEB7">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批</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准：</w:t>
      </w:r>
      <w:r>
        <w:rPr>
          <w:rFonts w:hint="eastAsia" w:ascii="宋体" w:hAnsi="宋体" w:eastAsia="宋体" w:cs="宋体"/>
          <w:b/>
          <w:bCs/>
          <w:sz w:val="30"/>
          <w:szCs w:val="30"/>
          <w:u w:val="single"/>
          <w:lang w:val="en-US" w:eastAsia="zh-CN"/>
        </w:rPr>
        <w:t xml:space="preserve">                 </w:t>
      </w:r>
    </w:p>
    <w:p w14:paraId="17408ADA">
      <w:pPr>
        <w:ind w:firstLine="562" w:firstLineChars="200"/>
        <w:rPr>
          <w:rFonts w:hint="eastAsia" w:ascii="宋体" w:hAnsi="宋体" w:eastAsia="宋体" w:cs="宋体"/>
          <w:b/>
          <w:bCs/>
          <w:sz w:val="28"/>
          <w:szCs w:val="28"/>
        </w:rPr>
      </w:pPr>
    </w:p>
    <w:p w14:paraId="7925DEDC">
      <w:pPr>
        <w:rPr>
          <w:rFonts w:hint="eastAsia"/>
          <w:b/>
          <w:bCs/>
          <w:sz w:val="28"/>
          <w:szCs w:val="28"/>
        </w:rPr>
      </w:pPr>
    </w:p>
    <w:p w14:paraId="7CF04402">
      <w:pPr>
        <w:pStyle w:val="11"/>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田林百矿田田碳素有限公司</w:t>
      </w:r>
    </w:p>
    <w:p w14:paraId="503C043F">
      <w:pPr>
        <w:widowControl/>
        <w:autoSpaceDE/>
        <w:autoSpaceDN/>
        <w:snapToGrid/>
        <w:spacing w:before="0" w:after="0" w:line="240" w:lineRule="auto"/>
        <w:ind w:left="0" w:leftChars="0" w:firstLine="0" w:firstLineChars="0"/>
        <w:jc w:val="center"/>
        <w:rPr>
          <w:rFonts w:hint="eastAsia" w:ascii="宋体" w:hAnsi="宋体" w:eastAsia="宋体" w:cs="宋体"/>
          <w:b/>
          <w:bCs/>
          <w:sz w:val="28"/>
          <w:szCs w:val="28"/>
          <w:u w:val="single"/>
          <w:lang w:val="en-US" w:eastAsia="zh-CN"/>
        </w:rPr>
      </w:pPr>
      <w:r>
        <w:rPr>
          <w:rFonts w:hint="eastAsia" w:ascii="宋体" w:hAnsi="宋体" w:cs="宋体"/>
          <w:b/>
          <w:bCs/>
          <w:sz w:val="30"/>
          <w:szCs w:val="30"/>
          <w:lang w:val="en-US" w:eastAsia="zh-CN"/>
        </w:rPr>
        <w:t>2026</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5</w:t>
      </w:r>
      <w:r>
        <w:rPr>
          <w:rFonts w:hint="eastAsia" w:ascii="宋体" w:hAnsi="宋体" w:eastAsia="宋体" w:cs="宋体"/>
          <w:b/>
          <w:bCs/>
          <w:sz w:val="30"/>
          <w:szCs w:val="30"/>
          <w:lang w:val="en-US" w:eastAsia="zh-CN"/>
        </w:rPr>
        <w:t>月</w:t>
      </w:r>
    </w:p>
    <w:p w14:paraId="4DAEDE56">
      <w:pPr>
        <w:ind w:firstLine="562" w:firstLineChars="200"/>
        <w:rPr>
          <w:rFonts w:hint="eastAsia"/>
          <w:b/>
          <w:bCs/>
          <w:sz w:val="28"/>
          <w:szCs w:val="28"/>
        </w:rPr>
      </w:pPr>
    </w:p>
    <w:p w14:paraId="25AEF871">
      <w:pPr>
        <w:pageBreakBefore w:val="0"/>
        <w:kinsoku/>
        <w:wordWrap/>
        <w:overflowPunct/>
        <w:topLinePunct w:val="0"/>
        <w:bidi w:val="0"/>
        <w:spacing w:line="460" w:lineRule="exact"/>
        <w:jc w:val="left"/>
        <w:rPr>
          <w:rFonts w:hint="eastAsia"/>
          <w:b/>
          <w:bCs/>
          <w:sz w:val="28"/>
          <w:szCs w:val="28"/>
          <w:lang w:val="en-US" w:eastAsia="zh-CN"/>
        </w:rPr>
        <w:sectPr>
          <w:pgSz w:w="11906" w:h="16838"/>
          <w:pgMar w:top="1440" w:right="1800" w:bottom="1440" w:left="1800" w:header="851" w:footer="992" w:gutter="0"/>
          <w:cols w:space="425" w:num="1"/>
          <w:docGrid w:type="lines" w:linePitch="312" w:charSpace="0"/>
        </w:sectPr>
      </w:pPr>
    </w:p>
    <w:p w14:paraId="0B804415">
      <w:pPr>
        <w:pageBreakBefore w:val="0"/>
        <w:kinsoku/>
        <w:wordWrap/>
        <w:overflowPunct/>
        <w:topLinePunct w:val="0"/>
        <w:bidi w:val="0"/>
        <w:spacing w:line="460" w:lineRule="exact"/>
        <w:ind w:firstLine="281" w:firstLineChars="100"/>
        <w:jc w:val="left"/>
        <w:rPr>
          <w:rFonts w:hint="eastAsia" w:ascii="宋体" w:hAnsi="宋体" w:eastAsia="宋体" w:cs="宋体"/>
          <w:sz w:val="28"/>
          <w:szCs w:val="28"/>
        </w:rPr>
      </w:pPr>
      <w:r>
        <w:rPr>
          <w:rFonts w:hint="eastAsia"/>
          <w:b/>
          <w:bCs/>
          <w:sz w:val="28"/>
          <w:szCs w:val="28"/>
          <w:lang w:val="en-US" w:eastAsia="zh-CN"/>
        </w:rPr>
        <w:t>一、总则</w:t>
      </w:r>
    </w:p>
    <w:p w14:paraId="5A0D0747">
      <w:pPr>
        <w:pageBreakBefore w:val="0"/>
        <w:kinsoku/>
        <w:wordWrap/>
        <w:overflowPunct/>
        <w:topLinePunct w:val="0"/>
        <w:bidi w:val="0"/>
        <w:spacing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1.1本</w:t>
      </w:r>
      <w:r>
        <w:rPr>
          <w:rFonts w:hint="eastAsia" w:ascii="宋体" w:hAnsi="宋体" w:eastAsia="宋体" w:cs="宋体"/>
          <w:sz w:val="28"/>
          <w:szCs w:val="28"/>
          <w:lang w:eastAsia="zh-CN"/>
        </w:rPr>
        <w:t>技术任务书</w:t>
      </w:r>
      <w:r>
        <w:rPr>
          <w:rFonts w:hint="eastAsia" w:ascii="宋体" w:hAnsi="宋体" w:eastAsia="宋体" w:cs="宋体"/>
          <w:sz w:val="28"/>
          <w:szCs w:val="28"/>
        </w:rPr>
        <w:t>适用于田林百矿田田碳素有限公司</w:t>
      </w:r>
      <w:r>
        <w:rPr>
          <w:rFonts w:hint="eastAsia" w:ascii="宋体" w:hAnsi="宋体" w:cs="宋体"/>
          <w:sz w:val="28"/>
          <w:szCs w:val="28"/>
          <w:lang w:val="en-US" w:eastAsia="zh-CN"/>
        </w:rPr>
        <w:t>液体改质沥青</w:t>
      </w:r>
      <w:r>
        <w:rPr>
          <w:rFonts w:hint="eastAsia" w:ascii="宋体" w:hAnsi="宋体" w:eastAsia="宋体" w:cs="宋体"/>
          <w:color w:val="000000"/>
          <w:sz w:val="28"/>
          <w:szCs w:val="28"/>
          <w:u w:val="none"/>
          <w:lang w:eastAsia="zh-CN"/>
        </w:rPr>
        <w:t>（以下简称</w:t>
      </w:r>
      <w:r>
        <w:rPr>
          <w:rFonts w:hint="eastAsia" w:ascii="宋体" w:hAnsi="宋体" w:cs="宋体"/>
          <w:color w:val="000000"/>
          <w:sz w:val="28"/>
          <w:szCs w:val="28"/>
          <w:u w:val="none"/>
          <w:lang w:val="en-US" w:eastAsia="zh-CN"/>
        </w:rPr>
        <w:t>沥青</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rPr>
        <w:t>的采购</w:t>
      </w:r>
      <w:r>
        <w:rPr>
          <w:rFonts w:hint="eastAsia" w:ascii="宋体" w:hAnsi="宋体" w:eastAsia="宋体" w:cs="宋体"/>
          <w:sz w:val="28"/>
          <w:szCs w:val="28"/>
        </w:rPr>
        <w:t>，它包括了</w:t>
      </w:r>
      <w:r>
        <w:rPr>
          <w:rFonts w:hint="eastAsia" w:ascii="宋体" w:hAnsi="宋体" w:cs="宋体"/>
          <w:sz w:val="28"/>
          <w:szCs w:val="28"/>
          <w:lang w:val="en-US" w:eastAsia="zh-CN"/>
        </w:rPr>
        <w:t>沥青</w:t>
      </w:r>
      <w:r>
        <w:rPr>
          <w:rFonts w:hint="eastAsia" w:ascii="宋体" w:hAnsi="宋体" w:eastAsia="宋体" w:cs="宋体"/>
          <w:sz w:val="28"/>
          <w:szCs w:val="28"/>
        </w:rPr>
        <w:t>的性能</w:t>
      </w:r>
      <w:r>
        <w:rPr>
          <w:rFonts w:hint="eastAsia" w:ascii="宋体" w:hAnsi="宋体" w:cs="宋体"/>
          <w:sz w:val="28"/>
          <w:szCs w:val="28"/>
          <w:lang w:eastAsia="zh-CN"/>
        </w:rPr>
        <w:t>、</w:t>
      </w:r>
      <w:r>
        <w:rPr>
          <w:rFonts w:hint="eastAsia" w:ascii="宋体" w:hAnsi="宋体" w:cs="宋体"/>
          <w:sz w:val="28"/>
          <w:szCs w:val="28"/>
          <w:lang w:val="en-US" w:eastAsia="zh-CN"/>
        </w:rPr>
        <w:t>生产</w:t>
      </w:r>
      <w:r>
        <w:rPr>
          <w:rFonts w:hint="eastAsia" w:ascii="宋体" w:hAnsi="宋体" w:eastAsia="宋体" w:cs="宋体"/>
          <w:sz w:val="28"/>
          <w:szCs w:val="28"/>
        </w:rPr>
        <w:t>、检验、运输、验收直至最终交付使用等方面服务的技术条件。</w:t>
      </w:r>
    </w:p>
    <w:p w14:paraId="078F6BFA">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1.2本</w:t>
      </w:r>
      <w:r>
        <w:rPr>
          <w:rFonts w:hint="eastAsia" w:ascii="宋体" w:hAnsi="宋体" w:eastAsia="宋体" w:cs="宋体"/>
          <w:sz w:val="28"/>
          <w:szCs w:val="28"/>
          <w:lang w:eastAsia="zh-CN"/>
        </w:rPr>
        <w:t>技术任务书</w:t>
      </w:r>
      <w:r>
        <w:rPr>
          <w:rFonts w:hint="eastAsia" w:ascii="宋体" w:hAnsi="宋体" w:eastAsia="宋体" w:cs="宋体"/>
          <w:sz w:val="28"/>
          <w:szCs w:val="28"/>
        </w:rPr>
        <w:t>提出的是最低限度的技术要求，并未对一切技术细节做出规定，也未充分引述有关标准、规程和规范的条文，</w:t>
      </w:r>
      <w:r>
        <w:rPr>
          <w:rFonts w:hint="eastAsia" w:ascii="宋体" w:hAnsi="宋体" w:eastAsia="宋体" w:cs="宋体"/>
          <w:sz w:val="28"/>
          <w:szCs w:val="28"/>
          <w:lang w:val="en-US" w:eastAsia="zh-CN"/>
        </w:rPr>
        <w:t>供货方</w:t>
      </w:r>
      <w:r>
        <w:rPr>
          <w:rFonts w:hint="eastAsia" w:ascii="宋体" w:hAnsi="宋体" w:eastAsia="宋体" w:cs="宋体"/>
          <w:sz w:val="28"/>
          <w:szCs w:val="28"/>
        </w:rPr>
        <w:t>保证提供符合本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和有关中国国家现行最新标准</w:t>
      </w:r>
      <w:r>
        <w:rPr>
          <w:rFonts w:hint="eastAsia" w:ascii="宋体" w:hAnsi="宋体" w:cs="宋体"/>
          <w:sz w:val="28"/>
          <w:szCs w:val="28"/>
          <w:lang w:val="en-US" w:eastAsia="zh-CN"/>
        </w:rPr>
        <w:t>或</w:t>
      </w:r>
      <w:r>
        <w:rPr>
          <w:rFonts w:hint="eastAsia" w:ascii="宋体" w:hAnsi="宋体" w:eastAsia="宋体" w:cs="宋体"/>
          <w:sz w:val="28"/>
          <w:szCs w:val="28"/>
        </w:rPr>
        <w:t>有关行业最新标准要求的优质产品；同时满足中国国家有关安全、环保等强制性法规、标准的要求。</w:t>
      </w:r>
    </w:p>
    <w:p w14:paraId="6488F818">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投标方</w:t>
      </w:r>
      <w:r>
        <w:rPr>
          <w:rFonts w:hint="eastAsia" w:ascii="宋体" w:hAnsi="宋体" w:eastAsia="宋体" w:cs="宋体"/>
          <w:sz w:val="28"/>
          <w:szCs w:val="28"/>
        </w:rPr>
        <w:t>须详细列出包括</w:t>
      </w:r>
      <w:r>
        <w:rPr>
          <w:rFonts w:hint="eastAsia" w:ascii="宋体" w:hAnsi="宋体" w:cs="宋体"/>
          <w:sz w:val="28"/>
          <w:szCs w:val="28"/>
          <w:lang w:val="en-US" w:eastAsia="zh-CN"/>
        </w:rPr>
        <w:t>生产</w:t>
      </w:r>
      <w:r>
        <w:rPr>
          <w:rFonts w:hint="eastAsia" w:ascii="宋体" w:hAnsi="宋体" w:eastAsia="宋体" w:cs="宋体"/>
          <w:sz w:val="28"/>
          <w:szCs w:val="28"/>
        </w:rPr>
        <w:t>、检验、供货、验收等所采用的标准、规程和规范名称</w:t>
      </w:r>
      <w:r>
        <w:rPr>
          <w:rFonts w:hint="eastAsia" w:ascii="宋体" w:hAnsi="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审查确认。</w:t>
      </w:r>
    </w:p>
    <w:p w14:paraId="04587D2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1.4本</w:t>
      </w:r>
      <w:r>
        <w:rPr>
          <w:rFonts w:hint="eastAsia" w:ascii="宋体" w:hAnsi="宋体" w:eastAsia="宋体" w:cs="宋体"/>
          <w:sz w:val="28"/>
          <w:szCs w:val="28"/>
          <w:lang w:eastAsia="zh-CN"/>
        </w:rPr>
        <w:t>技术任务书</w:t>
      </w:r>
      <w:r>
        <w:rPr>
          <w:rFonts w:hint="eastAsia" w:ascii="宋体" w:hAnsi="宋体" w:eastAsia="宋体" w:cs="宋体"/>
          <w:sz w:val="28"/>
          <w:szCs w:val="28"/>
        </w:rPr>
        <w:t>所使用的标准如与</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所执行的标准水平不一致时，按较高标准执行。如果本</w:t>
      </w:r>
      <w:r>
        <w:rPr>
          <w:rFonts w:hint="eastAsia" w:ascii="宋体" w:hAnsi="宋体" w:eastAsia="宋体" w:cs="宋体"/>
          <w:sz w:val="28"/>
          <w:szCs w:val="28"/>
          <w:lang w:eastAsia="zh-CN"/>
        </w:rPr>
        <w:t>技术任务书</w:t>
      </w:r>
      <w:r>
        <w:rPr>
          <w:rFonts w:hint="eastAsia" w:ascii="宋体" w:hAnsi="宋体" w:eastAsia="宋体" w:cs="宋体"/>
          <w:sz w:val="28"/>
          <w:szCs w:val="28"/>
        </w:rPr>
        <w:t>与现行使用的有关国家标准以及有关行业最新标准有明显抵触的条文，</w:t>
      </w:r>
      <w:r>
        <w:rPr>
          <w:rFonts w:hint="eastAsia" w:ascii="宋体" w:hAnsi="宋体" w:eastAsia="宋体" w:cs="宋体"/>
          <w:sz w:val="28"/>
          <w:szCs w:val="28"/>
          <w:lang w:eastAsia="zh-CN"/>
        </w:rPr>
        <w:t>投标方</w:t>
      </w:r>
      <w:r>
        <w:rPr>
          <w:rFonts w:hint="eastAsia" w:ascii="宋体" w:hAnsi="宋体" w:eastAsia="宋体" w:cs="宋体"/>
          <w:sz w:val="28"/>
          <w:szCs w:val="28"/>
        </w:rPr>
        <w:t>应及时书面通知</w:t>
      </w:r>
      <w:r>
        <w:rPr>
          <w:rFonts w:hint="eastAsia" w:ascii="宋体" w:hAnsi="宋体" w:eastAsia="宋体" w:cs="宋体"/>
          <w:sz w:val="28"/>
          <w:szCs w:val="28"/>
          <w:lang w:eastAsia="zh-CN"/>
        </w:rPr>
        <w:t>招标方</w:t>
      </w:r>
      <w:r>
        <w:rPr>
          <w:rFonts w:hint="eastAsia" w:ascii="宋体" w:hAnsi="宋体" w:eastAsia="宋体" w:cs="宋体"/>
          <w:sz w:val="28"/>
          <w:szCs w:val="28"/>
        </w:rPr>
        <w:t>进行解决。</w:t>
      </w:r>
    </w:p>
    <w:p w14:paraId="7BBB914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1.5如果</w:t>
      </w:r>
      <w:r>
        <w:rPr>
          <w:rFonts w:hint="eastAsia" w:ascii="宋体" w:hAnsi="宋体" w:eastAsia="宋体" w:cs="宋体"/>
          <w:sz w:val="28"/>
          <w:szCs w:val="28"/>
          <w:lang w:eastAsia="zh-CN"/>
        </w:rPr>
        <w:t>投标方</w:t>
      </w:r>
      <w:r>
        <w:rPr>
          <w:rFonts w:hint="eastAsia" w:ascii="宋体" w:hAnsi="宋体" w:eastAsia="宋体" w:cs="宋体"/>
          <w:sz w:val="28"/>
          <w:szCs w:val="28"/>
        </w:rPr>
        <w:t>没有以书面方式对本</w:t>
      </w:r>
      <w:r>
        <w:rPr>
          <w:rFonts w:hint="eastAsia" w:ascii="宋体" w:hAnsi="宋体" w:eastAsia="宋体" w:cs="宋体"/>
          <w:sz w:val="28"/>
          <w:szCs w:val="28"/>
          <w:lang w:eastAsia="zh-CN"/>
        </w:rPr>
        <w:t>技术任务书</w:t>
      </w:r>
      <w:r>
        <w:rPr>
          <w:rFonts w:hint="eastAsia" w:ascii="宋体" w:hAnsi="宋体" w:eastAsia="宋体" w:cs="宋体"/>
          <w:sz w:val="28"/>
          <w:szCs w:val="28"/>
        </w:rPr>
        <w:t>的条文提出异议，</w:t>
      </w:r>
      <w:r>
        <w:rPr>
          <w:rFonts w:hint="eastAsia" w:ascii="宋体" w:hAnsi="宋体" w:eastAsia="宋体" w:cs="宋体"/>
          <w:sz w:val="28"/>
          <w:szCs w:val="28"/>
          <w:lang w:val="en-US" w:eastAsia="zh-CN"/>
        </w:rPr>
        <w:t>招标方</w:t>
      </w:r>
      <w:r>
        <w:rPr>
          <w:rFonts w:hint="eastAsia" w:ascii="宋体" w:hAnsi="宋体" w:eastAsia="宋体" w:cs="宋体"/>
          <w:sz w:val="28"/>
          <w:szCs w:val="28"/>
        </w:rPr>
        <w:t>将认为</w:t>
      </w:r>
      <w:r>
        <w:rPr>
          <w:rFonts w:hint="eastAsia" w:ascii="宋体" w:hAnsi="宋体" w:eastAsia="宋体" w:cs="宋体"/>
          <w:sz w:val="28"/>
          <w:szCs w:val="28"/>
          <w:lang w:eastAsia="zh-CN"/>
        </w:rPr>
        <w:t>投标方</w:t>
      </w:r>
      <w:r>
        <w:rPr>
          <w:rFonts w:hint="eastAsia" w:ascii="宋体" w:hAnsi="宋体" w:eastAsia="宋体" w:cs="宋体"/>
          <w:sz w:val="28"/>
          <w:szCs w:val="28"/>
        </w:rPr>
        <w:t>提供的产品完全符合本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的要求。如有异议，不管是多么微小，都应在以“对</w:t>
      </w:r>
      <w:r>
        <w:rPr>
          <w:rFonts w:hint="eastAsia" w:ascii="宋体" w:hAnsi="宋体" w:eastAsia="宋体" w:cs="宋体"/>
          <w:sz w:val="28"/>
          <w:szCs w:val="28"/>
          <w:lang w:eastAsia="zh-CN"/>
        </w:rPr>
        <w:t>技术任务书</w:t>
      </w:r>
      <w:r>
        <w:rPr>
          <w:rFonts w:hint="eastAsia" w:ascii="宋体" w:hAnsi="宋体" w:eastAsia="宋体" w:cs="宋体"/>
          <w:sz w:val="28"/>
          <w:szCs w:val="28"/>
        </w:rPr>
        <w:t>的意见和同</w:t>
      </w:r>
      <w:r>
        <w:rPr>
          <w:rFonts w:hint="eastAsia" w:ascii="宋体" w:hAnsi="宋体" w:eastAsia="宋体" w:cs="宋体"/>
          <w:sz w:val="28"/>
          <w:szCs w:val="28"/>
          <w:lang w:eastAsia="zh-CN"/>
        </w:rPr>
        <w:t>技术任务书</w:t>
      </w:r>
      <w:r>
        <w:rPr>
          <w:rFonts w:hint="eastAsia" w:ascii="宋体" w:hAnsi="宋体" w:eastAsia="宋体" w:cs="宋体"/>
          <w:sz w:val="28"/>
          <w:szCs w:val="28"/>
        </w:rPr>
        <w:t>的差异”为标题的专门章节中加以详细描述</w:t>
      </w:r>
      <w:r>
        <w:rPr>
          <w:rFonts w:hint="eastAsia" w:ascii="宋体" w:hAnsi="宋体" w:eastAsia="宋体" w:cs="宋体"/>
          <w:sz w:val="28"/>
          <w:szCs w:val="28"/>
          <w:lang w:eastAsia="zh-CN"/>
        </w:rPr>
        <w:t>。</w:t>
      </w:r>
    </w:p>
    <w:p w14:paraId="1EEEE9C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cs="宋体"/>
          <w:sz w:val="28"/>
          <w:szCs w:val="28"/>
          <w:lang w:val="en-US" w:eastAsia="zh-CN"/>
        </w:rPr>
        <w:t>沥青</w:t>
      </w:r>
      <w:r>
        <w:rPr>
          <w:rFonts w:hint="eastAsia" w:ascii="宋体" w:hAnsi="宋体" w:eastAsia="宋体" w:cs="宋体"/>
          <w:sz w:val="28"/>
          <w:szCs w:val="28"/>
        </w:rPr>
        <w:t>涉及到的专利费用均被认为已包含在</w:t>
      </w:r>
      <w:r>
        <w:rPr>
          <w:rFonts w:hint="eastAsia" w:ascii="宋体" w:hAnsi="宋体" w:cs="宋体"/>
          <w:sz w:val="28"/>
          <w:szCs w:val="28"/>
          <w:u w:val="none"/>
          <w:lang w:val="en-US" w:eastAsia="zh-CN"/>
        </w:rPr>
        <w:t>煤沥青</w:t>
      </w:r>
      <w:r>
        <w:rPr>
          <w:rFonts w:hint="eastAsia" w:ascii="宋体" w:hAnsi="宋体" w:eastAsia="宋体" w:cs="宋体"/>
          <w:sz w:val="28"/>
          <w:szCs w:val="28"/>
          <w:lang w:eastAsia="zh-CN"/>
        </w:rPr>
        <w:t>总</w:t>
      </w:r>
      <w:r>
        <w:rPr>
          <w:rFonts w:hint="eastAsia" w:ascii="宋体" w:hAnsi="宋体" w:eastAsia="宋体" w:cs="宋体"/>
          <w:sz w:val="28"/>
          <w:szCs w:val="28"/>
        </w:rPr>
        <w:t>价中，</w:t>
      </w:r>
      <w:r>
        <w:rPr>
          <w:rFonts w:hint="eastAsia" w:ascii="宋体" w:hAnsi="宋体" w:eastAsia="宋体" w:cs="宋体"/>
          <w:sz w:val="28"/>
          <w:szCs w:val="28"/>
          <w:lang w:eastAsia="zh-CN"/>
        </w:rPr>
        <w:t>投标方</w:t>
      </w:r>
      <w:r>
        <w:rPr>
          <w:rFonts w:hint="eastAsia" w:ascii="宋体" w:hAnsi="宋体" w:eastAsia="宋体" w:cs="宋体"/>
          <w:sz w:val="28"/>
          <w:szCs w:val="28"/>
        </w:rPr>
        <w:t>应保证</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不承担有关</w:t>
      </w:r>
      <w:r>
        <w:rPr>
          <w:rFonts w:hint="eastAsia" w:ascii="宋体" w:hAnsi="宋体" w:cs="宋体"/>
          <w:sz w:val="28"/>
          <w:szCs w:val="28"/>
          <w:u w:val="none"/>
          <w:lang w:val="en-US" w:eastAsia="zh-CN"/>
        </w:rPr>
        <w:t>煤沥青</w:t>
      </w:r>
      <w:r>
        <w:rPr>
          <w:rFonts w:hint="eastAsia" w:ascii="宋体" w:hAnsi="宋体" w:eastAsia="宋体" w:cs="宋体"/>
          <w:sz w:val="28"/>
          <w:szCs w:val="28"/>
        </w:rPr>
        <w:t>专利的一切责任。</w:t>
      </w:r>
    </w:p>
    <w:p w14:paraId="23EDCD8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投标方</w:t>
      </w:r>
      <w:r>
        <w:rPr>
          <w:rFonts w:hint="eastAsia" w:ascii="宋体" w:hAnsi="宋体" w:eastAsia="宋体" w:cs="宋体"/>
          <w:sz w:val="28"/>
          <w:szCs w:val="28"/>
        </w:rPr>
        <w:t>提供的</w:t>
      </w:r>
      <w:r>
        <w:rPr>
          <w:rFonts w:hint="eastAsia" w:ascii="宋体" w:hAnsi="宋体" w:cs="宋体"/>
          <w:sz w:val="28"/>
          <w:szCs w:val="28"/>
          <w:u w:val="none"/>
          <w:lang w:val="en-US" w:eastAsia="zh-CN"/>
        </w:rPr>
        <w:t>沥青</w:t>
      </w:r>
      <w:r>
        <w:rPr>
          <w:rFonts w:hint="eastAsia" w:ascii="宋体" w:hAnsi="宋体" w:eastAsia="宋体" w:cs="宋体"/>
          <w:sz w:val="28"/>
          <w:szCs w:val="28"/>
        </w:rPr>
        <w:t>必须是完全符合本</w:t>
      </w:r>
      <w:r>
        <w:rPr>
          <w:rFonts w:hint="eastAsia" w:ascii="宋体" w:hAnsi="宋体" w:eastAsia="宋体" w:cs="宋体"/>
          <w:sz w:val="28"/>
          <w:szCs w:val="28"/>
          <w:lang w:eastAsia="zh-CN"/>
        </w:rPr>
        <w:t>技术任务书要求</w:t>
      </w:r>
      <w:r>
        <w:rPr>
          <w:rFonts w:hint="eastAsia" w:ascii="宋体" w:hAnsi="宋体" w:cs="宋体"/>
          <w:sz w:val="28"/>
          <w:szCs w:val="28"/>
          <w:lang w:eastAsia="zh-CN"/>
        </w:rPr>
        <w:t>，</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需对所提供产品的质量完全负责。</w:t>
      </w:r>
    </w:p>
    <w:p w14:paraId="53B7630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8</w:t>
      </w:r>
      <w:r>
        <w:rPr>
          <w:rFonts w:hint="eastAsia" w:ascii="宋体" w:hAnsi="宋体" w:eastAsia="宋体" w:cs="宋体"/>
          <w:sz w:val="28"/>
          <w:szCs w:val="28"/>
          <w:lang w:eastAsia="zh-CN"/>
        </w:rPr>
        <w:t xml:space="preserve"> 今后发生的一切书面协议,若与本技术条件有冲突,以时间最新并具有合同效力的为准。</w:t>
      </w:r>
    </w:p>
    <w:p w14:paraId="37ED0622">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cs="宋体"/>
          <w:sz w:val="28"/>
          <w:szCs w:val="28"/>
          <w:lang w:val="en-US" w:eastAsia="zh-CN"/>
        </w:rPr>
        <w:t>9</w:t>
      </w:r>
      <w:r>
        <w:rPr>
          <w:rFonts w:hint="eastAsia" w:ascii="宋体" w:hAnsi="宋体" w:eastAsia="宋体" w:cs="宋体"/>
          <w:sz w:val="28"/>
          <w:szCs w:val="28"/>
          <w:lang w:eastAsia="zh-CN"/>
        </w:rPr>
        <w:t xml:space="preserve"> 本技术任务书要求由投标方负责</w:t>
      </w:r>
      <w:r>
        <w:rPr>
          <w:rFonts w:hint="eastAsia" w:ascii="宋体" w:hAnsi="宋体" w:cs="宋体"/>
          <w:sz w:val="28"/>
          <w:szCs w:val="28"/>
          <w:lang w:val="en-US" w:eastAsia="zh-CN"/>
        </w:rPr>
        <w:t>生产</w:t>
      </w:r>
      <w:r>
        <w:rPr>
          <w:rFonts w:hint="eastAsia" w:ascii="宋体" w:hAnsi="宋体" w:eastAsia="宋体" w:cs="宋体"/>
          <w:sz w:val="28"/>
          <w:szCs w:val="28"/>
          <w:lang w:eastAsia="zh-CN"/>
        </w:rPr>
        <w:t>、运输、验收直至最终交付使用。</w:t>
      </w:r>
    </w:p>
    <w:p w14:paraId="726B0194">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本细则规定了</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w:t>
      </w:r>
      <w:r>
        <w:rPr>
          <w:rFonts w:hint="eastAsia" w:ascii="宋体" w:hAnsi="宋体" w:eastAsia="宋体" w:cs="宋体"/>
          <w:sz w:val="28"/>
          <w:szCs w:val="28"/>
          <w:lang w:val="en-US" w:eastAsia="zh-CN"/>
        </w:rPr>
        <w:t>技术指标</w:t>
      </w:r>
      <w:r>
        <w:rPr>
          <w:rFonts w:hint="eastAsia" w:ascii="宋体" w:hAnsi="宋体" w:eastAsia="宋体" w:cs="宋体"/>
          <w:sz w:val="28"/>
          <w:szCs w:val="28"/>
          <w:lang w:eastAsia="zh-CN"/>
        </w:rPr>
        <w:t>、检验方法等要求。适用于田林百矿田田碳素有限公司采购</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的质量检验及质量验证。</w:t>
      </w:r>
    </w:p>
    <w:p w14:paraId="50551953">
      <w:pPr>
        <w:ind w:firstLine="562" w:firstLineChars="200"/>
        <w:rPr>
          <w:rFonts w:hint="eastAsia" w:ascii="宋体" w:hAnsi="宋体" w:cs="宋体"/>
          <w:sz w:val="28"/>
          <w:szCs w:val="28"/>
          <w:u w:val="none"/>
          <w:lang w:val="en-US" w:eastAsia="zh-CN"/>
        </w:rPr>
      </w:pPr>
      <w:r>
        <w:rPr>
          <w:rFonts w:hint="eastAsia" w:ascii="宋体" w:hAnsi="宋体" w:cs="宋体"/>
          <w:b/>
          <w:bCs/>
          <w:sz w:val="28"/>
          <w:szCs w:val="28"/>
          <w:u w:val="none"/>
          <w:lang w:val="en-US" w:eastAsia="zh-CN"/>
        </w:rPr>
        <w:t>二、沥青用途与采购</w:t>
      </w:r>
      <w:r>
        <w:rPr>
          <w:rFonts w:hint="eastAsia"/>
          <w:b/>
          <w:bCs/>
          <w:sz w:val="28"/>
          <w:szCs w:val="28"/>
          <w:lang w:val="en-US" w:eastAsia="zh-CN"/>
        </w:rPr>
        <w:t>技术指标</w:t>
      </w:r>
    </w:p>
    <w:p w14:paraId="513BD6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u w:val="none"/>
          <w:lang w:val="en-US" w:eastAsia="zh-CN"/>
        </w:rPr>
      </w:pPr>
      <w:r>
        <w:rPr>
          <w:rFonts w:hint="eastAsia" w:ascii="宋体" w:hAnsi="宋体" w:cs="宋体"/>
          <w:sz w:val="28"/>
          <w:szCs w:val="28"/>
          <w:u w:val="none"/>
          <w:lang w:val="en-US" w:eastAsia="zh-CN"/>
        </w:rPr>
        <w:t>2.1 沥青用途</w:t>
      </w:r>
    </w:p>
    <w:p w14:paraId="506DF2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用于</w:t>
      </w:r>
      <w:r>
        <w:rPr>
          <w:rFonts w:hint="eastAsia" w:ascii="宋体" w:hAnsi="宋体" w:cs="宋体"/>
          <w:color w:val="auto"/>
          <w:sz w:val="28"/>
          <w:szCs w:val="28"/>
          <w:u w:val="none"/>
          <w:lang w:val="en-US" w:eastAsia="zh-CN"/>
        </w:rPr>
        <w:t>阳极生块生产的煅</w:t>
      </w:r>
      <w:r>
        <w:rPr>
          <w:rFonts w:hint="eastAsia" w:ascii="宋体" w:hAnsi="宋体" w:cs="宋体"/>
          <w:sz w:val="28"/>
          <w:szCs w:val="28"/>
          <w:u w:val="none"/>
          <w:lang w:val="en-US" w:eastAsia="zh-CN"/>
        </w:rPr>
        <w:t>后焦料成型过程的粘合剂。</w:t>
      </w:r>
    </w:p>
    <w:p w14:paraId="41277BD2">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cs="宋体"/>
          <w:b w:val="0"/>
          <w:bCs w:val="0"/>
          <w:sz w:val="28"/>
          <w:szCs w:val="28"/>
          <w:lang w:val="en-US" w:eastAsia="zh-CN"/>
        </w:rPr>
        <w:t>.2 液体沥青采购</w:t>
      </w:r>
      <w:r>
        <w:rPr>
          <w:rFonts w:hint="eastAsia"/>
          <w:b w:val="0"/>
          <w:bCs w:val="0"/>
          <w:sz w:val="28"/>
          <w:szCs w:val="28"/>
          <w:lang w:val="en-US" w:eastAsia="zh-CN"/>
        </w:rPr>
        <w:t>技术指标</w:t>
      </w:r>
    </w:p>
    <w:tbl>
      <w:tblPr>
        <w:tblStyle w:val="8"/>
        <w:tblpPr w:leftFromText="180" w:rightFromText="180" w:vertAnchor="text" w:horzAnchor="page" w:tblpXSpec="center" w:tblpY="178"/>
        <w:tblOverlap w:val="never"/>
        <w:tblW w:w="97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1"/>
        <w:gridCol w:w="1980"/>
        <w:gridCol w:w="5136"/>
      </w:tblGrid>
      <w:tr w14:paraId="7C8D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681" w:type="dxa"/>
            <w:vAlign w:val="center"/>
          </w:tcPr>
          <w:p w14:paraId="44310B9E">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项目</w:t>
            </w:r>
          </w:p>
        </w:tc>
        <w:tc>
          <w:tcPr>
            <w:tcW w:w="1980" w:type="dxa"/>
            <w:vAlign w:val="center"/>
          </w:tcPr>
          <w:p w14:paraId="4B712593">
            <w:pPr>
              <w:pStyle w:val="14"/>
              <w:spacing w:before="118"/>
              <w:jc w:val="both"/>
              <w:rPr>
                <w:rFonts w:hint="default" w:cs="宋体"/>
                <w:b/>
                <w:bCs/>
                <w:sz w:val="24"/>
                <w:szCs w:val="24"/>
                <w:lang w:val="en-US" w:eastAsia="zh-CN" w:bidi="ar-SA"/>
              </w:rPr>
            </w:pPr>
            <w:r>
              <w:rPr>
                <w:rFonts w:hint="eastAsia" w:cs="宋体"/>
                <w:b/>
                <w:bCs/>
                <w:sz w:val="24"/>
                <w:szCs w:val="24"/>
                <w:lang w:val="en-US" w:eastAsia="zh-CN" w:bidi="ar-SA"/>
              </w:rPr>
              <w:t>技术指标（一级）</w:t>
            </w:r>
          </w:p>
        </w:tc>
        <w:tc>
          <w:tcPr>
            <w:tcW w:w="5136" w:type="dxa"/>
            <w:vAlign w:val="center"/>
          </w:tcPr>
          <w:p w14:paraId="53BC972C">
            <w:pPr>
              <w:pStyle w:val="14"/>
              <w:spacing w:before="118"/>
              <w:jc w:val="center"/>
              <w:rPr>
                <w:rFonts w:hint="eastAsia" w:cs="宋体"/>
                <w:b/>
                <w:bCs/>
                <w:sz w:val="24"/>
                <w:szCs w:val="24"/>
                <w:lang w:val="en-US" w:eastAsia="zh-CN" w:bidi="ar-SA"/>
              </w:rPr>
            </w:pPr>
            <w:r>
              <w:rPr>
                <w:rFonts w:hint="eastAsia" w:cs="宋体"/>
                <w:kern w:val="2"/>
                <w:sz w:val="28"/>
                <w:szCs w:val="28"/>
                <w:lang w:val="en-US" w:eastAsia="zh-CN" w:bidi="ar-SA"/>
              </w:rPr>
              <w:t>执行标准</w:t>
            </w:r>
          </w:p>
        </w:tc>
      </w:tr>
      <w:tr w14:paraId="35A4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681" w:type="dxa"/>
            <w:vAlign w:val="center"/>
          </w:tcPr>
          <w:p w14:paraId="19CD419D">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软化点</w:t>
            </w:r>
            <w:r>
              <w:rPr>
                <w:rFonts w:hint="eastAsia" w:cs="宋体"/>
                <w:b/>
                <w:bCs/>
                <w:sz w:val="24"/>
                <w:szCs w:val="24"/>
                <w:lang w:val="en-US" w:eastAsia="zh-CN"/>
              </w:rPr>
              <w:t>（环球法）</w:t>
            </w:r>
            <w:r>
              <w:rPr>
                <w:rFonts w:hint="eastAsia" w:ascii="宋体" w:hAnsi="宋体" w:eastAsia="宋体" w:cs="宋体"/>
                <w:b/>
                <w:bCs/>
                <w:sz w:val="24"/>
                <w:szCs w:val="24"/>
                <w:lang w:val="en-US" w:eastAsia="zh-CN"/>
              </w:rPr>
              <w:t>℃</w:t>
            </w:r>
          </w:p>
        </w:tc>
        <w:tc>
          <w:tcPr>
            <w:tcW w:w="1980" w:type="dxa"/>
            <w:vAlign w:val="center"/>
          </w:tcPr>
          <w:p w14:paraId="5CAF8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105～112</w:t>
            </w:r>
          </w:p>
        </w:tc>
        <w:tc>
          <w:tcPr>
            <w:tcW w:w="5136" w:type="dxa"/>
            <w:vAlign w:val="center"/>
          </w:tcPr>
          <w:p w14:paraId="7327FE3C">
            <w:pPr>
              <w:pStyle w:val="14"/>
              <w:spacing w:before="118"/>
              <w:jc w:val="both"/>
              <w:rPr>
                <w:rFonts w:hint="default" w:cs="宋体"/>
                <w:b/>
                <w:bCs/>
                <w:sz w:val="24"/>
                <w:szCs w:val="24"/>
                <w:lang w:val="en-US" w:eastAsia="zh-CN" w:bidi="ar-SA"/>
              </w:rPr>
            </w:pPr>
            <w:r>
              <w:rPr>
                <w:rFonts w:hint="eastAsia" w:ascii="宋体" w:hAnsi="宋体" w:eastAsia="宋体" w:cs="Times New Roman"/>
                <w:b w:val="0"/>
                <w:bCs w:val="0"/>
                <w:kern w:val="10"/>
                <w:sz w:val="24"/>
                <w:highlight w:val="none"/>
                <w:lang w:val="en-US" w:eastAsia="zh-CN"/>
              </w:rPr>
              <w:t>软化点的测定按GB/T 2294规定进行</w:t>
            </w:r>
          </w:p>
        </w:tc>
      </w:tr>
      <w:tr w14:paraId="1D49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2681" w:type="dxa"/>
            <w:vAlign w:val="center"/>
          </w:tcPr>
          <w:p w14:paraId="555C916B">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甲苯不溶物含量</w:t>
            </w:r>
            <w:r>
              <w:rPr>
                <w:rFonts w:hint="eastAsia" w:cs="宋体"/>
                <w:b/>
                <w:bCs/>
                <w:sz w:val="24"/>
                <w:szCs w:val="24"/>
                <w:lang w:val="en-US" w:eastAsia="zh-CN"/>
              </w:rPr>
              <w:t>（抽提法）/%（质量分数）</w:t>
            </w:r>
          </w:p>
        </w:tc>
        <w:tc>
          <w:tcPr>
            <w:tcW w:w="1980" w:type="dxa"/>
            <w:vAlign w:val="center"/>
          </w:tcPr>
          <w:p w14:paraId="7FD1F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26～32</w:t>
            </w:r>
          </w:p>
        </w:tc>
        <w:tc>
          <w:tcPr>
            <w:tcW w:w="5136" w:type="dxa"/>
            <w:vAlign w:val="center"/>
          </w:tcPr>
          <w:p w14:paraId="24429204">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甲苯不溶物含量的测定按GB/T 2292规定进行</w:t>
            </w:r>
          </w:p>
        </w:tc>
      </w:tr>
      <w:tr w14:paraId="56EF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3E2D1C07">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喹啉不溶物</w:t>
            </w:r>
            <w:r>
              <w:rPr>
                <w:rFonts w:hint="eastAsia" w:cs="宋体"/>
                <w:b/>
                <w:bCs/>
                <w:sz w:val="24"/>
                <w:szCs w:val="24"/>
                <w:lang w:val="en-US" w:eastAsia="zh-CN"/>
              </w:rPr>
              <w:t>含量/%（质量分数）</w:t>
            </w:r>
          </w:p>
        </w:tc>
        <w:tc>
          <w:tcPr>
            <w:tcW w:w="1980" w:type="dxa"/>
            <w:vAlign w:val="center"/>
          </w:tcPr>
          <w:p w14:paraId="762327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6～12</w:t>
            </w:r>
          </w:p>
        </w:tc>
        <w:tc>
          <w:tcPr>
            <w:tcW w:w="5136" w:type="dxa"/>
            <w:vAlign w:val="center"/>
          </w:tcPr>
          <w:p w14:paraId="35BC1249">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喹啉不溶物含量的测定按GB/T 2293规定进行。</w:t>
            </w:r>
          </w:p>
        </w:tc>
      </w:tr>
      <w:tr w14:paraId="0770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2681" w:type="dxa"/>
            <w:vAlign w:val="center"/>
          </w:tcPr>
          <w:p w14:paraId="7943E83D">
            <w:pPr>
              <w:pStyle w:val="14"/>
              <w:spacing w:before="118"/>
              <w:ind w:right="298"/>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β</w:t>
            </w:r>
            <w:r>
              <w:rPr>
                <w:rFonts w:hint="eastAsia" w:cs="宋体"/>
                <w:b/>
                <w:bCs/>
                <w:sz w:val="24"/>
                <w:szCs w:val="24"/>
                <w:lang w:val="en-US" w:eastAsia="zh-CN"/>
              </w:rPr>
              <w:t>-树脂含量/%（质量分数）</w:t>
            </w:r>
          </w:p>
        </w:tc>
        <w:tc>
          <w:tcPr>
            <w:tcW w:w="1980" w:type="dxa"/>
            <w:vAlign w:val="center"/>
          </w:tcPr>
          <w:p w14:paraId="558D92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8"/>
                <w:sz w:val="21"/>
                <w:szCs w:val="21"/>
              </w:rPr>
              <w:t>18</w:t>
            </w:r>
          </w:p>
        </w:tc>
        <w:tc>
          <w:tcPr>
            <w:tcW w:w="5136" w:type="dxa"/>
            <w:vAlign w:val="center"/>
          </w:tcPr>
          <w:p w14:paraId="542EFC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β树脂含量由甲苯不溶物含量和喹啉不溶物含量差值计算而得。</w:t>
            </w:r>
          </w:p>
        </w:tc>
      </w:tr>
      <w:tr w14:paraId="7AF2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62F57048">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结焦值/%（质量分数）</w:t>
            </w:r>
          </w:p>
        </w:tc>
        <w:tc>
          <w:tcPr>
            <w:tcW w:w="1980" w:type="dxa"/>
            <w:vAlign w:val="center"/>
          </w:tcPr>
          <w:p w14:paraId="6E96A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4"/>
                <w:sz w:val="21"/>
                <w:szCs w:val="21"/>
              </w:rPr>
              <w:t>56</w:t>
            </w:r>
          </w:p>
        </w:tc>
        <w:tc>
          <w:tcPr>
            <w:tcW w:w="5136" w:type="dxa"/>
            <w:vAlign w:val="center"/>
          </w:tcPr>
          <w:p w14:paraId="0C87386D">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结焦值的测定按GB/T 8727规定进行</w:t>
            </w:r>
          </w:p>
        </w:tc>
      </w:tr>
      <w:tr w14:paraId="06AD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81" w:type="dxa"/>
            <w:vAlign w:val="center"/>
          </w:tcPr>
          <w:p w14:paraId="667B59E9">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灰分/%（质量分数）</w:t>
            </w:r>
          </w:p>
        </w:tc>
        <w:tc>
          <w:tcPr>
            <w:tcW w:w="1980" w:type="dxa"/>
            <w:vAlign w:val="center"/>
          </w:tcPr>
          <w:p w14:paraId="5730C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0.30</w:t>
            </w:r>
          </w:p>
        </w:tc>
        <w:tc>
          <w:tcPr>
            <w:tcW w:w="5136" w:type="dxa"/>
            <w:vAlign w:val="center"/>
          </w:tcPr>
          <w:p w14:paraId="040D869E">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灰分的测定按GB/T 2295规定进行。</w:t>
            </w:r>
          </w:p>
        </w:tc>
      </w:tr>
      <w:tr w14:paraId="64CE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restart"/>
            <w:vAlign w:val="center"/>
          </w:tcPr>
          <w:p w14:paraId="7278ADB4">
            <w:pPr>
              <w:pStyle w:val="14"/>
              <w:spacing w:before="118"/>
              <w:ind w:right="298"/>
              <w:jc w:val="center"/>
              <w:rPr>
                <w:rFonts w:hint="eastAsia" w:cs="宋体"/>
                <w:b/>
                <w:bCs/>
                <w:sz w:val="24"/>
                <w:szCs w:val="24"/>
                <w:lang w:val="en-US" w:eastAsia="zh-CN"/>
              </w:rPr>
            </w:pPr>
            <w:r>
              <w:rPr>
                <w:rFonts w:hint="eastAsia" w:cs="宋体"/>
                <w:b/>
                <w:bCs/>
                <w:sz w:val="24"/>
                <w:szCs w:val="24"/>
                <w:lang w:val="en-US" w:eastAsia="zh-CN"/>
              </w:rPr>
              <w:t>水分%</w:t>
            </w:r>
          </w:p>
        </w:tc>
        <w:tc>
          <w:tcPr>
            <w:tcW w:w="1980" w:type="dxa"/>
            <w:vAlign w:val="center"/>
          </w:tcPr>
          <w:p w14:paraId="54420F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液体≤0.2</w:t>
            </w:r>
          </w:p>
        </w:tc>
        <w:tc>
          <w:tcPr>
            <w:tcW w:w="5136" w:type="dxa"/>
            <w:vMerge w:val="restart"/>
            <w:vAlign w:val="center"/>
          </w:tcPr>
          <w:p w14:paraId="66D89D77">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水分的测定按GB/T 2288规定进行。</w:t>
            </w:r>
          </w:p>
        </w:tc>
      </w:tr>
      <w:tr w14:paraId="0DDD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continue"/>
            <w:vAlign w:val="top"/>
          </w:tcPr>
          <w:p w14:paraId="4E53C10D">
            <w:pPr>
              <w:keepNext w:val="0"/>
              <w:keepLines w:val="0"/>
              <w:pageBreakBefore w:val="0"/>
              <w:kinsoku/>
              <w:wordWrap/>
              <w:overflowPunct/>
              <w:topLinePunct w:val="0"/>
              <w:bidi w:val="0"/>
              <w:snapToGrid/>
              <w:spacing w:line="380" w:lineRule="exact"/>
              <w:ind w:left="0" w:leftChars="0"/>
              <w:rPr>
                <w:rFonts w:hint="default" w:cs="宋体"/>
                <w:b/>
                <w:bCs/>
                <w:sz w:val="24"/>
                <w:szCs w:val="24"/>
                <w:lang w:val="en-US" w:eastAsia="zh-CN"/>
              </w:rPr>
            </w:pPr>
          </w:p>
        </w:tc>
        <w:tc>
          <w:tcPr>
            <w:tcW w:w="1980" w:type="dxa"/>
            <w:vAlign w:val="center"/>
          </w:tcPr>
          <w:p w14:paraId="1D5C8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固体</w:t>
            </w:r>
            <w:r>
              <w:rPr>
                <w:rFonts w:hint="default" w:ascii="宋体" w:hAnsi="宋体" w:eastAsia="宋体" w:cs="宋体"/>
                <w:spacing w:val="-4"/>
                <w:sz w:val="21"/>
                <w:szCs w:val="21"/>
                <w:lang w:val="en-US" w:eastAsia="zh-CN"/>
              </w:rPr>
              <w:t>≤</w:t>
            </w:r>
            <w:r>
              <w:rPr>
                <w:rFonts w:hint="eastAsia" w:ascii="宋体" w:hAnsi="宋体" w:eastAsia="宋体" w:cs="宋体"/>
                <w:spacing w:val="-4"/>
                <w:sz w:val="21"/>
                <w:szCs w:val="21"/>
                <w:lang w:val="en-US" w:eastAsia="zh-CN"/>
              </w:rPr>
              <w:t>4.0</w:t>
            </w:r>
          </w:p>
        </w:tc>
        <w:tc>
          <w:tcPr>
            <w:tcW w:w="5136" w:type="dxa"/>
            <w:vMerge w:val="continue"/>
            <w:vAlign w:val="center"/>
          </w:tcPr>
          <w:p w14:paraId="32CABE36">
            <w:pPr>
              <w:pStyle w:val="14"/>
              <w:spacing w:before="118"/>
              <w:jc w:val="both"/>
              <w:rPr>
                <w:rFonts w:hint="eastAsia" w:ascii="宋体" w:hAnsi="宋体" w:eastAsia="宋体" w:cs="宋体"/>
                <w:b/>
                <w:bCs/>
                <w:kern w:val="2"/>
                <w:sz w:val="24"/>
                <w:szCs w:val="24"/>
                <w:lang w:val="en-US" w:eastAsia="zh-CN" w:bidi="ar-SA"/>
              </w:rPr>
            </w:pPr>
          </w:p>
        </w:tc>
      </w:tr>
    </w:tbl>
    <w:p w14:paraId="3CCE2EAF">
      <w:pPr>
        <w:pStyle w:val="13"/>
        <w:rPr>
          <w:rFonts w:hint="eastAsia"/>
          <w:lang w:val="en-US" w:eastAsia="zh-CN"/>
        </w:rPr>
      </w:pPr>
    </w:p>
    <w:p w14:paraId="600CDA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tLeast"/>
        <w:ind w:right="0" w:firstLine="560" w:firstLineChars="200"/>
        <w:jc w:val="left"/>
        <w:rPr>
          <w:rFonts w:hint="eastAsia" w:ascii="宋体" w:hAnsi="宋体" w:eastAsia="宋体" w:cs="宋体"/>
          <w:kern w:val="2"/>
          <w:sz w:val="28"/>
          <w:szCs w:val="28"/>
          <w:lang w:val="en-US" w:eastAsia="zh-CN" w:bidi="ar-SA"/>
        </w:rPr>
      </w:pPr>
      <w:r>
        <w:rPr>
          <w:rFonts w:hint="eastAsia" w:cs="宋体"/>
          <w:kern w:val="2"/>
          <w:sz w:val="28"/>
          <w:szCs w:val="28"/>
          <w:lang w:val="en-US" w:eastAsia="zh-CN" w:bidi="ar-SA"/>
        </w:rPr>
        <w:t>执行标准：液体</w:t>
      </w:r>
      <w:r>
        <w:rPr>
          <w:rFonts w:hint="eastAsia" w:ascii="宋体" w:hAnsi="宋体" w:eastAsia="宋体" w:cs="宋体"/>
          <w:kern w:val="2"/>
          <w:sz w:val="28"/>
          <w:szCs w:val="28"/>
          <w:lang w:val="en-US" w:eastAsia="zh-CN" w:bidi="ar-SA"/>
        </w:rPr>
        <w:t>改质沥青标准（YB/T51</w:t>
      </w:r>
      <w:r>
        <w:rPr>
          <w:rFonts w:hint="eastAsia" w:cs="宋体"/>
          <w:kern w:val="2"/>
          <w:sz w:val="28"/>
          <w:szCs w:val="28"/>
          <w:lang w:val="en-US" w:eastAsia="zh-CN" w:bidi="ar-SA"/>
        </w:rPr>
        <w:t>94</w:t>
      </w:r>
      <w:r>
        <w:rPr>
          <w:rFonts w:hint="eastAsia" w:ascii="宋体" w:hAnsi="宋体" w:eastAsia="宋体" w:cs="宋体"/>
          <w:kern w:val="2"/>
          <w:sz w:val="28"/>
          <w:szCs w:val="28"/>
          <w:lang w:val="en-US" w:eastAsia="zh-CN" w:bidi="ar-SA"/>
        </w:rPr>
        <w:t>—20</w:t>
      </w:r>
      <w:r>
        <w:rPr>
          <w:rFonts w:hint="eastAsia" w:cs="宋体"/>
          <w:kern w:val="2"/>
          <w:sz w:val="28"/>
          <w:szCs w:val="28"/>
          <w:lang w:val="en-US" w:eastAsia="zh-CN" w:bidi="ar-SA"/>
        </w:rPr>
        <w:t>15</w:t>
      </w:r>
      <w:r>
        <w:rPr>
          <w:rFonts w:hint="eastAsia" w:ascii="宋体" w:hAnsi="宋体" w:eastAsia="宋体" w:cs="宋体"/>
          <w:kern w:val="2"/>
          <w:sz w:val="28"/>
          <w:szCs w:val="28"/>
          <w:lang w:val="en-US" w:eastAsia="zh-CN" w:bidi="ar-SA"/>
        </w:rPr>
        <w:t>)</w:t>
      </w:r>
    </w:p>
    <w:p w14:paraId="0EB21955">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rPr>
        <w:t>、</w:t>
      </w:r>
      <w:r>
        <w:rPr>
          <w:rFonts w:hint="eastAsia" w:ascii="宋体" w:hAnsi="宋体" w:cs="宋体"/>
          <w:b/>
          <w:bCs/>
          <w:sz w:val="28"/>
          <w:szCs w:val="28"/>
          <w:lang w:val="en-US" w:eastAsia="zh-CN"/>
        </w:rPr>
        <w:t>沥青</w:t>
      </w:r>
      <w:r>
        <w:rPr>
          <w:rFonts w:hint="eastAsia" w:ascii="宋体" w:hAnsi="宋体" w:eastAsia="宋体" w:cs="宋体"/>
          <w:b/>
          <w:bCs/>
          <w:sz w:val="28"/>
          <w:szCs w:val="28"/>
          <w:lang w:eastAsia="zh-CN"/>
        </w:rPr>
        <w:t>采购量</w:t>
      </w:r>
      <w:r>
        <w:rPr>
          <w:rFonts w:hint="eastAsia" w:ascii="宋体" w:hAnsi="宋体" w:eastAsia="宋体" w:cs="宋体"/>
          <w:b/>
          <w:bCs/>
          <w:sz w:val="28"/>
          <w:szCs w:val="28"/>
        </w:rPr>
        <w:t>及理化性能质量细则</w:t>
      </w:r>
    </w:p>
    <w:p w14:paraId="669446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 xml:space="preserve">.1 </w:t>
      </w:r>
      <w:r>
        <w:rPr>
          <w:rFonts w:hint="eastAsia" w:ascii="宋体" w:hAnsi="宋体" w:cs="宋体"/>
          <w:sz w:val="28"/>
          <w:szCs w:val="28"/>
          <w:lang w:val="en-US" w:eastAsia="zh-CN"/>
        </w:rPr>
        <w:t>沥青</w:t>
      </w:r>
      <w:r>
        <w:rPr>
          <w:rFonts w:hint="eastAsia" w:ascii="宋体" w:hAnsi="宋体" w:eastAsia="宋体" w:cs="宋体"/>
          <w:sz w:val="28"/>
          <w:szCs w:val="28"/>
          <w:lang w:eastAsia="zh-CN"/>
        </w:rPr>
        <w:t>采购</w:t>
      </w:r>
      <w:r>
        <w:rPr>
          <w:rFonts w:hint="eastAsia" w:ascii="宋体" w:hAnsi="宋体" w:cs="宋体"/>
          <w:sz w:val="28"/>
          <w:szCs w:val="28"/>
          <w:lang w:val="en-US" w:eastAsia="zh-CN"/>
        </w:rPr>
        <w:t>总</w:t>
      </w:r>
      <w:r>
        <w:rPr>
          <w:rFonts w:hint="eastAsia" w:ascii="宋体" w:hAnsi="宋体" w:eastAsia="宋体" w:cs="宋体"/>
          <w:sz w:val="28"/>
          <w:szCs w:val="28"/>
        </w:rPr>
        <w:t>量</w:t>
      </w:r>
      <w:r>
        <w:rPr>
          <w:rFonts w:hint="eastAsia" w:ascii="宋体" w:hAnsi="宋体" w:eastAsia="宋体" w:cs="宋体"/>
          <w:sz w:val="28"/>
          <w:szCs w:val="28"/>
          <w:lang w:eastAsia="zh-CN"/>
        </w:rPr>
        <w:t>：</w:t>
      </w:r>
      <w:r>
        <w:rPr>
          <w:rFonts w:hint="eastAsia" w:ascii="宋体" w:hAnsi="宋体" w:cs="宋体"/>
          <w:sz w:val="28"/>
          <w:szCs w:val="28"/>
          <w:highlight w:val="none"/>
          <w:lang w:val="en-US" w:eastAsia="zh-CN"/>
        </w:rPr>
        <w:t>液体5800</w:t>
      </w:r>
      <w:r>
        <w:rPr>
          <w:rFonts w:hint="eastAsia" w:ascii="宋体" w:hAnsi="宋体" w:eastAsia="宋体" w:cs="宋体"/>
          <w:sz w:val="28"/>
          <w:szCs w:val="28"/>
          <w:highlight w:val="none"/>
        </w:rPr>
        <w:t>吨</w:t>
      </w:r>
      <w:r>
        <w:rPr>
          <w:rFonts w:hint="eastAsia" w:ascii="宋体" w:hAnsi="宋体" w:cs="宋体"/>
          <w:sz w:val="28"/>
          <w:szCs w:val="28"/>
          <w:lang w:eastAsia="zh-CN"/>
        </w:rPr>
        <w:t>，</w:t>
      </w:r>
      <w:r>
        <w:rPr>
          <w:rFonts w:hint="eastAsia" w:ascii="宋体" w:hAnsi="宋体" w:cs="宋体"/>
          <w:sz w:val="28"/>
          <w:szCs w:val="28"/>
          <w:lang w:val="en-US" w:eastAsia="zh-CN"/>
        </w:rPr>
        <w:t>详见附表《改质沥青供货计划表》。</w:t>
      </w:r>
    </w:p>
    <w:p w14:paraId="06E61D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 xml:space="preserve">.2 </w:t>
      </w:r>
      <w:r>
        <w:rPr>
          <w:rFonts w:hint="eastAsia" w:ascii="宋体" w:hAnsi="宋体" w:cs="宋体"/>
          <w:sz w:val="28"/>
          <w:szCs w:val="28"/>
          <w:lang w:val="en-US" w:eastAsia="zh-CN"/>
        </w:rPr>
        <w:t>沥青</w:t>
      </w:r>
      <w:r>
        <w:rPr>
          <w:rFonts w:hint="eastAsia" w:ascii="宋体" w:hAnsi="宋体" w:eastAsia="宋体" w:cs="宋体"/>
          <w:sz w:val="28"/>
          <w:szCs w:val="28"/>
        </w:rPr>
        <w:t>理化</w:t>
      </w:r>
      <w:r>
        <w:rPr>
          <w:rFonts w:hint="eastAsia" w:ascii="宋体" w:hAnsi="宋体" w:cs="宋体"/>
          <w:sz w:val="28"/>
          <w:szCs w:val="28"/>
          <w:lang w:val="en-US" w:eastAsia="zh-CN"/>
        </w:rPr>
        <w:t>指标</w:t>
      </w:r>
      <w:r>
        <w:rPr>
          <w:rFonts w:hint="eastAsia" w:ascii="宋体" w:hAnsi="宋体" w:eastAsia="宋体" w:cs="宋体"/>
          <w:sz w:val="28"/>
          <w:szCs w:val="28"/>
        </w:rPr>
        <w:t>质量细则</w:t>
      </w:r>
    </w:p>
    <w:tbl>
      <w:tblPr>
        <w:tblStyle w:val="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420"/>
        <w:gridCol w:w="1215"/>
        <w:gridCol w:w="1695"/>
        <w:gridCol w:w="1610"/>
        <w:gridCol w:w="855"/>
        <w:gridCol w:w="2280"/>
      </w:tblGrid>
      <w:tr w14:paraId="40F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81" w:type="dxa"/>
            <w:gridSpan w:val="7"/>
            <w:vAlign w:val="center"/>
          </w:tcPr>
          <w:p w14:paraId="36E8132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沥青质量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0353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392FF78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420" w:type="dxa"/>
            <w:vAlign w:val="center"/>
          </w:tcPr>
          <w:p w14:paraId="67B15F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子项</w:t>
            </w:r>
          </w:p>
        </w:tc>
        <w:tc>
          <w:tcPr>
            <w:tcW w:w="1215" w:type="dxa"/>
            <w:vAlign w:val="center"/>
          </w:tcPr>
          <w:p w14:paraId="763E019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合格标准</w:t>
            </w:r>
          </w:p>
        </w:tc>
        <w:tc>
          <w:tcPr>
            <w:tcW w:w="1695" w:type="dxa"/>
            <w:vAlign w:val="center"/>
          </w:tcPr>
          <w:p w14:paraId="293B89CF">
            <w:pPr>
              <w:keepNext w:val="0"/>
              <w:keepLines w:val="0"/>
              <w:pageBreakBefore w:val="0"/>
              <w:widowControl/>
              <w:suppressLineNumbers w:val="0"/>
              <w:kinsoku/>
              <w:wordWrap/>
              <w:overflowPunct/>
              <w:topLinePunct w:val="0"/>
              <w:bidi w:val="0"/>
              <w:snapToGrid/>
              <w:spacing w:line="380" w:lineRule="exact"/>
              <w:ind w:left="211" w:leftChars="0" w:hanging="211" w:hangingChars="10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让步接收标准</w:t>
            </w:r>
          </w:p>
        </w:tc>
        <w:tc>
          <w:tcPr>
            <w:tcW w:w="1610" w:type="dxa"/>
            <w:vAlign w:val="center"/>
          </w:tcPr>
          <w:p w14:paraId="2E3B39F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000000"/>
                <w:kern w:val="0"/>
                <w:sz w:val="21"/>
                <w:szCs w:val="21"/>
                <w:u w:val="none"/>
                <w:lang w:val="en-US" w:eastAsia="zh-CN" w:bidi="ar"/>
              </w:rPr>
              <w:t>让步接收</w:t>
            </w:r>
            <w:r>
              <w:rPr>
                <w:rFonts w:hint="eastAsia" w:ascii="宋体" w:hAnsi="宋体" w:eastAsia="宋体" w:cs="宋体"/>
                <w:b/>
                <w:bCs/>
                <w:i w:val="0"/>
                <w:iCs w:val="0"/>
                <w:color w:val="000000"/>
                <w:kern w:val="0"/>
                <w:sz w:val="21"/>
                <w:szCs w:val="21"/>
                <w:u w:val="none"/>
                <w:lang w:val="en-US" w:eastAsia="zh-CN" w:bidi="ar"/>
              </w:rPr>
              <w:t>扣款标准</w:t>
            </w:r>
          </w:p>
        </w:tc>
        <w:tc>
          <w:tcPr>
            <w:tcW w:w="855" w:type="dxa"/>
            <w:vAlign w:val="center"/>
          </w:tcPr>
          <w:p w14:paraId="2DCE2C2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退货</w:t>
            </w:r>
          </w:p>
          <w:p w14:paraId="33E2D2E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标准</w:t>
            </w:r>
          </w:p>
        </w:tc>
        <w:tc>
          <w:tcPr>
            <w:tcW w:w="2280" w:type="dxa"/>
            <w:vAlign w:val="center"/>
          </w:tcPr>
          <w:p w14:paraId="401456D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b/>
                <w:bCs/>
                <w:sz w:val="21"/>
                <w:szCs w:val="21"/>
              </w:rPr>
            </w:pPr>
            <w:r>
              <w:rPr>
                <w:rFonts w:hint="eastAsia" w:ascii="宋体" w:hAnsi="宋体" w:eastAsia="宋体" w:cs="宋体"/>
                <w:b/>
                <w:bCs/>
                <w:i w:val="0"/>
                <w:iCs w:val="0"/>
                <w:color w:val="000000"/>
                <w:kern w:val="0"/>
                <w:sz w:val="21"/>
                <w:szCs w:val="21"/>
                <w:u w:val="none"/>
                <w:lang w:val="en-US" w:eastAsia="zh-CN" w:bidi="ar"/>
              </w:rPr>
              <w:t>达退货标准，但</w:t>
            </w:r>
            <w:r>
              <w:rPr>
                <w:rFonts w:hint="eastAsia" w:ascii="宋体" w:hAnsi="宋体" w:cs="宋体"/>
                <w:b/>
                <w:bCs/>
                <w:i w:val="0"/>
                <w:iCs w:val="0"/>
                <w:color w:val="000000"/>
                <w:kern w:val="0"/>
                <w:sz w:val="21"/>
                <w:szCs w:val="21"/>
                <w:u w:val="none"/>
                <w:lang w:val="en-US" w:eastAsia="zh-CN" w:bidi="ar"/>
              </w:rPr>
              <w:t>已卸货无法退货</w:t>
            </w:r>
            <w:r>
              <w:rPr>
                <w:rFonts w:hint="eastAsia" w:ascii="宋体" w:hAnsi="宋体" w:eastAsia="宋体" w:cs="宋体"/>
                <w:b/>
                <w:bCs/>
                <w:i w:val="0"/>
                <w:iCs w:val="0"/>
                <w:color w:val="000000"/>
                <w:kern w:val="0"/>
                <w:sz w:val="21"/>
                <w:szCs w:val="21"/>
                <w:u w:val="none"/>
                <w:lang w:val="en-US" w:eastAsia="zh-CN" w:bidi="ar"/>
              </w:rPr>
              <w:t>扣款标准</w:t>
            </w:r>
          </w:p>
        </w:tc>
      </w:tr>
      <w:tr w14:paraId="597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14160DF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1420" w:type="dxa"/>
            <w:vAlign w:val="center"/>
          </w:tcPr>
          <w:p w14:paraId="62044184">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软化点℃</w:t>
            </w:r>
          </w:p>
        </w:tc>
        <w:tc>
          <w:tcPr>
            <w:tcW w:w="1215" w:type="dxa"/>
            <w:vAlign w:val="center"/>
          </w:tcPr>
          <w:p w14:paraId="2CDC591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112</w:t>
            </w:r>
          </w:p>
        </w:tc>
        <w:tc>
          <w:tcPr>
            <w:tcW w:w="1695" w:type="dxa"/>
            <w:vAlign w:val="center"/>
          </w:tcPr>
          <w:p w14:paraId="22BDCF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112＜X≤120</w:t>
            </w:r>
          </w:p>
        </w:tc>
        <w:tc>
          <w:tcPr>
            <w:tcW w:w="1610" w:type="dxa"/>
            <w:vAlign w:val="center"/>
          </w:tcPr>
          <w:p w14:paraId="3CCF79AF">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278D77A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X＜105</w:t>
            </w:r>
          </w:p>
          <w:p w14:paraId="7236EE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X＞120</w:t>
            </w:r>
          </w:p>
        </w:tc>
        <w:tc>
          <w:tcPr>
            <w:tcW w:w="2280" w:type="dxa"/>
            <w:vAlign w:val="center"/>
          </w:tcPr>
          <w:p w14:paraId="1216973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728A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2FF71A9">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p>
        </w:tc>
        <w:tc>
          <w:tcPr>
            <w:tcW w:w="1420" w:type="dxa"/>
            <w:vAlign w:val="top"/>
          </w:tcPr>
          <w:p w14:paraId="70BF948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5"/>
                <w:sz w:val="21"/>
                <w:szCs w:val="21"/>
                <w:highlight w:val="none"/>
              </w:rPr>
              <w:t>甲苯不溶物含量%</w:t>
            </w:r>
          </w:p>
        </w:tc>
        <w:tc>
          <w:tcPr>
            <w:tcW w:w="1215" w:type="dxa"/>
            <w:vAlign w:val="center"/>
          </w:tcPr>
          <w:p w14:paraId="16E208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w:t>
            </w:r>
          </w:p>
        </w:tc>
        <w:tc>
          <w:tcPr>
            <w:tcW w:w="1695" w:type="dxa"/>
            <w:vAlign w:val="center"/>
          </w:tcPr>
          <w:p w14:paraId="6C2847E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32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34</w:t>
            </w:r>
          </w:p>
        </w:tc>
        <w:tc>
          <w:tcPr>
            <w:tcW w:w="1610" w:type="dxa"/>
            <w:vAlign w:val="center"/>
          </w:tcPr>
          <w:p w14:paraId="2437C6B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7F1A960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X＜26</w:t>
            </w:r>
          </w:p>
          <w:p w14:paraId="51667A5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X＞34</w:t>
            </w:r>
          </w:p>
        </w:tc>
        <w:tc>
          <w:tcPr>
            <w:tcW w:w="2280" w:type="dxa"/>
            <w:vAlign w:val="center"/>
          </w:tcPr>
          <w:p w14:paraId="694F814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5A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E4E7E4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1420" w:type="dxa"/>
            <w:vAlign w:val="top"/>
          </w:tcPr>
          <w:p w14:paraId="436939C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喹啉不溶物含量%</w:t>
            </w:r>
          </w:p>
        </w:tc>
        <w:tc>
          <w:tcPr>
            <w:tcW w:w="1215" w:type="dxa"/>
            <w:vAlign w:val="center"/>
          </w:tcPr>
          <w:p w14:paraId="0DF4951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12</w:t>
            </w:r>
          </w:p>
        </w:tc>
        <w:tc>
          <w:tcPr>
            <w:tcW w:w="1695" w:type="dxa"/>
            <w:vAlign w:val="center"/>
          </w:tcPr>
          <w:p w14:paraId="32CC7F5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15</w:t>
            </w:r>
          </w:p>
        </w:tc>
        <w:tc>
          <w:tcPr>
            <w:tcW w:w="1610" w:type="dxa"/>
            <w:vAlign w:val="center"/>
          </w:tcPr>
          <w:p w14:paraId="7DE880FB">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09AEFDA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X＜6</w:t>
            </w:r>
          </w:p>
          <w:p w14:paraId="07A10BF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X＞15</w:t>
            </w:r>
          </w:p>
        </w:tc>
        <w:tc>
          <w:tcPr>
            <w:tcW w:w="2280" w:type="dxa"/>
            <w:vAlign w:val="center"/>
          </w:tcPr>
          <w:p w14:paraId="0B629F89">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65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D137D9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420" w:type="dxa"/>
            <w:vAlign w:val="center"/>
          </w:tcPr>
          <w:p w14:paraId="7B500887">
            <w:pPr>
              <w:keepNext w:val="0"/>
              <w:keepLines w:val="0"/>
              <w:pageBreakBefore w:val="0"/>
              <w:kinsoku/>
              <w:wordWrap/>
              <w:overflowPunct/>
              <w:topLinePunct w:val="0"/>
              <w:bidi w:val="0"/>
              <w:snapToGrid/>
              <w:spacing w:line="380" w:lineRule="exact"/>
              <w:ind w:left="0" w:leftChars="0"/>
              <w:jc w:val="both"/>
              <w:rPr>
                <w:rFonts w:hint="eastAsia" w:ascii="宋体" w:hAnsi="宋体" w:eastAsia="宋体" w:cs="宋体"/>
                <w:b w:val="0"/>
                <w:bCs/>
                <w:color w:val="auto"/>
                <w:sz w:val="21"/>
                <w:szCs w:val="21"/>
                <w:highlight w:val="none"/>
                <w:lang w:eastAsia="zh-CN"/>
              </w:rPr>
            </w:pPr>
            <w:r>
              <w:rPr>
                <w:rFonts w:ascii="宋体" w:hAnsi="宋体" w:eastAsia="宋体" w:cs="宋体"/>
                <w:color w:val="auto"/>
                <w:spacing w:val="7"/>
                <w:sz w:val="21"/>
                <w:szCs w:val="21"/>
                <w:highlight w:val="none"/>
              </w:rPr>
              <w:t>β树脂含量%</w:t>
            </w:r>
          </w:p>
        </w:tc>
        <w:tc>
          <w:tcPr>
            <w:tcW w:w="1215" w:type="dxa"/>
            <w:vAlign w:val="center"/>
          </w:tcPr>
          <w:p w14:paraId="5B7631B1">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695" w:type="dxa"/>
            <w:vAlign w:val="center"/>
          </w:tcPr>
          <w:p w14:paraId="590E89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16≤X＜18</w:t>
            </w:r>
          </w:p>
        </w:tc>
        <w:tc>
          <w:tcPr>
            <w:tcW w:w="1610" w:type="dxa"/>
            <w:vAlign w:val="center"/>
          </w:tcPr>
          <w:p w14:paraId="27D81159">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0BC8DEB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X＜16</w:t>
            </w:r>
          </w:p>
        </w:tc>
        <w:tc>
          <w:tcPr>
            <w:tcW w:w="2280" w:type="dxa"/>
            <w:vAlign w:val="center"/>
          </w:tcPr>
          <w:p w14:paraId="42773A5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134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0FE1705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420" w:type="dxa"/>
            <w:vAlign w:val="center"/>
          </w:tcPr>
          <w:p w14:paraId="40B9E188">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7"/>
                <w:sz w:val="21"/>
                <w:szCs w:val="21"/>
                <w:highlight w:val="none"/>
              </w:rPr>
              <w:t>结焦值%</w:t>
            </w:r>
          </w:p>
        </w:tc>
        <w:tc>
          <w:tcPr>
            <w:tcW w:w="1215" w:type="dxa"/>
            <w:vAlign w:val="center"/>
          </w:tcPr>
          <w:p w14:paraId="726EF36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695" w:type="dxa"/>
            <w:vAlign w:val="center"/>
          </w:tcPr>
          <w:p w14:paraId="7FBCDA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54≤X＜56</w:t>
            </w:r>
          </w:p>
        </w:tc>
        <w:tc>
          <w:tcPr>
            <w:tcW w:w="1610" w:type="dxa"/>
            <w:vAlign w:val="center"/>
          </w:tcPr>
          <w:p w14:paraId="5096F5E0">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41D75D8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X＜54</w:t>
            </w:r>
          </w:p>
        </w:tc>
        <w:tc>
          <w:tcPr>
            <w:tcW w:w="2280" w:type="dxa"/>
            <w:vAlign w:val="center"/>
          </w:tcPr>
          <w:p w14:paraId="677025A6">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Theme="minorHAnsi" w:hAnsiTheme="minorHAnsi" w:eastAsiaTheme="minorEastAsia" w:cstheme="minorBidi"/>
                <w:b/>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791E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1DF97A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1420" w:type="dxa"/>
            <w:vAlign w:val="center"/>
          </w:tcPr>
          <w:p w14:paraId="61340EAD">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灰分%</w:t>
            </w:r>
          </w:p>
        </w:tc>
        <w:tc>
          <w:tcPr>
            <w:tcW w:w="1215" w:type="dxa"/>
            <w:vAlign w:val="center"/>
          </w:tcPr>
          <w:p w14:paraId="501E16A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≤0.30</w:t>
            </w:r>
          </w:p>
        </w:tc>
        <w:tc>
          <w:tcPr>
            <w:tcW w:w="1695" w:type="dxa"/>
            <w:vAlign w:val="center"/>
          </w:tcPr>
          <w:p w14:paraId="256DB4B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lang w:val="en-US" w:eastAsia="zh-CN"/>
              </w:rPr>
              <w:t>0.30</w:t>
            </w:r>
            <w:r>
              <w:rPr>
                <w:rFonts w:hint="eastAsia" w:ascii="宋体" w:hAnsi="宋体" w:eastAsia="宋体" w:cs="宋体"/>
                <w:i w:val="0"/>
                <w:iCs w:val="0"/>
                <w:color w:val="auto"/>
                <w:kern w:val="0"/>
                <w:sz w:val="21"/>
                <w:szCs w:val="21"/>
                <w:highlight w:val="none"/>
                <w:u w:val="none"/>
                <w:lang w:val="en-US" w:eastAsia="zh-CN" w:bidi="ar"/>
              </w:rPr>
              <w:t>＜X≤0.40</w:t>
            </w:r>
          </w:p>
        </w:tc>
        <w:tc>
          <w:tcPr>
            <w:tcW w:w="1610" w:type="dxa"/>
            <w:vAlign w:val="center"/>
          </w:tcPr>
          <w:p w14:paraId="382C0BF1">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每增加0.01，每吨扣单价的0.3%</w:t>
            </w:r>
          </w:p>
        </w:tc>
        <w:tc>
          <w:tcPr>
            <w:tcW w:w="855" w:type="dxa"/>
            <w:vAlign w:val="center"/>
          </w:tcPr>
          <w:p w14:paraId="38BE77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＞0.40</w:t>
            </w:r>
          </w:p>
        </w:tc>
        <w:tc>
          <w:tcPr>
            <w:tcW w:w="2280" w:type="dxa"/>
            <w:vAlign w:val="center"/>
          </w:tcPr>
          <w:p w14:paraId="563EF777">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每增加0.01，每吨扣单价的0.9%</w:t>
            </w:r>
          </w:p>
        </w:tc>
      </w:tr>
      <w:tr w14:paraId="74B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restart"/>
            <w:vAlign w:val="center"/>
          </w:tcPr>
          <w:p w14:paraId="5532A51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1420" w:type="dxa"/>
            <w:vMerge w:val="restart"/>
            <w:vAlign w:val="center"/>
          </w:tcPr>
          <w:p w14:paraId="75EB4A19">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水分%</w:t>
            </w:r>
          </w:p>
        </w:tc>
        <w:tc>
          <w:tcPr>
            <w:tcW w:w="1215" w:type="dxa"/>
            <w:vAlign w:val="center"/>
          </w:tcPr>
          <w:p w14:paraId="2E869CCE">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液体≤0.2</w:t>
            </w:r>
          </w:p>
        </w:tc>
        <w:tc>
          <w:tcPr>
            <w:tcW w:w="1695" w:type="dxa"/>
            <w:vAlign w:val="center"/>
          </w:tcPr>
          <w:p w14:paraId="594E395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X＞0.2</w:t>
            </w:r>
          </w:p>
        </w:tc>
        <w:tc>
          <w:tcPr>
            <w:tcW w:w="4745" w:type="dxa"/>
            <w:gridSpan w:val="3"/>
            <w:vAlign w:val="center"/>
          </w:tcPr>
          <w:p w14:paraId="70A3470D">
            <w:pPr>
              <w:keepNext w:val="0"/>
              <w:keepLines w:val="0"/>
              <w:pageBreakBefore w:val="0"/>
              <w:widowControl/>
              <w:suppressLineNumbers w:val="0"/>
              <w:tabs>
                <w:tab w:val="center" w:pos="2264"/>
              </w:tabs>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r>
      <w:tr w14:paraId="4B18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continue"/>
            <w:vAlign w:val="center"/>
          </w:tcPr>
          <w:p w14:paraId="2FB6769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1420" w:type="dxa"/>
            <w:vMerge w:val="continue"/>
            <w:vAlign w:val="top"/>
          </w:tcPr>
          <w:p w14:paraId="521F20ED">
            <w:pPr>
              <w:keepNext w:val="0"/>
              <w:keepLines w:val="0"/>
              <w:pageBreakBefore w:val="0"/>
              <w:kinsoku/>
              <w:wordWrap/>
              <w:overflowPunct/>
              <w:topLinePunct w:val="0"/>
              <w:bidi w:val="0"/>
              <w:snapToGrid/>
              <w:spacing w:line="380" w:lineRule="exact"/>
              <w:ind w:left="0" w:leftChars="0"/>
              <w:rPr>
                <w:rFonts w:ascii="宋体" w:hAnsi="宋体" w:eastAsia="宋体" w:cs="宋体"/>
                <w:color w:val="auto"/>
                <w:spacing w:val="8"/>
                <w:sz w:val="21"/>
                <w:szCs w:val="21"/>
                <w:highlight w:val="none"/>
              </w:rPr>
            </w:pPr>
          </w:p>
        </w:tc>
        <w:tc>
          <w:tcPr>
            <w:tcW w:w="1215" w:type="dxa"/>
            <w:vAlign w:val="center"/>
          </w:tcPr>
          <w:p w14:paraId="0A304D0D">
            <w:pPr>
              <w:pStyle w:val="11"/>
              <w:keepNext w:val="0"/>
              <w:keepLines w:val="0"/>
              <w:pageBreakBefore w:val="0"/>
              <w:kinsoku/>
              <w:wordWrap/>
              <w:overflowPunct/>
              <w:topLinePunct w:val="0"/>
              <w:bidi w:val="0"/>
              <w:snapToGrid/>
              <w:spacing w:line="380" w:lineRule="exact"/>
              <w:ind w:left="0" w:left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固</w:t>
            </w:r>
            <w:r>
              <w:rPr>
                <w:rFonts w:hint="eastAsia" w:ascii="宋体" w:hAnsi="宋体" w:eastAsia="宋体" w:cs="宋体"/>
                <w:i w:val="0"/>
                <w:iCs w:val="0"/>
                <w:color w:val="auto"/>
                <w:kern w:val="0"/>
                <w:sz w:val="21"/>
                <w:szCs w:val="21"/>
                <w:highlight w:val="none"/>
                <w:u w:val="none"/>
                <w:lang w:val="en-US" w:eastAsia="zh-CN" w:bidi="ar"/>
              </w:rPr>
              <w:t>体</w:t>
            </w: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w:t>
            </w:r>
          </w:p>
        </w:tc>
        <w:tc>
          <w:tcPr>
            <w:tcW w:w="1695" w:type="dxa"/>
            <w:vAlign w:val="center"/>
          </w:tcPr>
          <w:p w14:paraId="7760295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4.0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pacing w:val="-3"/>
                <w:sz w:val="21"/>
                <w:szCs w:val="21"/>
                <w:highlight w:val="none"/>
                <w:lang w:val="en-US" w:eastAsia="zh-CN"/>
              </w:rPr>
              <w:t>X≤5.0</w:t>
            </w:r>
          </w:p>
        </w:tc>
        <w:tc>
          <w:tcPr>
            <w:tcW w:w="1610" w:type="dxa"/>
            <w:vAlign w:val="center"/>
          </w:tcPr>
          <w:p w14:paraId="6D9BAF3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c>
          <w:tcPr>
            <w:tcW w:w="855" w:type="dxa"/>
            <w:vAlign w:val="center"/>
          </w:tcPr>
          <w:p w14:paraId="043DD2B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X＞5.0</w:t>
            </w:r>
          </w:p>
        </w:tc>
        <w:tc>
          <w:tcPr>
            <w:tcW w:w="2280" w:type="dxa"/>
            <w:vAlign w:val="center"/>
          </w:tcPr>
          <w:p w14:paraId="4E474A8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color w:val="auto"/>
                <w:sz w:val="21"/>
                <w:szCs w:val="21"/>
                <w:highlight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每超0.1，每吨扣单价的0.3%</w:t>
            </w:r>
          </w:p>
        </w:tc>
      </w:tr>
    </w:tbl>
    <w:p w14:paraId="69C6F5FE">
      <w:pPr>
        <w:pStyle w:val="15"/>
        <w:pageBreakBefore w:val="0"/>
        <w:widowControl w:val="0"/>
        <w:tabs>
          <w:tab w:val="left" w:pos="900"/>
        </w:tabs>
        <w:kinsoku/>
        <w:wordWrap/>
        <w:overflowPunct/>
        <w:topLinePunct w:val="0"/>
        <w:bidi w:val="0"/>
        <w:snapToGrid w:val="0"/>
        <w:spacing w:line="460" w:lineRule="exact"/>
        <w:ind w:left="0" w:leftChars="0" w:firstLine="562" w:firstLineChars="200"/>
        <w:textAlignment w:val="auto"/>
        <w:rPr>
          <w:rFonts w:hint="eastAsia" w:ascii="宋体" w:hAnsi="宋体" w:eastAsia="宋体" w:cs="宋体"/>
          <w:sz w:val="28"/>
          <w:szCs w:val="28"/>
          <w:lang w:val="en-US" w:eastAsia="zh-CN"/>
        </w:rPr>
      </w:pPr>
      <w:r>
        <w:rPr>
          <w:rFonts w:hint="eastAsia"/>
          <w:b/>
          <w:bCs/>
          <w:sz w:val="28"/>
          <w:szCs w:val="28"/>
          <w:lang w:val="en-US" w:eastAsia="zh-CN"/>
        </w:rPr>
        <w:t>四、</w:t>
      </w:r>
      <w:r>
        <w:rPr>
          <w:rFonts w:hint="eastAsia"/>
          <w:b/>
          <w:bCs/>
          <w:sz w:val="28"/>
          <w:szCs w:val="28"/>
        </w:rPr>
        <w:t>供货</w:t>
      </w:r>
      <w:r>
        <w:rPr>
          <w:rFonts w:hint="eastAsia"/>
          <w:b/>
          <w:bCs/>
          <w:sz w:val="28"/>
          <w:szCs w:val="28"/>
          <w:lang w:eastAsia="zh-CN"/>
        </w:rPr>
        <w:t>技术</w:t>
      </w:r>
      <w:r>
        <w:rPr>
          <w:rFonts w:hint="eastAsia"/>
          <w:b/>
          <w:bCs/>
          <w:sz w:val="28"/>
          <w:szCs w:val="28"/>
        </w:rPr>
        <w:t>条件要求</w:t>
      </w:r>
    </w:p>
    <w:p w14:paraId="2A2C3D2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 本技术任务书是必须保证田林百矿田田碳素有限公司</w:t>
      </w:r>
      <w:r>
        <w:rPr>
          <w:rFonts w:hint="eastAsia" w:cs="宋体"/>
          <w:sz w:val="28"/>
          <w:szCs w:val="28"/>
          <w:lang w:val="en-US" w:eastAsia="zh-CN"/>
        </w:rPr>
        <w:t>沥青</w:t>
      </w:r>
      <w:r>
        <w:rPr>
          <w:rFonts w:hint="eastAsia" w:ascii="宋体" w:hAnsi="宋体" w:eastAsia="宋体" w:cs="宋体"/>
          <w:sz w:val="28"/>
          <w:szCs w:val="28"/>
          <w:lang w:val="en-US" w:eastAsia="zh-CN"/>
        </w:rPr>
        <w:t xml:space="preserve">能正常投入运行的最低技术要求。 </w:t>
      </w:r>
    </w:p>
    <w:p w14:paraId="6064938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4.2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提供的</w:t>
      </w:r>
      <w:r>
        <w:rPr>
          <w:rFonts w:hint="eastAsia" w:cs="宋体"/>
          <w:sz w:val="28"/>
          <w:szCs w:val="28"/>
          <w:lang w:val="en-US" w:eastAsia="zh-CN"/>
        </w:rPr>
        <w:t>沥青</w:t>
      </w:r>
      <w:r>
        <w:rPr>
          <w:rFonts w:hint="eastAsia" w:ascii="宋体" w:hAnsi="宋体" w:eastAsia="宋体" w:cs="宋体"/>
          <w:sz w:val="28"/>
          <w:szCs w:val="28"/>
          <w:lang w:val="en-US" w:eastAsia="zh-CN"/>
        </w:rPr>
        <w:t>必须符合本技术任务书要求，所有材料必须在室内保存，要求有</w:t>
      </w:r>
      <w:r>
        <w:rPr>
          <w:rFonts w:hint="eastAsia" w:ascii="宋体" w:hAnsi="宋体" w:eastAsia="宋体" w:cs="宋体"/>
          <w:sz w:val="28"/>
          <w:szCs w:val="28"/>
        </w:rPr>
        <w:t>防潮、防</w:t>
      </w:r>
      <w:r>
        <w:rPr>
          <w:rFonts w:hint="eastAsia" w:ascii="宋体" w:hAnsi="宋体" w:cs="宋体"/>
          <w:sz w:val="28"/>
          <w:szCs w:val="28"/>
          <w:lang w:val="en-US" w:eastAsia="zh-CN"/>
        </w:rPr>
        <w:t>散落</w:t>
      </w:r>
      <w:r>
        <w:rPr>
          <w:rFonts w:hint="eastAsia" w:ascii="宋体" w:hAnsi="宋体" w:eastAsia="宋体" w:cs="宋体"/>
          <w:sz w:val="28"/>
          <w:szCs w:val="28"/>
          <w:lang w:val="en-US" w:eastAsia="zh-CN"/>
        </w:rPr>
        <w:t>等保护措施。</w:t>
      </w:r>
    </w:p>
    <w:p w14:paraId="2EAAB4BB">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 xml:space="preserve">4.3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所提供的</w:t>
      </w:r>
      <w:r>
        <w:rPr>
          <w:rFonts w:hint="eastAsia" w:cs="宋体"/>
          <w:sz w:val="28"/>
          <w:szCs w:val="28"/>
          <w:lang w:val="en-US" w:eastAsia="zh-CN"/>
        </w:rPr>
        <w:t>沥青</w:t>
      </w:r>
      <w:r>
        <w:rPr>
          <w:rFonts w:hint="eastAsia" w:ascii="宋体" w:hAnsi="宋体" w:eastAsia="宋体" w:cs="宋体"/>
          <w:sz w:val="28"/>
          <w:szCs w:val="28"/>
          <w:lang w:val="en-US" w:eastAsia="zh-CN"/>
        </w:rPr>
        <w:t>的质量必须满足或优于本技术任务书规定理化指标的要求。</w:t>
      </w:r>
    </w:p>
    <w:p w14:paraId="78A09D15">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trike/>
          <w:dstrike w:val="0"/>
          <w:color w:val="auto"/>
          <w:sz w:val="28"/>
          <w:szCs w:val="28"/>
          <w:lang w:val="en-US" w:eastAsia="zh-CN"/>
        </w:rPr>
      </w:pPr>
      <w:r>
        <w:rPr>
          <w:rFonts w:hint="eastAsia" w:ascii="宋体" w:hAnsi="宋体" w:eastAsia="宋体" w:cs="宋体"/>
          <w:color w:val="auto"/>
          <w:sz w:val="28"/>
          <w:szCs w:val="28"/>
          <w:lang w:val="en-US" w:eastAsia="zh-CN"/>
        </w:rPr>
        <w:t>4.</w:t>
      </w:r>
      <w:r>
        <w:rPr>
          <w:rFonts w:hint="eastAsia" w:cs="宋体"/>
          <w:color w:val="auto"/>
          <w:sz w:val="28"/>
          <w:szCs w:val="28"/>
          <w:lang w:val="en-US" w:eastAsia="zh-CN"/>
        </w:rPr>
        <w:t>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投标方</w:t>
      </w:r>
      <w:r>
        <w:rPr>
          <w:rFonts w:hint="eastAsia" w:ascii="宋体" w:hAnsi="宋体" w:eastAsia="宋体" w:cs="宋体"/>
          <w:color w:val="auto"/>
          <w:sz w:val="28"/>
          <w:szCs w:val="28"/>
          <w:lang w:val="en-US" w:eastAsia="zh-CN"/>
        </w:rPr>
        <w:t>应取得ISO9001质量管理体系认证产品生产许可证</w:t>
      </w:r>
      <w:r>
        <w:rPr>
          <w:rFonts w:hint="eastAsia" w:cs="宋体"/>
          <w:color w:val="auto"/>
          <w:sz w:val="28"/>
          <w:szCs w:val="28"/>
          <w:lang w:val="en-US" w:eastAsia="zh-CN"/>
        </w:rPr>
        <w:t>或沥青销售资质的营业执照</w:t>
      </w:r>
      <w:bookmarkStart w:id="0" w:name="_Toc28525"/>
      <w:bookmarkStart w:id="1" w:name="_Toc5922_WPSOffice_Level1"/>
      <w:bookmarkStart w:id="2" w:name="_Toc12141"/>
      <w:bookmarkStart w:id="3" w:name="_Toc25026_WPSOffice_Level1"/>
      <w:r>
        <w:rPr>
          <w:rFonts w:hint="eastAsia" w:cs="宋体"/>
          <w:color w:val="auto"/>
          <w:sz w:val="28"/>
          <w:szCs w:val="28"/>
          <w:lang w:val="en-US" w:eastAsia="zh-CN"/>
        </w:rPr>
        <w:t>。</w:t>
      </w:r>
    </w:p>
    <w:p w14:paraId="7D135440">
      <w:pPr>
        <w:pStyle w:val="15"/>
        <w:pageBreakBefore w:val="0"/>
        <w:widowControl w:val="0"/>
        <w:tabs>
          <w:tab w:val="left" w:pos="900"/>
        </w:tabs>
        <w:kinsoku/>
        <w:wordWrap/>
        <w:overflowPunct/>
        <w:topLinePunct w:val="0"/>
        <w:bidi w:val="0"/>
        <w:snapToGrid w:val="0"/>
        <w:spacing w:line="460" w:lineRule="exact"/>
        <w:ind w:left="0" w:leftChars="0" w:firstLine="643" w:firstLineChars="200"/>
        <w:textAlignment w:val="auto"/>
        <w:rPr>
          <w:rFonts w:hint="eastAsia"/>
          <w:b/>
          <w:bCs/>
          <w:sz w:val="32"/>
          <w:szCs w:val="32"/>
        </w:rPr>
      </w:pPr>
      <w:r>
        <w:rPr>
          <w:rFonts w:hint="eastAsia"/>
          <w:b/>
          <w:bCs/>
          <w:sz w:val="32"/>
          <w:szCs w:val="32"/>
          <w:lang w:val="en-US" w:eastAsia="zh-CN"/>
        </w:rPr>
        <w:t>五</w:t>
      </w:r>
      <w:r>
        <w:rPr>
          <w:rFonts w:hint="eastAsia"/>
          <w:sz w:val="32"/>
          <w:szCs w:val="32"/>
        </w:rPr>
        <w:t>、</w:t>
      </w:r>
      <w:r>
        <w:rPr>
          <w:rFonts w:hint="eastAsia"/>
          <w:b/>
          <w:bCs/>
          <w:sz w:val="32"/>
          <w:szCs w:val="32"/>
        </w:rPr>
        <w:t>执行标准与规范</w:t>
      </w:r>
      <w:bookmarkEnd w:id="0"/>
      <w:bookmarkEnd w:id="1"/>
      <w:bookmarkEnd w:id="2"/>
      <w:bookmarkEnd w:id="3"/>
    </w:p>
    <w:p w14:paraId="1D2E2947">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5.1 </w:t>
      </w:r>
      <w:r>
        <w:rPr>
          <w:rFonts w:hint="eastAsia" w:ascii="宋体" w:hAnsi="宋体" w:eastAsia="宋体" w:cs="宋体"/>
          <w:sz w:val="28"/>
          <w:szCs w:val="28"/>
        </w:rPr>
        <w:t>产品</w:t>
      </w:r>
      <w:r>
        <w:rPr>
          <w:rFonts w:hint="eastAsia" w:ascii="宋体" w:hAnsi="宋体" w:eastAsia="宋体" w:cs="宋体"/>
          <w:sz w:val="28"/>
          <w:szCs w:val="28"/>
          <w:lang w:val="en-US" w:eastAsia="zh-CN"/>
        </w:rPr>
        <w:t>生产</w:t>
      </w:r>
      <w:r>
        <w:rPr>
          <w:rFonts w:hint="eastAsia" w:ascii="宋体" w:hAnsi="宋体" w:eastAsia="宋体" w:cs="宋体"/>
          <w:sz w:val="28"/>
          <w:szCs w:val="28"/>
        </w:rPr>
        <w:t>及验收应遵循国家现行的最新相应标准、规范，并满足国家有关标准、法律、法规。</w:t>
      </w:r>
      <w:bookmarkStart w:id="4" w:name="_Toc29881"/>
      <w:bookmarkStart w:id="5" w:name="_Toc12697_WPSOffice_Level1"/>
      <w:bookmarkStart w:id="6" w:name="_Toc16881"/>
      <w:bookmarkStart w:id="7" w:name="_Toc31179_WPSOffice_Level1"/>
    </w:p>
    <w:p w14:paraId="15719E26">
      <w:pPr>
        <w:pageBreakBefore w:val="0"/>
        <w:widowControl w:val="0"/>
        <w:tabs>
          <w:tab w:val="left" w:pos="4500"/>
        </w:tabs>
        <w:kinsoku/>
        <w:wordWrap/>
        <w:overflowPunct/>
        <w:topLinePunct w:val="0"/>
        <w:bidi w:val="0"/>
        <w:adjustRightInd w:val="0"/>
        <w:snapToGrid w:val="0"/>
        <w:spacing w:line="460" w:lineRule="exact"/>
        <w:ind w:firstLine="643" w:firstLineChars="200"/>
        <w:textAlignment w:val="auto"/>
        <w:rPr>
          <w:rFonts w:hint="eastAsia" w:ascii="宋体" w:hAnsi="宋体" w:eastAsia="宋体" w:cs="宋体"/>
          <w:sz w:val="28"/>
          <w:szCs w:val="28"/>
          <w:lang w:val="en-US" w:eastAsia="zh-CN"/>
        </w:rPr>
      </w:pPr>
      <w:r>
        <w:rPr>
          <w:rFonts w:hint="eastAsia"/>
          <w:b/>
          <w:bCs/>
          <w:sz w:val="32"/>
          <w:szCs w:val="32"/>
          <w:lang w:val="en-US" w:eastAsia="zh-CN"/>
        </w:rPr>
        <w:t>六</w:t>
      </w:r>
      <w:r>
        <w:rPr>
          <w:rFonts w:hint="eastAsia"/>
          <w:sz w:val="32"/>
          <w:szCs w:val="32"/>
        </w:rPr>
        <w:t>、</w:t>
      </w:r>
      <w:r>
        <w:rPr>
          <w:rFonts w:hint="eastAsia"/>
          <w:b/>
          <w:bCs/>
          <w:sz w:val="32"/>
          <w:szCs w:val="32"/>
        </w:rPr>
        <w:t>运输、及验收</w:t>
      </w:r>
      <w:bookmarkEnd w:id="4"/>
      <w:bookmarkEnd w:id="5"/>
      <w:bookmarkEnd w:id="6"/>
      <w:bookmarkEnd w:id="7"/>
    </w:p>
    <w:p w14:paraId="5C2094D3">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1沥青须装入洁净、干燥的</w:t>
      </w:r>
      <w:r>
        <w:rPr>
          <w:rFonts w:hint="eastAsia" w:ascii="宋体" w:hAnsi="宋体" w:cs="宋体"/>
          <w:color w:val="auto"/>
          <w:sz w:val="28"/>
          <w:szCs w:val="28"/>
          <w:lang w:val="en-US" w:eastAsia="zh-CN"/>
        </w:rPr>
        <w:t>槽罐</w:t>
      </w:r>
      <w:r>
        <w:rPr>
          <w:rFonts w:hint="eastAsia" w:ascii="宋体" w:hAnsi="宋体" w:cs="宋体"/>
          <w:sz w:val="28"/>
          <w:szCs w:val="28"/>
          <w:lang w:val="en-US" w:eastAsia="zh-CN"/>
        </w:rPr>
        <w:t>车进行运输，封铅发货</w:t>
      </w:r>
      <w:r>
        <w:rPr>
          <w:rFonts w:hint="eastAsia" w:ascii="宋体" w:hAnsi="宋体" w:eastAsia="宋体" w:cs="宋体"/>
          <w:color w:val="auto"/>
          <w:sz w:val="28"/>
          <w:szCs w:val="28"/>
        </w:rPr>
        <w:t>。</w:t>
      </w:r>
    </w:p>
    <w:p w14:paraId="74738CA1">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sz w:val="28"/>
          <w:szCs w:val="28"/>
          <w:lang w:eastAsia="zh-CN"/>
        </w:rPr>
        <w:t>投标方</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发</w:t>
      </w:r>
      <w:r>
        <w:rPr>
          <w:rFonts w:hint="eastAsia" w:ascii="宋体" w:hAnsi="宋体" w:eastAsia="宋体" w:cs="宋体"/>
          <w:color w:val="auto"/>
          <w:sz w:val="28"/>
          <w:szCs w:val="28"/>
        </w:rPr>
        <w:t>货前</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个自然日以传真或电传通知</w:t>
      </w:r>
      <w:r>
        <w:rPr>
          <w:rFonts w:hint="eastAsia" w:ascii="宋体" w:hAnsi="宋体" w:eastAsia="宋体" w:cs="宋体"/>
          <w:color w:val="auto"/>
          <w:sz w:val="28"/>
          <w:szCs w:val="28"/>
          <w:lang w:val="en-US" w:eastAsia="zh-CN"/>
        </w:rPr>
        <w:t>招标方</w:t>
      </w:r>
      <w:r>
        <w:rPr>
          <w:rFonts w:hint="eastAsia" w:ascii="宋体" w:hAnsi="宋体" w:eastAsia="宋体" w:cs="宋体"/>
          <w:color w:val="auto"/>
          <w:sz w:val="28"/>
          <w:szCs w:val="28"/>
        </w:rPr>
        <w:t>合同号、</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名称、数量、</w:t>
      </w:r>
      <w:r>
        <w:rPr>
          <w:rFonts w:hint="eastAsia" w:ascii="宋体" w:hAnsi="宋体" w:eastAsia="宋体" w:cs="宋体"/>
          <w:color w:val="auto"/>
          <w:sz w:val="28"/>
          <w:szCs w:val="28"/>
          <w:lang w:val="en-US" w:eastAsia="zh-CN"/>
        </w:rPr>
        <w:t>车辆</w:t>
      </w:r>
      <w:r>
        <w:rPr>
          <w:rFonts w:hint="eastAsia" w:ascii="宋体" w:hAnsi="宋体" w:eastAsia="宋体" w:cs="宋体"/>
          <w:color w:val="auto"/>
          <w:sz w:val="28"/>
          <w:szCs w:val="28"/>
        </w:rPr>
        <w:t>和备妥待运日期。</w:t>
      </w:r>
    </w:p>
    <w:p w14:paraId="6EE7A87E">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在货物装货后发运前24小时内以传真或电传通知</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合同号、货物名称、数量、发票金额、运输工具名称及启运日期</w:t>
      </w:r>
      <w:r>
        <w:rPr>
          <w:rFonts w:hint="eastAsia" w:ascii="宋体" w:hAnsi="宋体" w:cs="宋体"/>
          <w:color w:val="auto"/>
          <w:sz w:val="28"/>
          <w:szCs w:val="28"/>
          <w:lang w:eastAsia="zh-CN"/>
        </w:rPr>
        <w:t>。每批出厂的产品都应附有质量证明书。证明书内容包括：供方名称、产品名称、产品执行标准号、产品批号、产品等级、净重、发货日期和本标准规定的各项检验结果</w:t>
      </w:r>
      <w:r>
        <w:rPr>
          <w:rFonts w:hint="eastAsia" w:ascii="宋体" w:hAnsi="宋体" w:eastAsia="宋体" w:cs="宋体"/>
          <w:color w:val="auto"/>
          <w:sz w:val="28"/>
          <w:szCs w:val="28"/>
        </w:rPr>
        <w:t>。</w:t>
      </w:r>
    </w:p>
    <w:p w14:paraId="37306B25">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本</w:t>
      </w:r>
      <w:r>
        <w:rPr>
          <w:rFonts w:hint="eastAsia" w:ascii="宋体" w:hAnsi="宋体" w:eastAsia="宋体" w:cs="宋体"/>
          <w:sz w:val="28"/>
          <w:szCs w:val="28"/>
          <w:lang w:eastAsia="zh-CN"/>
        </w:rPr>
        <w:t>技术任务书</w:t>
      </w:r>
      <w:r>
        <w:rPr>
          <w:rFonts w:hint="eastAsia" w:ascii="宋体" w:hAnsi="宋体" w:eastAsia="宋体" w:cs="宋体"/>
          <w:sz w:val="28"/>
          <w:szCs w:val="28"/>
        </w:rPr>
        <w:t>涉及产品如因</w:t>
      </w:r>
      <w:r>
        <w:rPr>
          <w:rFonts w:hint="eastAsia" w:ascii="宋体" w:hAnsi="宋体" w:eastAsia="宋体" w:cs="宋体"/>
          <w:sz w:val="28"/>
          <w:szCs w:val="28"/>
          <w:lang w:eastAsia="zh-CN"/>
        </w:rPr>
        <w:t>投标方</w:t>
      </w:r>
      <w:r>
        <w:rPr>
          <w:rFonts w:hint="eastAsia" w:ascii="宋体" w:hAnsi="宋体" w:eastAsia="宋体" w:cs="宋体"/>
          <w:sz w:val="28"/>
          <w:szCs w:val="28"/>
        </w:rPr>
        <w:t>的技术及供货失误造成额外费用及</w:t>
      </w:r>
      <w:r>
        <w:rPr>
          <w:rFonts w:hint="eastAsia" w:ascii="宋体" w:hAnsi="宋体" w:eastAsia="宋体" w:cs="宋体"/>
          <w:sz w:val="28"/>
          <w:szCs w:val="28"/>
          <w:lang w:val="en-US" w:eastAsia="zh-CN"/>
        </w:rPr>
        <w:t>生产</w:t>
      </w:r>
      <w:r>
        <w:rPr>
          <w:rFonts w:hint="eastAsia" w:ascii="宋体" w:hAnsi="宋体" w:eastAsia="宋体" w:cs="宋体"/>
          <w:sz w:val="28"/>
          <w:szCs w:val="28"/>
        </w:rPr>
        <w:t>延误的，</w:t>
      </w:r>
      <w:r>
        <w:rPr>
          <w:rFonts w:hint="eastAsia" w:ascii="宋体" w:hAnsi="宋体" w:eastAsia="宋体" w:cs="宋体"/>
          <w:sz w:val="28"/>
          <w:szCs w:val="28"/>
          <w:lang w:eastAsia="zh-CN"/>
        </w:rPr>
        <w:t>投标方</w:t>
      </w:r>
      <w:r>
        <w:rPr>
          <w:rFonts w:hint="eastAsia" w:ascii="宋体" w:hAnsi="宋体" w:eastAsia="宋体" w:cs="宋体"/>
          <w:sz w:val="28"/>
          <w:szCs w:val="28"/>
        </w:rPr>
        <w:t>须承担相应责任。</w:t>
      </w:r>
    </w:p>
    <w:p w14:paraId="4F223A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bookmarkStart w:id="8" w:name="_Toc5438_WPSOffice_Level1"/>
      <w:bookmarkStart w:id="9" w:name="_Toc31538"/>
      <w:bookmarkStart w:id="10" w:name="_Toc11436_WPSOffice_Level1"/>
      <w:bookmarkStart w:id="11" w:name="_Toc20787"/>
      <w:r>
        <w:rPr>
          <w:rFonts w:hint="eastAsia" w:ascii="宋体" w:hAnsi="宋体" w:cs="宋体"/>
          <w:color w:val="auto"/>
          <w:sz w:val="28"/>
          <w:szCs w:val="28"/>
          <w:lang w:val="en-US" w:eastAsia="zh-CN"/>
        </w:rPr>
        <w:t>沥青的取样检验：</w:t>
      </w:r>
      <w:r>
        <w:rPr>
          <w:rFonts w:hint="eastAsia" w:ascii="宋体" w:hAnsi="宋体" w:eastAsia="宋体" w:cs="宋体"/>
          <w:color w:val="auto"/>
          <w:kern w:val="2"/>
          <w:sz w:val="28"/>
          <w:szCs w:val="28"/>
          <w:lang w:val="en-US" w:eastAsia="zh-CN" w:bidi="ar-SA"/>
        </w:rPr>
        <w:t>同一供应商，每车都需要采样，每5车组批检测水分、灰分、结焦值、软化点（连续两日内到货量不足5车的同样组批检测）。对于常期供货且连续两个月质量稳定的供应商，同一供应商，每15车（约500吨）随机抽取5车综合成一个样品检测水分、灰分、结焦值、软化点。对于沥青甲苯不溶物、喹啉不溶物、β树脂三项指标，新到货的供应商以每15车组批检测一次，当同一供应商连续两批次检测均合格后，转为每月随机抽检一次，当抽检过程中出现任何一项指标不合格时，立即转为以每15车组批抽检一次，连续两批次检测合格后再转为以每月随机抽检一次。试样的采取按GB/T 2000焦化固体类产品取样方法、GB/T 26297.5 铝用炭素材料取样方法 第5部分：煤沥青相关规定进行，试样的制备按GB/T 2291 煤沥青试验室试样的制备方法规定进行。沥青在使用过程中出现质量问题时，可不定时进行取样检验。若为沥青质量存在问题的，由供方承担相关责任及赔偿相应损失。沥青封存试样保存期限不少于3个月。</w:t>
      </w:r>
    </w:p>
    <w:p w14:paraId="220BA1D6">
      <w:pPr>
        <w:pStyle w:val="11"/>
        <w:rPr>
          <w:rFonts w:hint="default"/>
          <w:color w:val="auto"/>
          <w:lang w:val="en-US" w:eastAsia="zh-CN"/>
        </w:rPr>
      </w:pPr>
      <w:r>
        <w:rPr>
          <w:rFonts w:hint="eastAsia" w:hAnsi="宋体" w:cs="宋体"/>
          <w:color w:val="auto"/>
          <w:sz w:val="28"/>
          <w:szCs w:val="28"/>
          <w:lang w:val="en-US" w:eastAsia="zh-CN"/>
        </w:rPr>
        <w:t xml:space="preserve">    6.6 检验规则：沥青的质量检验和验收由招标方质量监督检验部门进行。试样的采取按GB/T2000规定进行，试样的制备按GB/T2291规定进行。检验结果即使只有一项指标不符合本标准技术要求，则批产品为不合格品。</w:t>
      </w:r>
    </w:p>
    <w:p w14:paraId="4D370A0F">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cs="宋体"/>
          <w:color w:val="auto"/>
          <w:sz w:val="28"/>
          <w:szCs w:val="28"/>
          <w:lang w:val="en-US" w:eastAsia="zh-CN"/>
        </w:rPr>
        <w:t>6.7当抽检过程中</w:t>
      </w:r>
      <w:r>
        <w:rPr>
          <w:rFonts w:hint="eastAsia" w:ascii="宋体" w:hAnsi="宋体" w:cs="宋体"/>
          <w:color w:val="auto"/>
          <w:sz w:val="28"/>
          <w:szCs w:val="28"/>
          <w:lang w:val="zh-CN" w:eastAsia="zh-CN"/>
        </w:rPr>
        <w:t>出现一次样品某一指标超出规定范围时，由</w:t>
      </w:r>
      <w:r>
        <w:rPr>
          <w:rFonts w:hint="eastAsia" w:ascii="宋体" w:hAnsi="宋体" w:cs="宋体"/>
          <w:color w:val="auto"/>
          <w:sz w:val="28"/>
          <w:szCs w:val="28"/>
          <w:lang w:val="en-US" w:eastAsia="zh-CN"/>
        </w:rPr>
        <w:t>招标方</w:t>
      </w:r>
      <w:r>
        <w:rPr>
          <w:rFonts w:hint="eastAsia" w:ascii="宋体" w:hAnsi="宋体" w:cs="宋体"/>
          <w:color w:val="auto"/>
          <w:sz w:val="28"/>
          <w:szCs w:val="28"/>
          <w:lang w:val="zh-CN" w:eastAsia="zh-CN"/>
        </w:rPr>
        <w:t>物资供应处及时通知</w:t>
      </w:r>
      <w:r>
        <w:rPr>
          <w:rFonts w:hint="eastAsia" w:ascii="宋体" w:hAnsi="宋体" w:cs="宋体"/>
          <w:color w:val="auto"/>
          <w:sz w:val="28"/>
          <w:szCs w:val="28"/>
          <w:lang w:val="en-US" w:eastAsia="zh-CN"/>
        </w:rPr>
        <w:t>投标方</w:t>
      </w:r>
      <w:r>
        <w:rPr>
          <w:rFonts w:hint="eastAsia" w:ascii="宋体" w:hAnsi="宋体" w:cs="宋体"/>
          <w:color w:val="auto"/>
          <w:sz w:val="28"/>
          <w:szCs w:val="28"/>
          <w:lang w:val="zh-CN" w:eastAsia="zh-CN"/>
        </w:rPr>
        <w:t>，由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双方协商解决，如</w:t>
      </w:r>
      <w:r>
        <w:rPr>
          <w:rFonts w:hint="eastAsia" w:ascii="宋体" w:hAnsi="宋体" w:cs="宋体"/>
          <w:color w:val="auto"/>
          <w:sz w:val="28"/>
          <w:szCs w:val="28"/>
          <w:lang w:val="en-US" w:eastAsia="zh-CN"/>
        </w:rPr>
        <w:t>投标</w:t>
      </w:r>
      <w:r>
        <w:rPr>
          <w:rFonts w:hint="eastAsia" w:ascii="宋体" w:hAnsi="宋体" w:cs="宋体"/>
          <w:color w:val="auto"/>
          <w:sz w:val="28"/>
          <w:szCs w:val="28"/>
          <w:lang w:val="zh-CN" w:eastAsia="zh-CN"/>
        </w:rPr>
        <w:t>方有异议时，可以由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双方共同取样复查。</w:t>
      </w:r>
      <w:r>
        <w:rPr>
          <w:rFonts w:hint="eastAsia" w:ascii="宋体" w:hAnsi="宋体" w:cs="宋体"/>
          <w:color w:val="auto"/>
          <w:sz w:val="28"/>
          <w:szCs w:val="28"/>
          <w:lang w:val="en-US" w:eastAsia="zh-CN"/>
        </w:rPr>
        <w:t>如复查仍不合格，按沥青理化性能细则进行处理。</w:t>
      </w:r>
    </w:p>
    <w:p w14:paraId="080B2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6.8 复检方式：供需双方在验收过程中就质量问题发生争议时，供方需在3个工作日内，以函件的方式向需方提出复检申请。复检优先选择在需方实验室进行，当争议较大或供方有充分理由时，也可选择在双方认可的具有资质的第三方实验</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室进行复检（</w:t>
      </w:r>
      <w:r>
        <w:rPr>
          <w:rFonts w:hint="eastAsia" w:ascii="宋体" w:hAnsi="宋体" w:cs="宋体"/>
          <w:color w:val="auto"/>
          <w:sz w:val="28"/>
          <w:szCs w:val="28"/>
          <w:lang w:val="en-US" w:eastAsia="zh-CN"/>
        </w:rPr>
        <w:t>由需方在供需双方认可的具有资质的第三方实验室中随机选择一家进行复检）。以上复检方式只可选择其中一种，不可两种同时进行。因水分会随外界环境变化，水分不接受复检申请。</w:t>
      </w:r>
    </w:p>
    <w:p w14:paraId="09B7D8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复检样品：采用需方到货验收时的封存样品进行复检。 </w:t>
      </w:r>
    </w:p>
    <w:p w14:paraId="7CFD6C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复检结果的应用：当复检结果在该项指标检测标准规定再现性范围内的，以需方到货验收时检测结果为结算依据，当复检结果超出该项指标检测标准规定再现性范围的，以复检结果为结算依据。</w:t>
      </w:r>
    </w:p>
    <w:p w14:paraId="6F8481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复检费用：在需方实验室进行复检的，复检费用由需方承担；由具有资质的第三方实验室复检的，复检费用由提出异议方承担。</w:t>
      </w:r>
    </w:p>
    <w:p w14:paraId="16DF6CDD">
      <w:pPr>
        <w:pageBreakBefore w:val="0"/>
        <w:widowControl w:val="0"/>
        <w:tabs>
          <w:tab w:val="left" w:pos="567"/>
        </w:tabs>
        <w:kinsoku/>
        <w:wordWrap/>
        <w:overflowPunct/>
        <w:topLinePunct w:val="0"/>
        <w:bidi w:val="0"/>
        <w:snapToGrid w:val="0"/>
        <w:spacing w:line="460" w:lineRule="exact"/>
        <w:ind w:firstLine="602" w:firstLineChars="200"/>
        <w:textAlignment w:val="auto"/>
        <w:rPr>
          <w:rFonts w:hint="eastAsia"/>
          <w:b/>
          <w:bCs/>
          <w:sz w:val="30"/>
          <w:szCs w:val="30"/>
        </w:rPr>
      </w:pPr>
      <w:r>
        <w:rPr>
          <w:rFonts w:hint="eastAsia"/>
          <w:b/>
          <w:bCs/>
          <w:sz w:val="30"/>
          <w:szCs w:val="30"/>
          <w:lang w:val="en-US" w:eastAsia="zh-CN"/>
        </w:rPr>
        <w:t>七</w:t>
      </w:r>
      <w:r>
        <w:rPr>
          <w:rFonts w:hint="eastAsia"/>
          <w:sz w:val="30"/>
          <w:szCs w:val="30"/>
        </w:rPr>
        <w:t>、</w:t>
      </w:r>
      <w:r>
        <w:rPr>
          <w:rFonts w:hint="eastAsia"/>
          <w:b/>
          <w:bCs/>
          <w:sz w:val="30"/>
          <w:szCs w:val="30"/>
        </w:rPr>
        <w:t>供货周期要</w:t>
      </w:r>
      <w:bookmarkEnd w:id="8"/>
      <w:r>
        <w:rPr>
          <w:rFonts w:hint="eastAsia"/>
          <w:b/>
          <w:bCs/>
          <w:sz w:val="30"/>
          <w:szCs w:val="30"/>
        </w:rPr>
        <w:t>求</w:t>
      </w:r>
      <w:bookmarkEnd w:id="9"/>
      <w:bookmarkEnd w:id="10"/>
      <w:bookmarkEnd w:id="11"/>
    </w:p>
    <w:p w14:paraId="0129A1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.1</w:t>
      </w:r>
      <w:r>
        <w:rPr>
          <w:rFonts w:hint="eastAsia" w:ascii="宋体" w:hAnsi="宋体" w:eastAsia="宋体" w:cs="宋体"/>
          <w:sz w:val="28"/>
          <w:szCs w:val="28"/>
          <w:lang w:eastAsia="zh-CN"/>
        </w:rPr>
        <w:t>交货期：</w:t>
      </w:r>
      <w:r>
        <w:rPr>
          <w:rFonts w:hint="eastAsia" w:ascii="宋体" w:hAnsi="宋体" w:eastAsia="宋体" w:cs="宋体"/>
          <w:sz w:val="28"/>
          <w:szCs w:val="28"/>
        </w:rPr>
        <w:t>具体交货时间由招标方根据现场生产进度情况通知投标方。投标方必须</w:t>
      </w:r>
      <w:r>
        <w:rPr>
          <w:rFonts w:hint="eastAsia" w:ascii="宋体" w:hAnsi="宋体" w:cs="宋体"/>
          <w:sz w:val="28"/>
          <w:szCs w:val="28"/>
          <w:lang w:val="en-US" w:eastAsia="zh-CN"/>
        </w:rPr>
        <w:t>按照</w:t>
      </w:r>
      <w:r>
        <w:rPr>
          <w:rFonts w:hint="eastAsia" w:ascii="宋体" w:hAnsi="宋体" w:eastAsia="宋体" w:cs="宋体"/>
          <w:sz w:val="28"/>
          <w:szCs w:val="28"/>
        </w:rPr>
        <w:t>招标方现场生产进度要求保质保量</w:t>
      </w:r>
      <w:r>
        <w:rPr>
          <w:rFonts w:hint="eastAsia" w:ascii="宋体" w:hAnsi="宋体" w:cs="宋体"/>
          <w:sz w:val="28"/>
          <w:szCs w:val="28"/>
          <w:lang w:eastAsia="zh-CN"/>
        </w:rPr>
        <w:t>地</w:t>
      </w:r>
      <w:r>
        <w:rPr>
          <w:rFonts w:hint="eastAsia" w:ascii="宋体" w:hAnsi="宋体" w:eastAsia="宋体" w:cs="宋体"/>
          <w:sz w:val="28"/>
          <w:szCs w:val="28"/>
        </w:rPr>
        <w:t>进行供货，如因质量问题或供货问题造成影响，因此造成损失由投标方全部承担</w:t>
      </w:r>
      <w:r>
        <w:rPr>
          <w:rFonts w:hint="eastAsia" w:ascii="宋体" w:hAnsi="宋体" w:cs="宋体"/>
          <w:sz w:val="28"/>
          <w:szCs w:val="28"/>
          <w:lang w:eastAsia="zh-CN"/>
        </w:rPr>
        <w:t>。</w:t>
      </w:r>
    </w:p>
    <w:p w14:paraId="5BE973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.2交货地点：广西田林县旧州镇板坚村桂黔（田林）经济合作产业园区田林百矿田田碳素有限公司</w:t>
      </w:r>
      <w:r>
        <w:rPr>
          <w:rFonts w:hint="eastAsia" w:ascii="宋体" w:hAnsi="宋体" w:eastAsia="宋体" w:cs="宋体"/>
          <w:sz w:val="28"/>
          <w:szCs w:val="28"/>
          <w:lang w:val="en-US" w:eastAsia="zh-CN"/>
        </w:rPr>
        <w:t>生产</w:t>
      </w:r>
      <w:r>
        <w:rPr>
          <w:rFonts w:hint="eastAsia" w:ascii="宋体" w:hAnsi="宋体" w:eastAsia="宋体" w:cs="宋体"/>
          <w:sz w:val="28"/>
          <w:szCs w:val="28"/>
        </w:rPr>
        <w:t>现场。</w:t>
      </w:r>
    </w:p>
    <w:p w14:paraId="0F803BFA">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.3交货方式：由</w:t>
      </w:r>
      <w:r>
        <w:rPr>
          <w:rFonts w:hint="eastAsia"/>
          <w:b w:val="0"/>
          <w:bCs/>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全部配送到</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生产</w:t>
      </w:r>
      <w:r>
        <w:rPr>
          <w:rFonts w:hint="eastAsia" w:ascii="宋体" w:hAnsi="宋体" w:eastAsia="宋体" w:cs="宋体"/>
          <w:sz w:val="28"/>
          <w:szCs w:val="28"/>
        </w:rPr>
        <w:t>现场，并根据本</w:t>
      </w:r>
      <w:r>
        <w:rPr>
          <w:rFonts w:hint="eastAsia" w:ascii="宋体" w:hAnsi="宋体" w:eastAsia="宋体" w:cs="宋体"/>
          <w:sz w:val="28"/>
          <w:szCs w:val="28"/>
          <w:lang w:eastAsia="zh-CN"/>
        </w:rPr>
        <w:t>技术任务书</w:t>
      </w:r>
      <w:r>
        <w:rPr>
          <w:rFonts w:hint="eastAsia" w:ascii="宋体" w:hAnsi="宋体" w:eastAsia="宋体" w:cs="宋体"/>
          <w:sz w:val="28"/>
          <w:szCs w:val="28"/>
        </w:rPr>
        <w:t>规定的标准、规程、规范进行验收，合格后交货。</w:t>
      </w:r>
      <w:bookmarkStart w:id="12" w:name="_Toc9358_WPSOffice_Level1"/>
      <w:bookmarkStart w:id="13" w:name="_Toc13087"/>
      <w:bookmarkStart w:id="14" w:name="_Toc13632"/>
      <w:bookmarkStart w:id="15" w:name="_Toc5537_WPSOffice_Level1"/>
    </w:p>
    <w:p w14:paraId="25BB6F3C">
      <w:pPr>
        <w:pageBreakBefore w:val="0"/>
        <w:widowControl w:val="0"/>
        <w:tabs>
          <w:tab w:val="left" w:pos="567"/>
        </w:tabs>
        <w:kinsoku/>
        <w:wordWrap/>
        <w:overflowPunct/>
        <w:topLinePunct w:val="0"/>
        <w:bidi w:val="0"/>
        <w:snapToGrid w:val="0"/>
        <w:spacing w:line="460" w:lineRule="exact"/>
        <w:ind w:left="142" w:firstLine="562" w:firstLineChars="200"/>
        <w:textAlignment w:val="auto"/>
        <w:rPr>
          <w:rFonts w:hint="eastAsia"/>
          <w:b/>
          <w:bCs/>
          <w:sz w:val="28"/>
          <w:szCs w:val="28"/>
        </w:rPr>
      </w:pPr>
      <w:r>
        <w:rPr>
          <w:rFonts w:hint="eastAsia"/>
          <w:b/>
          <w:bCs/>
          <w:sz w:val="28"/>
          <w:szCs w:val="28"/>
          <w:lang w:val="en-US" w:eastAsia="zh-CN"/>
        </w:rPr>
        <w:t>八</w:t>
      </w:r>
      <w:r>
        <w:rPr>
          <w:rFonts w:hint="eastAsia"/>
          <w:b/>
          <w:bCs/>
          <w:sz w:val="28"/>
          <w:szCs w:val="28"/>
        </w:rPr>
        <w:t>、其</w:t>
      </w:r>
      <w:bookmarkEnd w:id="12"/>
      <w:r>
        <w:rPr>
          <w:rFonts w:hint="eastAsia"/>
          <w:b/>
          <w:bCs/>
          <w:sz w:val="28"/>
          <w:szCs w:val="28"/>
        </w:rPr>
        <w:t>它</w:t>
      </w:r>
      <w:bookmarkEnd w:id="13"/>
      <w:bookmarkEnd w:id="14"/>
      <w:bookmarkEnd w:id="15"/>
    </w:p>
    <w:p w14:paraId="1681C625">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.1以上条款，双方应严格执行，未尽事宜，双方本着</w:t>
      </w:r>
      <w:bookmarkStart w:id="16" w:name="_GoBack"/>
      <w:bookmarkEnd w:id="16"/>
      <w:r>
        <w:rPr>
          <w:rFonts w:hint="eastAsia" w:ascii="宋体" w:hAnsi="宋体" w:eastAsia="宋体" w:cs="宋体"/>
          <w:sz w:val="28"/>
          <w:szCs w:val="28"/>
        </w:rPr>
        <w:t>友好协商原则随时协调解决，作为协议的补充条款。</w:t>
      </w:r>
    </w:p>
    <w:p w14:paraId="0A692C4A">
      <w:pPr>
        <w:rPr>
          <w:rFonts w:hint="eastAsia" w:ascii="宋体" w:hAnsi="宋体" w:cs="宋体"/>
          <w:sz w:val="28"/>
          <w:szCs w:val="28"/>
          <w:lang w:val="en-US" w:eastAsia="zh-CN"/>
        </w:rPr>
      </w:pPr>
      <w:r>
        <w:rPr>
          <w:rFonts w:hint="eastAsia" w:ascii="宋体" w:hAnsi="宋体" w:cs="宋体"/>
          <w:sz w:val="28"/>
          <w:szCs w:val="28"/>
          <w:lang w:val="en-US" w:eastAsia="zh-CN"/>
        </w:rPr>
        <w:t xml:space="preserve">    附表： 液体改质沥青供货计划表</w:t>
      </w:r>
    </w:p>
    <w:tbl>
      <w:tblPr>
        <w:tblStyle w:val="9"/>
        <w:tblW w:w="4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9"/>
        <w:gridCol w:w="2393"/>
        <w:gridCol w:w="3045"/>
      </w:tblGrid>
      <w:tr w14:paraId="3AD6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tcPr>
          <w:p w14:paraId="43BD3CA9">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031" w:type="pct"/>
            <w:vAlign w:val="top"/>
          </w:tcPr>
          <w:p w14:paraId="6139BA4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名称</w:t>
            </w:r>
          </w:p>
        </w:tc>
        <w:tc>
          <w:tcPr>
            <w:tcW w:w="1515" w:type="pct"/>
          </w:tcPr>
          <w:p w14:paraId="602B1472">
            <w:pPr>
              <w:pStyle w:val="13"/>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供货周期</w:t>
            </w:r>
          </w:p>
        </w:tc>
        <w:tc>
          <w:tcPr>
            <w:tcW w:w="1928" w:type="pct"/>
          </w:tcPr>
          <w:p w14:paraId="3793E7A9">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lang w:val="en-US" w:eastAsia="zh-CN" w:bidi="ar"/>
              </w:rPr>
              <w:t>预估总量（万吨）</w:t>
            </w:r>
          </w:p>
        </w:tc>
      </w:tr>
      <w:tr w14:paraId="148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24" w:type="pct"/>
            <w:vAlign w:val="center"/>
          </w:tcPr>
          <w:p w14:paraId="7E5A618A">
            <w:pPr>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031" w:type="pct"/>
            <w:vAlign w:val="center"/>
          </w:tcPr>
          <w:p w14:paraId="21D6812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液体</w:t>
            </w:r>
            <w:r>
              <w:rPr>
                <w:rFonts w:hint="eastAsia" w:hAnsi="宋体" w:eastAsia="宋体" w:cs="宋体"/>
                <w:color w:val="auto"/>
                <w:sz w:val="24"/>
                <w:szCs w:val="24"/>
                <w:highlight w:val="none"/>
                <w:vertAlign w:val="baseline"/>
                <w:lang w:val="en-US" w:eastAsia="zh-CN"/>
              </w:rPr>
              <w:t>改质</w:t>
            </w:r>
            <w:r>
              <w:rPr>
                <w:rFonts w:hint="eastAsia" w:ascii="宋体" w:hAnsi="宋体" w:eastAsia="宋体" w:cs="宋体"/>
                <w:color w:val="auto"/>
                <w:sz w:val="24"/>
                <w:szCs w:val="24"/>
                <w:highlight w:val="none"/>
                <w:vertAlign w:val="baseline"/>
                <w:lang w:val="en-US" w:eastAsia="zh-CN"/>
              </w:rPr>
              <w:t>沥青</w:t>
            </w:r>
          </w:p>
        </w:tc>
        <w:tc>
          <w:tcPr>
            <w:tcW w:w="1515" w:type="pct"/>
            <w:vAlign w:val="center"/>
          </w:tcPr>
          <w:p w14:paraId="413AC8C7">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202</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年</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日-</w:t>
            </w:r>
            <w:r>
              <w:rPr>
                <w:rFonts w:hint="eastAsia" w:ascii="宋体" w:hAnsi="宋体" w:cs="宋体"/>
                <w:color w:val="auto"/>
                <w:sz w:val="24"/>
                <w:szCs w:val="24"/>
                <w:highlight w:val="none"/>
                <w:vertAlign w:val="baseline"/>
                <w:lang w:val="en-US" w:eastAsia="zh-CN"/>
              </w:rPr>
              <w:t>2026年6</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lang w:val="en-US" w:eastAsia="zh-CN"/>
              </w:rPr>
              <w:t>日</w:t>
            </w:r>
          </w:p>
        </w:tc>
        <w:tc>
          <w:tcPr>
            <w:tcW w:w="1928" w:type="pct"/>
            <w:vAlign w:val="center"/>
          </w:tcPr>
          <w:p w14:paraId="388CB640">
            <w:pPr>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0.58</w:t>
            </w:r>
          </w:p>
        </w:tc>
      </w:tr>
      <w:tr w14:paraId="3A63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24" w:type="pct"/>
            <w:shd w:val="clear"/>
            <w:vAlign w:val="center"/>
          </w:tcPr>
          <w:p w14:paraId="69E4E5C1">
            <w:pPr>
              <w:ind w:firstLine="240" w:firstLineChars="100"/>
              <w:jc w:val="both"/>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2</w:t>
            </w:r>
          </w:p>
        </w:tc>
        <w:tc>
          <w:tcPr>
            <w:tcW w:w="1031" w:type="pct"/>
            <w:shd w:val="clear"/>
            <w:vAlign w:val="center"/>
          </w:tcPr>
          <w:p w14:paraId="58417C76">
            <w:pPr>
              <w:pStyle w:val="13"/>
              <w:jc w:val="center"/>
              <w:rPr>
                <w:rFonts w:hint="eastAsia" w:ascii="宋体" w:hAnsi="宋体" w:eastAsia="宋体" w:cs="宋体"/>
                <w:color w:val="auto"/>
                <w:kern w:val="0"/>
                <w:sz w:val="24"/>
                <w:szCs w:val="24"/>
                <w:highlight w:val="none"/>
                <w:vertAlign w:val="baseline"/>
                <w:lang w:val="en-US" w:eastAsia="zh-CN" w:bidi="ar-SA"/>
              </w:rPr>
            </w:pPr>
            <w:r>
              <w:rPr>
                <w:rFonts w:hint="eastAsia" w:hAnsi="宋体" w:cs="宋体"/>
                <w:color w:val="auto"/>
                <w:sz w:val="24"/>
                <w:szCs w:val="24"/>
                <w:highlight w:val="none"/>
                <w:vertAlign w:val="baseline"/>
                <w:lang w:val="en-US" w:eastAsia="zh-CN"/>
              </w:rPr>
              <w:t>固</w:t>
            </w:r>
            <w:r>
              <w:rPr>
                <w:rFonts w:hint="eastAsia" w:ascii="宋体" w:hAnsi="宋体" w:eastAsia="宋体" w:cs="宋体"/>
                <w:color w:val="auto"/>
                <w:sz w:val="24"/>
                <w:szCs w:val="24"/>
                <w:highlight w:val="none"/>
                <w:vertAlign w:val="baseline"/>
                <w:lang w:val="en-US" w:eastAsia="zh-CN"/>
              </w:rPr>
              <w:t>体</w:t>
            </w:r>
            <w:r>
              <w:rPr>
                <w:rFonts w:hint="eastAsia" w:hAnsi="宋体" w:eastAsia="宋体" w:cs="宋体"/>
                <w:color w:val="auto"/>
                <w:sz w:val="24"/>
                <w:szCs w:val="24"/>
                <w:highlight w:val="none"/>
                <w:vertAlign w:val="baseline"/>
                <w:lang w:val="en-US" w:eastAsia="zh-CN"/>
              </w:rPr>
              <w:t>改质</w:t>
            </w:r>
            <w:r>
              <w:rPr>
                <w:rFonts w:hint="eastAsia" w:ascii="宋体" w:hAnsi="宋体" w:eastAsia="宋体" w:cs="宋体"/>
                <w:color w:val="auto"/>
                <w:sz w:val="24"/>
                <w:szCs w:val="24"/>
                <w:highlight w:val="none"/>
                <w:vertAlign w:val="baseline"/>
                <w:lang w:val="en-US" w:eastAsia="zh-CN"/>
              </w:rPr>
              <w:t>沥青</w:t>
            </w:r>
          </w:p>
        </w:tc>
        <w:tc>
          <w:tcPr>
            <w:tcW w:w="1515" w:type="pct"/>
            <w:shd w:val="clear"/>
            <w:vAlign w:val="center"/>
          </w:tcPr>
          <w:p w14:paraId="077FD991">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202</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年</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日-</w:t>
            </w:r>
            <w:r>
              <w:rPr>
                <w:rFonts w:hint="eastAsia" w:ascii="宋体" w:hAnsi="宋体" w:cs="宋体"/>
                <w:color w:val="auto"/>
                <w:sz w:val="24"/>
                <w:szCs w:val="24"/>
                <w:highlight w:val="none"/>
                <w:vertAlign w:val="baseline"/>
                <w:lang w:val="en-US" w:eastAsia="zh-CN"/>
              </w:rPr>
              <w:t>2026年6</w:t>
            </w:r>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lang w:val="en-US" w:eastAsia="zh-CN"/>
              </w:rPr>
              <w:t>日</w:t>
            </w:r>
          </w:p>
        </w:tc>
        <w:tc>
          <w:tcPr>
            <w:tcW w:w="1928" w:type="pct"/>
            <w:shd w:val="clear"/>
            <w:vAlign w:val="center"/>
          </w:tcPr>
          <w:p w14:paraId="38E5F639">
            <w:pPr>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bidi="ar-SA"/>
              </w:rPr>
              <w:t>0.15</w:t>
            </w:r>
          </w:p>
        </w:tc>
      </w:tr>
    </w:tbl>
    <w:p w14:paraId="60B97BF7">
      <w:pPr>
        <w:pStyle w:val="11"/>
        <w:keepNext w:val="0"/>
        <w:keepLines w:val="0"/>
        <w:pageBreakBefore w:val="0"/>
        <w:widowControl w:val="0"/>
        <w:kinsoku/>
        <w:wordWrap/>
        <w:overflowPunct/>
        <w:topLinePunct w:val="0"/>
        <w:autoSpaceDE w:val="0"/>
        <w:autoSpaceDN w:val="0"/>
        <w:bidi w:val="0"/>
        <w:adjustRightInd w:val="0"/>
        <w:snapToGrid/>
        <w:textAlignment w:val="baseline"/>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3BCD">
    <w:pPr>
      <w:pStyle w:val="4"/>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09BCD9">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F09BCD9">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WZmNmFlOWZiMTE0ZGFiYzNmMTVkMDM3YTcyNTgifQ=="/>
  </w:docVars>
  <w:rsids>
    <w:rsidRoot w:val="00000000"/>
    <w:rsid w:val="00EA20E0"/>
    <w:rsid w:val="012413DA"/>
    <w:rsid w:val="014E4831"/>
    <w:rsid w:val="01DA6F41"/>
    <w:rsid w:val="031C1F1C"/>
    <w:rsid w:val="03941090"/>
    <w:rsid w:val="041F2E83"/>
    <w:rsid w:val="0636392C"/>
    <w:rsid w:val="06B036DE"/>
    <w:rsid w:val="08F14A57"/>
    <w:rsid w:val="0A9651AE"/>
    <w:rsid w:val="0AEB017E"/>
    <w:rsid w:val="0B485E25"/>
    <w:rsid w:val="0B7815B9"/>
    <w:rsid w:val="0B846419"/>
    <w:rsid w:val="0C4A26CD"/>
    <w:rsid w:val="0CF5010B"/>
    <w:rsid w:val="1040165D"/>
    <w:rsid w:val="10482BD9"/>
    <w:rsid w:val="110135ED"/>
    <w:rsid w:val="11617CB9"/>
    <w:rsid w:val="124F6188"/>
    <w:rsid w:val="12E521BD"/>
    <w:rsid w:val="15872E2B"/>
    <w:rsid w:val="168C204E"/>
    <w:rsid w:val="16B02A2D"/>
    <w:rsid w:val="178F5A12"/>
    <w:rsid w:val="18517A1D"/>
    <w:rsid w:val="18E27CE8"/>
    <w:rsid w:val="190216C2"/>
    <w:rsid w:val="19744211"/>
    <w:rsid w:val="197733D3"/>
    <w:rsid w:val="19827E6C"/>
    <w:rsid w:val="19CC487B"/>
    <w:rsid w:val="1A11262D"/>
    <w:rsid w:val="1A4356A3"/>
    <w:rsid w:val="1A684E1A"/>
    <w:rsid w:val="1AA83ACA"/>
    <w:rsid w:val="1AD51BFD"/>
    <w:rsid w:val="1AD57E8C"/>
    <w:rsid w:val="1BDB6767"/>
    <w:rsid w:val="1CB64800"/>
    <w:rsid w:val="1DE835FC"/>
    <w:rsid w:val="1E870438"/>
    <w:rsid w:val="1F0450C3"/>
    <w:rsid w:val="1FB27AA3"/>
    <w:rsid w:val="203E1903"/>
    <w:rsid w:val="21926332"/>
    <w:rsid w:val="22794E74"/>
    <w:rsid w:val="241361DA"/>
    <w:rsid w:val="2788422F"/>
    <w:rsid w:val="28692F8C"/>
    <w:rsid w:val="288E7B67"/>
    <w:rsid w:val="28FD0E9E"/>
    <w:rsid w:val="298962E5"/>
    <w:rsid w:val="2B375960"/>
    <w:rsid w:val="2D665B14"/>
    <w:rsid w:val="2D875B8D"/>
    <w:rsid w:val="2FD15B78"/>
    <w:rsid w:val="30255274"/>
    <w:rsid w:val="310A15D9"/>
    <w:rsid w:val="323D10C0"/>
    <w:rsid w:val="33526AFA"/>
    <w:rsid w:val="33A139DB"/>
    <w:rsid w:val="34E63A09"/>
    <w:rsid w:val="35765CD6"/>
    <w:rsid w:val="36980F17"/>
    <w:rsid w:val="38560336"/>
    <w:rsid w:val="3A3430DD"/>
    <w:rsid w:val="3B715D54"/>
    <w:rsid w:val="3C074E47"/>
    <w:rsid w:val="3DF31325"/>
    <w:rsid w:val="3F2B7765"/>
    <w:rsid w:val="3F4545D4"/>
    <w:rsid w:val="3FB611A6"/>
    <w:rsid w:val="4148218A"/>
    <w:rsid w:val="41584303"/>
    <w:rsid w:val="41945E2E"/>
    <w:rsid w:val="41C1797D"/>
    <w:rsid w:val="469530DA"/>
    <w:rsid w:val="47354F5E"/>
    <w:rsid w:val="487B01E0"/>
    <w:rsid w:val="49B735B5"/>
    <w:rsid w:val="4B0B04B0"/>
    <w:rsid w:val="4B3C4B0D"/>
    <w:rsid w:val="4B9F6E4A"/>
    <w:rsid w:val="4C155AF1"/>
    <w:rsid w:val="4CEF0B89"/>
    <w:rsid w:val="4F0667CE"/>
    <w:rsid w:val="50285660"/>
    <w:rsid w:val="5044508F"/>
    <w:rsid w:val="51C51AB5"/>
    <w:rsid w:val="51E24BEC"/>
    <w:rsid w:val="52DE46FC"/>
    <w:rsid w:val="531758FC"/>
    <w:rsid w:val="53A476F3"/>
    <w:rsid w:val="53A854CE"/>
    <w:rsid w:val="54437198"/>
    <w:rsid w:val="54477A38"/>
    <w:rsid w:val="54D650AE"/>
    <w:rsid w:val="54FF3E15"/>
    <w:rsid w:val="55853555"/>
    <w:rsid w:val="56BC7FA7"/>
    <w:rsid w:val="56D91034"/>
    <w:rsid w:val="58064403"/>
    <w:rsid w:val="58AD3254"/>
    <w:rsid w:val="58DE5456"/>
    <w:rsid w:val="59F40CA9"/>
    <w:rsid w:val="5BBE4C34"/>
    <w:rsid w:val="5CEC3346"/>
    <w:rsid w:val="5E6C4538"/>
    <w:rsid w:val="5EA16433"/>
    <w:rsid w:val="5EF76ED6"/>
    <w:rsid w:val="5F29558B"/>
    <w:rsid w:val="5F462CC8"/>
    <w:rsid w:val="60672B03"/>
    <w:rsid w:val="62397EC1"/>
    <w:rsid w:val="627D7FA1"/>
    <w:rsid w:val="654E5711"/>
    <w:rsid w:val="665723A3"/>
    <w:rsid w:val="66A06104"/>
    <w:rsid w:val="67144CA8"/>
    <w:rsid w:val="67C93D9A"/>
    <w:rsid w:val="68BC03E5"/>
    <w:rsid w:val="6A0D390C"/>
    <w:rsid w:val="6AFC79BD"/>
    <w:rsid w:val="6BE04BE9"/>
    <w:rsid w:val="6C744C87"/>
    <w:rsid w:val="6CBA7B30"/>
    <w:rsid w:val="6CF52916"/>
    <w:rsid w:val="6E356C5C"/>
    <w:rsid w:val="6FDB5DF3"/>
    <w:rsid w:val="704E7C26"/>
    <w:rsid w:val="70952446"/>
    <w:rsid w:val="72203F91"/>
    <w:rsid w:val="7229553C"/>
    <w:rsid w:val="724B4DE1"/>
    <w:rsid w:val="72B648F6"/>
    <w:rsid w:val="72BB4868"/>
    <w:rsid w:val="74D873D7"/>
    <w:rsid w:val="75C80BC8"/>
    <w:rsid w:val="762A3E83"/>
    <w:rsid w:val="76366583"/>
    <w:rsid w:val="76B2436C"/>
    <w:rsid w:val="76D50061"/>
    <w:rsid w:val="771A01B8"/>
    <w:rsid w:val="776B3F01"/>
    <w:rsid w:val="78B25E1E"/>
    <w:rsid w:val="795E437C"/>
    <w:rsid w:val="797A2A2C"/>
    <w:rsid w:val="79BD4545"/>
    <w:rsid w:val="79EC7590"/>
    <w:rsid w:val="7B2368A0"/>
    <w:rsid w:val="7B305B5A"/>
    <w:rsid w:val="7BA64990"/>
    <w:rsid w:val="7C10151B"/>
    <w:rsid w:val="7D530830"/>
    <w:rsid w:val="7D596400"/>
    <w:rsid w:val="7DB94E07"/>
    <w:rsid w:val="7E5856F8"/>
    <w:rsid w:val="7E6232E6"/>
    <w:rsid w:val="7FFC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Autospacing="0" w:afterAutospacing="0" w:line="240" w:lineRule="auto"/>
      <w:outlineLvl w:val="0"/>
    </w:pPr>
    <w:rPr>
      <w:rFonts w:ascii="Times New Roman" w:hAnsi="Times New Roman"/>
      <w:b/>
      <w:kern w:val="44"/>
      <w:sz w:val="28"/>
    </w:rPr>
  </w:style>
  <w:style w:type="character" w:default="1" w:styleId="10">
    <w:name w:val="Default Paragraph Font"/>
    <w:autoRedefine/>
    <w:qFormat/>
    <w:uiPriority w:val="0"/>
  </w:style>
  <w:style w:type="table" w:default="1" w:styleId="8">
    <w:name w:val="Normal Table"/>
    <w:autoRedefine/>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styleId="4">
    <w:name w:val="footer"/>
    <w:basedOn w:val="1"/>
    <w:autoRedefine/>
    <w:qFormat/>
    <w:uiPriority w:val="0"/>
    <w:pPr>
      <w:tabs>
        <w:tab w:val="center" w:pos="4153"/>
        <w:tab w:val="right" w:pos="8306"/>
      </w:tabs>
      <w:snapToGrid w:val="0"/>
      <w:jc w:val="left"/>
    </w:pPr>
    <w:rPr>
      <w:sz w:val="20"/>
      <w:szCs w:val="20"/>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autoRedefine/>
    <w:qFormat/>
    <w:uiPriority w:val="0"/>
    <w:pPr>
      <w:textAlignment w:val="baseline"/>
    </w:pPr>
    <w:rPr>
      <w:rFonts w:hAnsi="Courier New" w:cs="Times New Roman"/>
    </w:rPr>
  </w:style>
  <w:style w:type="paragraph" w:customStyle="1" w:styleId="13">
    <w:name w:val="正文1"/>
    <w:basedOn w:val="1"/>
    <w:autoRedefine/>
    <w:qFormat/>
    <w:uiPriority w:val="0"/>
    <w:pPr>
      <w:adjustRightInd w:val="0"/>
      <w:spacing w:line="360" w:lineRule="atLeast"/>
      <w:jc w:val="left"/>
    </w:pPr>
    <w:rPr>
      <w:rFonts w:ascii="宋体"/>
      <w:kern w:val="0"/>
      <w:sz w:val="24"/>
    </w:rPr>
  </w:style>
  <w:style w:type="paragraph" w:customStyle="1" w:styleId="14">
    <w:name w:val="Table Paragraph"/>
    <w:basedOn w:val="1"/>
    <w:autoRedefine/>
    <w:qFormat/>
    <w:uiPriority w:val="1"/>
    <w:rPr>
      <w:rFonts w:ascii="宋体" w:hAnsi="宋体" w:eastAsia="宋体" w:cs="宋体"/>
    </w:rPr>
  </w:style>
  <w:style w:type="paragraph" w:styleId="15">
    <w:name w:val="List Paragraph"/>
    <w:basedOn w:val="1"/>
    <w:autoRedefine/>
    <w:qFormat/>
    <w:uiPriority w:val="1"/>
    <w:pPr>
      <w:ind w:left="620"/>
    </w:pPr>
    <w:rPr>
      <w:rFonts w:ascii="宋体" w:hAnsi="宋体" w:eastAsia="宋体" w:cs="宋体"/>
    </w:rPr>
  </w:style>
  <w:style w:type="table" w:customStyle="1" w:styleId="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3178</Words>
  <Characters>3492</Characters>
  <Paragraphs>245</Paragraphs>
  <TotalTime>0</TotalTime>
  <ScaleCrop>false</ScaleCrop>
  <LinksUpToDate>false</LinksUpToDate>
  <CharactersWithSpaces>3584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2022-01-13T09:24:00Z</dcterms:created>
  <dc:creator>naciew</dc:creator>
  <cp:lastModifiedBy>WPS_1648530337</cp:lastModifiedBy>
  <dcterms:modified xsi:type="dcterms:W3CDTF">2026-05-25T01:14:51Z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FCBC3D480EA1443A97809ADA49A2B381_13</vt:lpwstr>
  </property>
  <property fmtid="{D5CDD505-2E9C-101B-9397-08002B2CF9AE}" pid="4" name="KSOTemplateDocerSaveRecord">
    <vt:lpwstr>eyJoZGlkIjoiMTlkODU5NGE2YWNkYzgyYTkyNWFjOTdmZGFiNDU5MGQiLCJ1c2VySWQiOiIxMzUwNTg1NDY5In0=</vt:lpwstr>
  </property>
  <property fmtid="{D5CDD505-2E9C-101B-9397-08002B2CF9AE}" pid="5" name="EagleCloud">
    <vt:lpwstr>61676334b4e8422151e43967553014381f5e06876ebe2bbce66cedec39aecaacf4853be976adcc648e709e91f0cef3a53f9d2daec1e92c1d328e5eb5ef6827eb075fd491cb6d07585ee6ea933ac9c22c3e74f911d88ff4486ff8434331383de79640ac2cefb291a79b4d124eeae5dc8184ed84cd2df0bba33fe74aed905b73d</vt:lpwstr>
  </property>
  <property fmtid="{D5CDD505-2E9C-101B-9397-08002B2CF9AE}" pid="6" name="EagleCloud1">
    <vt:lpwstr>fd201b03751ddc3eefffe8b545644ee707a73254df67a67d21fb1541bce352bc018c3760e4af19a97c01844dda6ed2df1e8773206d6171e88a2d053fb414cbb92efaf381f45ca91c183a2d597be7db7d20dc8aaa42089648d63fcde9e2638abfd7ceb22f5704e7c1f2ad75253bb975beb7cdb364b4915021746e6845aca8e20</vt:lpwstr>
  </property>
  <property fmtid="{D5CDD505-2E9C-101B-9397-08002B2CF9AE}" pid="7" name="EagleCloud2">
    <vt:lpwstr>05532facc2f5afa208ac5aff142b6521857a14e1e3d4fc31894db326fe838810f94030293db608a5e5d5f5fdc873a3115b10128b8a23078def6d55a5506ed87340a5f71d746e181897efcfadd8a744f3233d958823a080ffba98dcbea83050e3544c38ce0667ca255023a89a0d8f42f3bab5b72f0bf276269cf8a782b6817c7</vt:lpwstr>
  </property>
  <property fmtid="{D5CDD505-2E9C-101B-9397-08002B2CF9AE}" pid="8" name="EagleCloud3">
    <vt:lpwstr>6d6ff496e19c8255bbefcb52988338d79991b097c9363cf0371c1a997258ee5200b3c7d68e170e78bf5d9ffd134a614ff57985f0870483518018d08771bc77262eb188bd238f503d98806e0e8df3ee52fc998e1727a0f276726418359649669ae51e98a0f07d6c479ad7c30daeddcde3b1bf4c17fa032d0d6f65db95c7326b8</vt:lpwstr>
  </property>
  <property fmtid="{D5CDD505-2E9C-101B-9397-08002B2CF9AE}" pid="9" name="EagleCloud4">
    <vt:lpwstr>aaac8d07e218b9c8c90ad2aa42c59f298f8fce46350667fc8221c78c92f02cba16eb36d4498d1071980df098d86aff0efc8885977a5319cb8516ac154ef44f0f71a77207f1222b83014ac92db8abb46d28aa513d211887e301cff6f6c7be989a6df143a21c22e307b851302b7867dea5e1a1dcc434410761f398f8eb9ab3e3f</vt:lpwstr>
  </property>
  <property fmtid="{D5CDD505-2E9C-101B-9397-08002B2CF9AE}" pid="10" name="EagleCloud5">
    <vt:lpwstr>b2d4cde72f1bfca265278f633844586ea1504948d20586e10a945f45d6c32afc261ef7cdb364b4915021746e6845aca8e200585e68be64b47180aef613bfb7877fb0e15468bbf515a1cdaf639f82882bc1ca760f73eeff717e53fbc529ec01771b8d6a36a8e60434257d5145763aa5f82a97536d4498d1071980df098d86aff</vt:lpwstr>
  </property>
  <property fmtid="{D5CDD505-2E9C-101B-9397-08002B2CF9AE}" pid="11" name="EagleCloud6">
    <vt:lpwstr>0efc8885977a5319cb8516ac154ef44f0f71a77207f1222b83014ac92db8abb46d28aa30adbde5bc934e46ae1954b41b400a779e2b532f6ba80263137b38dfc491574c3474020653d884d4030c48795ba4d97bc90ee8675a8d94df25a073427b019c75</vt:lpwstr>
  </property>
</Properties>
</file>