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249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0" w:name="_Toc14194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3：质量技术标准</w:t>
      </w:r>
    </w:p>
    <w:p w14:paraId="1AB61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40" w:lineRule="exact"/>
        <w:jc w:val="both"/>
        <w:textAlignment w:val="auto"/>
        <w:outlineLvl w:val="0"/>
        <w:rPr>
          <w:rStyle w:val="8"/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 w14:paraId="75E82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40" w:lineRule="exact"/>
        <w:ind w:firstLine="2640" w:firstLineChars="1100"/>
        <w:jc w:val="both"/>
        <w:textAlignment w:val="auto"/>
        <w:outlineLvl w:val="0"/>
        <w:rPr>
          <w:rStyle w:val="8"/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铝钛硼</w:t>
      </w:r>
      <w:bookmarkEnd w:id="0"/>
      <w:r>
        <w:rPr>
          <w:rStyle w:val="8"/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合金技术质量标准</w:t>
      </w:r>
    </w:p>
    <w:p w14:paraId="689469A1">
      <w:pPr>
        <w:keepNext w:val="0"/>
        <w:keepLines w:val="0"/>
        <w:pageBreakBefore w:val="0"/>
        <w:widowControl w:val="0"/>
        <w:tabs>
          <w:tab w:val="center" w:pos="4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1" w:name="_Toc12555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1.1 范围</w:t>
      </w:r>
      <w:bookmarkEnd w:id="1"/>
    </w:p>
    <w:p w14:paraId="31575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lang w:val="en-US" w:eastAsia="zh-CN"/>
        </w:rPr>
        <w:t xml:space="preserve">本标准规定了铝钛硼的技术要求、试验方法、检验规则、标志、包装、运输、贮存和随行文件（质量证明书）等内容。 </w:t>
      </w:r>
    </w:p>
    <w:p w14:paraId="3BD9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  <w:t>适用于新材料公司采购铝钛硼质量技术要求、质量检验及质量验证。</w:t>
      </w:r>
    </w:p>
    <w:p w14:paraId="1B0D51D7">
      <w:pPr>
        <w:keepNext w:val="0"/>
        <w:keepLines w:val="0"/>
        <w:pageBreakBefore w:val="0"/>
        <w:widowControl w:val="0"/>
        <w:tabs>
          <w:tab w:val="center" w:pos="4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</w:pPr>
      <w:bookmarkStart w:id="2" w:name="_Toc29505"/>
      <w:r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  <w:t>1.2 规范性引用文件</w:t>
      </w:r>
      <w:bookmarkEnd w:id="2"/>
    </w:p>
    <w:p w14:paraId="70217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default" w:ascii="宋体" w:hAnsi="宋体" w:eastAsia="宋体" w:cs="Times New Roman"/>
          <w:b/>
          <w:bCs/>
          <w:color w:val="FF000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10"/>
          <w:sz w:val="24"/>
          <w:highlight w:val="none"/>
          <w:lang w:val="en-US" w:eastAsia="zh-CN"/>
        </w:rPr>
        <w:t>下列文件中，除正在执行的合同中有明确规定外；其最新版本（包括所有的修改单）适用于本标准。该部分标准的引用，包括（但不限于）取样方法、检测方法、重复性、再现性、数值修约等规定要求。</w:t>
      </w:r>
    </w:p>
    <w:p w14:paraId="1C79F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GB/T 1196重熔用铝锭</w:t>
      </w:r>
    </w:p>
    <w:p w14:paraId="74E2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GB/T 3199铝及铝合金加工产品包装、标志、运输、贮存</w:t>
      </w:r>
    </w:p>
    <w:p w14:paraId="0CC5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GB/T 3246.1变形铝及铝合金制品组织检验方法 第1部分：显微组织检验方法</w:t>
      </w:r>
    </w:p>
    <w:p w14:paraId="78935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GB/T 3246.2变形铝及铝合金制品组织检验方法 第2部分：低倍组织检验方法</w:t>
      </w:r>
    </w:p>
    <w:p w14:paraId="57958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GB/T 7999铝及铝合金光电直读发射光谱分析方法</w:t>
      </w:r>
    </w:p>
    <w:p w14:paraId="2D29F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GB/T 8170数值修约规则与极限数值的表示和判定</w:t>
      </w:r>
    </w:p>
    <w:p w14:paraId="3C6A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GB/T 17432变形铝及铝合金化学成分分析取样方法</w:t>
      </w:r>
    </w:p>
    <w:p w14:paraId="17B51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GB/T 20975（所有部分）铝及铝合金化学分析方法</w:t>
      </w:r>
    </w:p>
    <w:p w14:paraId="5BE7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YS/T 275高纯铝锭</w:t>
      </w:r>
    </w:p>
    <w:p w14:paraId="5678C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YS/T 665重熔用精铝锭</w:t>
      </w:r>
    </w:p>
    <w:p w14:paraId="0787D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GB/T 27677-2017铝中间合金</w:t>
      </w:r>
    </w:p>
    <w:p w14:paraId="2EA3CC37">
      <w:pPr>
        <w:keepNext w:val="0"/>
        <w:keepLines w:val="0"/>
        <w:pageBreakBefore w:val="0"/>
        <w:widowControl w:val="0"/>
        <w:tabs>
          <w:tab w:val="center" w:pos="4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3" w:name="_Toc21456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1.3 技术要求</w:t>
      </w:r>
      <w:bookmarkEnd w:id="3"/>
    </w:p>
    <w:p w14:paraId="6758A52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default" w:cs="Times New Roman"/>
          <w:b/>
          <w:kern w:val="1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  <w:t>1.3.1 主要化学成分</w:t>
      </w:r>
    </w:p>
    <w:p w14:paraId="21B19B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1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铝钛硼合金采用牌号为Al99.70的重熔用铝锭作为原材料生产，重熔用铝锭的化学成分应符合GB/T 1196的规定；或采用相应纯度的铝锭作为原材料生产，其牌号和化学成分应符合YS/T 275或YS/T 665的规定。铝钛硼牌号和化学成分应符合GB/T 27677-2017的标准。主要化学成分应符合表1的规定。</w:t>
      </w:r>
    </w:p>
    <w:p w14:paraId="44F8E0D1">
      <w:pPr>
        <w:pStyle w:val="4"/>
        <w:keepNext w:val="0"/>
        <w:keepLines w:val="0"/>
        <w:pageBreakBefore w:val="0"/>
        <w:widowControl w:val="0"/>
        <w:tabs>
          <w:tab w:val="left" w:pos="3330"/>
        </w:tabs>
        <w:kinsoku/>
        <w:wordWrap/>
        <w:overflowPunct/>
        <w:topLinePunct w:val="0"/>
        <w:bidi w:val="0"/>
        <w:snapToGrid/>
        <w:spacing w:line="440" w:lineRule="exact"/>
        <w:ind w:firstLine="3600" w:firstLineChars="1500"/>
        <w:jc w:val="both"/>
        <w:textAlignment w:val="auto"/>
        <w:rPr>
          <w:rFonts w:hint="eastAsia" w:ascii="宋体" w:hAnsi="宋体" w:eastAsia="宋体" w:cs="宋体"/>
          <w:kern w:val="1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10"/>
          <w:sz w:val="24"/>
          <w:szCs w:val="24"/>
          <w:lang w:val="en-US" w:eastAsia="zh-CN" w:bidi="ar-SA"/>
        </w:rPr>
        <w:t>表1：主要化学成分</w:t>
      </w:r>
    </w:p>
    <w:tbl>
      <w:tblPr>
        <w:tblStyle w:val="5"/>
        <w:tblW w:w="8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546"/>
        <w:gridCol w:w="1871"/>
        <w:gridCol w:w="1553"/>
        <w:gridCol w:w="1462"/>
      </w:tblGrid>
      <w:tr w14:paraId="14E0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牌号</w:t>
            </w:r>
          </w:p>
        </w:tc>
        <w:tc>
          <w:tcPr>
            <w:tcW w:w="6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化学成分(质量分数)/％</w:t>
            </w:r>
          </w:p>
        </w:tc>
      </w:tr>
      <w:tr w14:paraId="7CD3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不大于</w:t>
            </w:r>
          </w:p>
        </w:tc>
      </w:tr>
      <w:tr w14:paraId="016D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E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Ti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3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</w:t>
            </w:r>
          </w:p>
        </w:tc>
      </w:tr>
      <w:tr w14:paraId="634C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AlTi5B1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0.30 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</w:tr>
      <w:tr w14:paraId="0455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7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注：1.表中的单个数值为元素质量分数的最高限。</w:t>
            </w:r>
          </w:p>
          <w:p w14:paraId="2250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30" w:leftChars="200" w:hanging="210" w:hangingChars="100"/>
              <w:jc w:val="left"/>
              <w:textAlignment w:val="center"/>
              <w:rPr>
                <w:rFonts w:hint="eastAsia" w:ascii="宋体" w:hAnsi="宋体" w:eastAsia="宋体" w:cs="Times New Roman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10"/>
                <w:sz w:val="21"/>
                <w:szCs w:val="21"/>
                <w:highlight w:val="none"/>
                <w:lang w:val="en-US" w:eastAsia="zh-CN"/>
              </w:rPr>
              <w:t>2.分析数值的判定采用修约比较法，数值修约按GB/T 8170的有关规定进行。修约数位与表1中所列极限值数位一致。</w:t>
            </w:r>
          </w:p>
        </w:tc>
      </w:tr>
    </w:tbl>
    <w:p w14:paraId="6F9EC6D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20" w:lineRule="exact"/>
        <w:ind w:right="0" w:rightChars="0"/>
        <w:jc w:val="left"/>
        <w:textAlignment w:val="auto"/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  <w:t>1.3.2 外观质量</w:t>
      </w:r>
    </w:p>
    <w:p w14:paraId="5720C47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20" w:lineRule="exact"/>
        <w:ind w:right="0" w:rightChars="0"/>
        <w:jc w:val="left"/>
        <w:textAlignment w:val="auto"/>
        <w:rPr>
          <w:rFonts w:hint="eastAsia" w:ascii="宋体" w:hAnsi="宋体" w:cs="Times New Roman"/>
          <w:kern w:val="10"/>
          <w:sz w:val="24"/>
          <w:lang w:val="en-US" w:eastAsia="zh-CN"/>
        </w:rPr>
      </w:pPr>
      <w:r>
        <w:rPr>
          <w:rFonts w:hint="eastAsia" w:cs="Times New Roman"/>
          <w:b w:val="0"/>
          <w:bCs/>
          <w:kern w:val="10"/>
          <w:sz w:val="24"/>
          <w:szCs w:val="24"/>
          <w:lang w:val="en-US" w:eastAsia="zh-CN" w:bidi="ar-SA"/>
        </w:rPr>
        <w:t xml:space="preserve">1.3.2.1 </w:t>
      </w:r>
      <w:r>
        <w:rPr>
          <w:rFonts w:hint="eastAsia" w:ascii="宋体" w:hAnsi="宋体" w:eastAsia="宋体" w:cs="Times New Roman"/>
          <w:b w:val="0"/>
          <w:bCs/>
          <w:kern w:val="10"/>
          <w:sz w:val="24"/>
          <w:szCs w:val="24"/>
          <w:lang w:val="en-US" w:eastAsia="zh-CN" w:bidi="ar-SA"/>
        </w:rPr>
        <w:t>铝中间合金外观不准许存在夹渣、腐蚀、夹杂物、油污或任何异物等,允许有不影响使用的氧化膜褶皱或收缩裂纹存在。</w:t>
      </w:r>
      <w:r>
        <w:rPr>
          <w:rFonts w:hint="eastAsia" w:ascii="宋体" w:hAnsi="宋体" w:cs="Times New Roman"/>
          <w:kern w:val="10"/>
          <w:sz w:val="24"/>
          <w:lang w:val="en-US" w:eastAsia="zh-CN"/>
        </w:rPr>
        <w:t xml:space="preserve">  </w:t>
      </w:r>
    </w:p>
    <w:p w14:paraId="61CF0C9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20" w:lineRule="exact"/>
        <w:ind w:right="0" w:rightChars="0"/>
        <w:jc w:val="left"/>
        <w:textAlignment w:val="auto"/>
        <w:rPr>
          <w:rFonts w:hint="eastAsia" w:ascii="宋体" w:hAnsi="宋体" w:cs="Times New Roman"/>
          <w:color w:val="auto"/>
          <w:kern w:val="10"/>
          <w:sz w:val="24"/>
          <w:highlight w:val="none"/>
          <w:lang w:val="en-US" w:eastAsia="zh-CN"/>
        </w:rPr>
      </w:pPr>
      <w:r>
        <w:rPr>
          <w:rFonts w:hint="eastAsia" w:cs="Times New Roman"/>
          <w:b w:val="0"/>
          <w:bCs/>
          <w:kern w:val="10"/>
          <w:sz w:val="24"/>
          <w:szCs w:val="24"/>
          <w:lang w:val="en-US" w:eastAsia="zh-CN" w:bidi="ar-SA"/>
        </w:rPr>
        <w:t>1.</w:t>
      </w:r>
      <w:r>
        <w:rPr>
          <w:rFonts w:hint="eastAsia" w:cs="Times New Roman"/>
          <w:color w:val="auto"/>
          <w:kern w:val="10"/>
          <w:sz w:val="24"/>
          <w:highlight w:val="none"/>
          <w:lang w:val="en-US" w:eastAsia="zh-CN"/>
        </w:rPr>
        <w:t xml:space="preserve">3.2.2 </w:t>
      </w:r>
      <w:r>
        <w:rPr>
          <w:rFonts w:hint="eastAsia" w:ascii="宋体" w:hAnsi="宋体" w:cs="Times New Roman"/>
          <w:color w:val="auto"/>
          <w:kern w:val="10"/>
          <w:sz w:val="24"/>
          <w:highlight w:val="none"/>
          <w:lang w:val="en-US" w:eastAsia="zh-CN"/>
        </w:rPr>
        <w:t>铝钛硼要求为杆状</w:t>
      </w:r>
      <w:r>
        <w:rPr>
          <w:rFonts w:hint="eastAsia" w:cs="Times New Roman"/>
          <w:color w:val="auto"/>
          <w:kern w:val="10"/>
          <w:sz w:val="24"/>
          <w:highlight w:val="none"/>
          <w:lang w:val="en-US" w:eastAsia="zh-CN"/>
        </w:rPr>
        <w:t>或块状</w:t>
      </w:r>
      <w:r>
        <w:rPr>
          <w:rFonts w:hint="eastAsia" w:ascii="宋体" w:hAnsi="宋体" w:cs="Times New Roman"/>
          <w:color w:val="auto"/>
          <w:kern w:val="10"/>
          <w:sz w:val="24"/>
          <w:highlight w:val="none"/>
          <w:lang w:val="en-US" w:eastAsia="zh-CN"/>
        </w:rPr>
        <w:t>。</w:t>
      </w:r>
    </w:p>
    <w:p w14:paraId="33B92DF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20" w:lineRule="exact"/>
        <w:ind w:right="0" w:rightChars="0"/>
        <w:jc w:val="left"/>
        <w:textAlignment w:val="auto"/>
        <w:rPr>
          <w:rFonts w:hint="eastAsia" w:ascii="宋体" w:hAnsi="宋体" w:cs="Times New Roman"/>
          <w:color w:val="auto"/>
          <w:kern w:val="10"/>
          <w:sz w:val="24"/>
          <w:highlight w:val="none"/>
          <w:lang w:val="en-US" w:eastAsia="zh-CN"/>
        </w:rPr>
      </w:pPr>
      <w:r>
        <w:rPr>
          <w:rFonts w:hint="eastAsia" w:cs="Times New Roman"/>
          <w:b w:val="0"/>
          <w:bCs/>
          <w:kern w:val="10"/>
          <w:sz w:val="24"/>
          <w:szCs w:val="24"/>
          <w:lang w:val="en-US" w:eastAsia="zh-CN" w:bidi="ar-SA"/>
        </w:rPr>
        <w:t>1.</w:t>
      </w:r>
      <w:r>
        <w:rPr>
          <w:rFonts w:hint="eastAsia" w:cs="Times New Roman"/>
          <w:color w:val="auto"/>
          <w:kern w:val="10"/>
          <w:sz w:val="24"/>
          <w:highlight w:val="none"/>
          <w:lang w:val="en-US" w:eastAsia="zh-CN"/>
        </w:rPr>
        <w:t xml:space="preserve">3.2.3 </w:t>
      </w:r>
      <w:r>
        <w:rPr>
          <w:rFonts w:hint="eastAsia" w:ascii="宋体" w:hAnsi="宋体" w:cs="Times New Roman"/>
          <w:color w:val="auto"/>
          <w:kern w:val="10"/>
          <w:sz w:val="24"/>
          <w:highlight w:val="none"/>
          <w:lang w:val="en-US" w:eastAsia="zh-CN"/>
        </w:rPr>
        <w:t>铝钛硼杆状长度要求：500mm，直径为9.5mm±0.3，每小包重量为20kg至25kg。</w:t>
      </w:r>
    </w:p>
    <w:p w14:paraId="6DC6DC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20" w:lineRule="exact"/>
        <w:ind w:right="0" w:rightChars="0"/>
        <w:jc w:val="left"/>
        <w:textAlignment w:val="auto"/>
        <w:rPr>
          <w:rFonts w:hint="eastAsia" w:ascii="宋体" w:hAnsi="宋体" w:eastAsia="宋体" w:cs="Times New Roman"/>
          <w:color w:val="auto"/>
          <w:kern w:val="10"/>
          <w:sz w:val="24"/>
          <w:highlight w:val="none"/>
          <w:lang w:val="en-US" w:eastAsia="zh-CN"/>
        </w:rPr>
      </w:pPr>
      <w:r>
        <w:rPr>
          <w:rFonts w:hint="eastAsia" w:cs="Times New Roman"/>
          <w:b w:val="0"/>
          <w:bCs/>
          <w:kern w:val="10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cs="Times New Roman"/>
          <w:color w:val="auto"/>
          <w:kern w:val="10"/>
          <w:sz w:val="24"/>
          <w:highlight w:val="none"/>
          <w:lang w:val="en-US" w:eastAsia="zh-CN"/>
        </w:rPr>
        <w:t>3.2.4 铝钛硼块状重量要求：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100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克/块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、200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克/块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、350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克/块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、500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克/块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B1721"/>
          <w:spacing w:val="0"/>
          <w:sz w:val="24"/>
          <w:szCs w:val="24"/>
          <w:highlight w:val="none"/>
        </w:rPr>
        <w:t>每箱25kg包装</w:t>
      </w:r>
      <w:r>
        <w:rPr>
          <w:rFonts w:hint="eastAsia" w:cs="宋体"/>
          <w:i w:val="0"/>
          <w:iCs w:val="0"/>
          <w:caps w:val="0"/>
          <w:color w:val="0B1721"/>
          <w:spacing w:val="0"/>
          <w:sz w:val="24"/>
          <w:szCs w:val="24"/>
          <w:highlight w:val="none"/>
          <w:lang w:eastAsia="zh-CN"/>
        </w:rPr>
        <w:t>。</w:t>
      </w:r>
    </w:p>
    <w:p w14:paraId="3D55419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20" w:lineRule="exact"/>
        <w:ind w:right="0" w:rightChars="0"/>
        <w:jc w:val="lef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cs="Times New Roman"/>
          <w:b w:val="0"/>
          <w:bCs/>
          <w:kern w:val="10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cs="Times New Roman"/>
          <w:color w:val="auto"/>
          <w:kern w:val="10"/>
          <w:sz w:val="24"/>
          <w:highlight w:val="none"/>
          <w:lang w:val="en-US" w:eastAsia="zh-CN"/>
        </w:rPr>
        <w:t xml:space="preserve">3.2.5 </w:t>
      </w:r>
      <w:r>
        <w:rPr>
          <w:rFonts w:hint="eastAsia" w:ascii="宋体" w:hAnsi="宋体" w:cs="Times New Roman"/>
          <w:color w:val="auto"/>
          <w:kern w:val="10"/>
          <w:sz w:val="24"/>
          <w:highlight w:val="none"/>
          <w:lang w:val="en-US" w:eastAsia="zh-CN"/>
        </w:rPr>
        <w:t>在每小包</w:t>
      </w:r>
      <w:r>
        <w:rPr>
          <w:rFonts w:hint="eastAsia" w:cs="Times New Roman"/>
          <w:color w:val="auto"/>
          <w:kern w:val="1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cs="Times New Roman"/>
          <w:color w:val="auto"/>
          <w:kern w:val="10"/>
          <w:sz w:val="24"/>
          <w:highlight w:val="none"/>
          <w:lang w:val="en-US" w:eastAsia="zh-CN"/>
        </w:rPr>
        <w:t>外包装</w:t>
      </w:r>
      <w:r>
        <w:rPr>
          <w:rFonts w:hint="eastAsia" w:cs="Times New Roman"/>
          <w:color w:val="auto"/>
          <w:kern w:val="10"/>
          <w:sz w:val="24"/>
          <w:highlight w:val="none"/>
          <w:lang w:val="en-US" w:eastAsia="zh-CN"/>
        </w:rPr>
        <w:t>上</w:t>
      </w:r>
      <w:r>
        <w:rPr>
          <w:rFonts w:hint="eastAsia" w:ascii="宋体" w:hAnsi="宋体" w:cs="Times New Roman"/>
          <w:color w:val="auto"/>
          <w:kern w:val="10"/>
          <w:sz w:val="24"/>
          <w:highlight w:val="none"/>
          <w:lang w:val="en-US" w:eastAsia="zh-CN"/>
        </w:rPr>
        <w:t>必须喷涂铝钛硼字样及单包重量。</w:t>
      </w:r>
      <w:r>
        <w:rPr>
          <w:rFonts w:hint="eastAsia" w:ascii="宋体" w:hAnsi="宋体" w:cs="Times New Roman"/>
          <w:color w:val="FF0000"/>
          <w:kern w:val="1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Times New Roman"/>
          <w:kern w:val="10"/>
          <w:sz w:val="24"/>
          <w:highlight w:val="none"/>
          <w:lang w:val="en-US" w:eastAsia="zh-CN"/>
        </w:rPr>
        <w:t xml:space="preserve">      </w:t>
      </w:r>
    </w:p>
    <w:p w14:paraId="0DD2DED1">
      <w:pPr>
        <w:keepNext w:val="0"/>
        <w:keepLines w:val="0"/>
        <w:pageBreakBefore w:val="0"/>
        <w:widowControl w:val="0"/>
        <w:tabs>
          <w:tab w:val="center" w:pos="4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</w:pPr>
      <w:bookmarkStart w:id="4" w:name="_Toc24574"/>
      <w:r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  <w:t>1.4 检验规则</w:t>
      </w:r>
      <w:bookmarkEnd w:id="4"/>
    </w:p>
    <w:p w14:paraId="2C1E90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default" w:cs="Times New Roman"/>
          <w:b/>
          <w:kern w:val="10"/>
          <w:sz w:val="24"/>
          <w:szCs w:val="24"/>
          <w:highlight w:val="none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highlight w:val="none"/>
          <w:lang w:val="en-US" w:eastAsia="zh-CN" w:bidi="ar-SA"/>
        </w:rPr>
        <w:t>1.4.1 检测和验收</w:t>
      </w:r>
    </w:p>
    <w:p w14:paraId="5349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1.4.1.1 每批铝钛硼，供方需检测合格后，方可发货至需方。每批铝钛硼发货时，供方需随车提供检测报告，并得到需方的认可。</w:t>
      </w:r>
    </w:p>
    <w:p w14:paraId="4D74796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kern w:val="1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.4.1.2 每批铝钛硼到货后，需方应逐批进行取样封存</w:t>
      </w:r>
      <w:r>
        <w:rPr>
          <w:rFonts w:hint="eastAsia" w:cs="Times New Roman"/>
          <w:b w:val="0"/>
          <w:bCs w:val="0"/>
          <w:kern w:val="10"/>
          <w:sz w:val="24"/>
          <w:highlight w:val="none"/>
          <w:lang w:val="en-US" w:eastAsia="zh-CN"/>
        </w:rPr>
        <w:t>留样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，且每季度至少对留样随机抽检一次。当发现检验结果与合同约定不符时，应及时向供方提出异议。供方在收到需方质量异常反馈后，应在3个工作日内进行处理，否则视为默认需方提出的异议和后续处理意见。</w:t>
      </w:r>
    </w:p>
    <w:p w14:paraId="6BDD220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kern w:val="1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.4.1.3 生产过程中出现相关质量问题时，若经验证为铝钛硼质量不合格所引起的，则应依据合同约定视同为供方违约，由供方承担相关责任并赔偿相应损失。情节严重的，取消其供应商资格，列入供应商黑名单。</w:t>
      </w:r>
    </w:p>
    <w:p w14:paraId="659678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kern w:val="1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.4.1.4 必要时，需方可依据订货单（或合同）约定，进入供方现场对拟交货的产品进行供货前的抽查检验。</w:t>
      </w:r>
    </w:p>
    <w:p w14:paraId="37E0289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  <w:t>1.4.2 检验项目</w:t>
      </w:r>
    </w:p>
    <w:p w14:paraId="01A5E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每批应进行表1规定化学成分、外观质量、显微组织的检验。</w:t>
      </w:r>
    </w:p>
    <w:p w14:paraId="1CCCFB6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  <w:t xml:space="preserve">1.4.3 取样和制样 </w:t>
      </w:r>
    </w:p>
    <w:p w14:paraId="203A1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4.3.1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取样时供需双方现场共同取样、封样（供方无法现场参与时，可委托运输司机与需方一起取样，供方须出具加盖公章的书面授权文件）。</w:t>
      </w:r>
    </w:p>
    <w:p w14:paraId="48E1B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1.4.3.2 </w:t>
      </w:r>
      <w:bookmarkStart w:id="5" w:name="OLE_LINK2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每批次随机抽取1块铝钛硼，在铝钛硼任意部位切取试样；铝钛硼试样均等分为3份，一份需方验收检测，一份需方保存留底，一份备复检仲裁使用，一份样品共三块试样组成。 </w:t>
      </w:r>
      <w:bookmarkEnd w:id="5"/>
    </w:p>
    <w:p w14:paraId="355A64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color w:val="FF000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1.4.3.3 封存试样保存期限不少于3个月。</w:t>
      </w:r>
    </w:p>
    <w:p w14:paraId="0B0CD94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  <w:t>1.4.4 检验结果的判定</w:t>
      </w:r>
    </w:p>
    <w:p w14:paraId="373648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1.4.4.1 任一试样的化学成分不合格时,则判该批不合格。</w:t>
      </w:r>
    </w:p>
    <w:p w14:paraId="0082E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1.4.4.2 任一产品的外观不合格时,判该锭、该卷或该捆产品不合格。</w:t>
      </w:r>
    </w:p>
    <w:p w14:paraId="374AA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kern w:val="10"/>
          <w:sz w:val="24"/>
          <w:lang w:val="en-US" w:eastAsia="zh-CN"/>
        </w:rPr>
        <w:t>1.4.5 复检</w:t>
      </w:r>
    </w:p>
    <w:p w14:paraId="76BD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1.4.5.1 供需双方在验收过程中就质量问题发生争议时，供方需在3个工作日内提出复检申请，用需方到货验收时封存样品进行复检。双方一起确认样品后，在广西百矿冶金技术研究有限公司进行复检，当复检结果在该项指标检测标准规定再现性范围内的，以需方到货验收时检测结果为结算依据，当复检结果超出该项指标检测标准规定再现性范围的，以复检结果为结算依据。</w:t>
      </w:r>
    </w:p>
    <w:p w14:paraId="6274CC9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rPr>
          <w:rFonts w:hint="eastAsia"/>
          <w:lang w:val="en-US" w:eastAsia="zh-CN"/>
        </w:rPr>
      </w:pPr>
      <w:r>
        <w:rPr>
          <w:rFonts w:hint="eastAsia" w:ascii="宋体" w:hAnsi="宋体" w:cs="Times New Roman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宋体" w:hAnsi="宋体" w:cs="Times New Roman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.4.5.2 </w:t>
      </w:r>
      <w:r>
        <w:rPr>
          <w:rFonts w:hint="eastAsia" w:ascii="宋体" w:hAnsi="宋体" w:cs="Times New Roman"/>
          <w:color w:val="000000" w:themeColor="text1"/>
          <w:kern w:val="1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第三方复检费用由提出异议方承担。</w:t>
      </w:r>
    </w:p>
    <w:p w14:paraId="5B9D0910">
      <w:pPr>
        <w:keepNext w:val="0"/>
        <w:keepLines w:val="0"/>
        <w:pageBreakBefore w:val="0"/>
        <w:widowControl w:val="0"/>
        <w:tabs>
          <w:tab w:val="center" w:pos="4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6" w:name="_Toc1942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1.5 试验方法</w:t>
      </w:r>
      <w:bookmarkEnd w:id="6"/>
    </w:p>
    <w:p w14:paraId="05A78B6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cs="Times New Roman"/>
          <w:b/>
          <w:kern w:val="10"/>
          <w:sz w:val="24"/>
          <w:szCs w:val="24"/>
          <w:highlight w:val="none"/>
          <w:lang w:val="en-US" w:eastAsia="zh-CN" w:bidi="ar-SA"/>
        </w:rPr>
      </w:pPr>
      <w:bookmarkStart w:id="7" w:name="_Toc5448"/>
      <w:r>
        <w:rPr>
          <w:rFonts w:hint="eastAsia" w:cs="Times New Roman"/>
          <w:b/>
          <w:kern w:val="10"/>
          <w:sz w:val="24"/>
          <w:szCs w:val="24"/>
          <w:highlight w:val="none"/>
          <w:lang w:val="en-US" w:eastAsia="zh-CN" w:bidi="ar-SA"/>
        </w:rPr>
        <w:t>1.5.1 化学成分</w:t>
      </w:r>
      <w:bookmarkEnd w:id="7"/>
    </w:p>
    <w:p w14:paraId="31312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szCs w:val="24"/>
          <w:highlight w:val="none"/>
          <w:lang w:val="en-US" w:eastAsia="zh-CN" w:bidi="ar-SA"/>
        </w:rPr>
        <w:t>1.5.1.1 化学成分分析方法应符合GB/T 20975（所有部分）或GB/T 7999的规定。</w:t>
      </w:r>
    </w:p>
    <w:p w14:paraId="6D896C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1.5.1.2 分析数值的判定采用修约比较法,数值修约规则按GB/T 8170的有关规定进行,修约数位应与表规定的极限数位一致。</w:t>
      </w:r>
    </w:p>
    <w:p w14:paraId="01514C22">
      <w:pPr>
        <w:keepNext w:val="0"/>
        <w:keepLines w:val="0"/>
        <w:pageBreakBefore w:val="0"/>
        <w:widowControl w:val="0"/>
        <w:tabs>
          <w:tab w:val="center" w:pos="4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</w:pPr>
      <w:bookmarkStart w:id="8" w:name="_Toc27477"/>
      <w:r>
        <w:rPr>
          <w:rFonts w:hint="eastAsia" w:ascii="宋体" w:hAnsi="宋体" w:eastAsia="宋体" w:cs="宋体"/>
          <w:b/>
          <w:bCs w:val="0"/>
          <w:kern w:val="10"/>
          <w:sz w:val="24"/>
          <w:lang w:val="en-US" w:eastAsia="zh-CN"/>
        </w:rPr>
        <w:t>1.6 标志、标签和随行文件</w:t>
      </w:r>
      <w:bookmarkEnd w:id="8"/>
    </w:p>
    <w:p w14:paraId="645789C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lang w:val="en-US" w:eastAsia="zh-CN" w:bidi="ar-SA"/>
        </w:rPr>
        <w:t>1.6.1 标志</w:t>
      </w:r>
    </w:p>
    <w:p w14:paraId="2B153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包装袋上应标明：产品名称、产品执行标准号、产品批号、净含量、生产企业名称和地址。</w:t>
      </w:r>
    </w:p>
    <w:p w14:paraId="63B103F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7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40" w:lineRule="exact"/>
        <w:ind w:right="0" w:rightChars="0"/>
        <w:jc w:val="left"/>
        <w:textAlignment w:val="auto"/>
        <w:rPr>
          <w:rFonts w:hint="eastAsia" w:cs="Times New Roman"/>
          <w:b/>
          <w:kern w:val="10"/>
          <w:sz w:val="24"/>
          <w:szCs w:val="24"/>
          <w:highlight w:val="none"/>
          <w:lang w:val="en-US" w:eastAsia="zh-CN" w:bidi="ar-SA"/>
        </w:rPr>
      </w:pPr>
      <w:r>
        <w:rPr>
          <w:rFonts w:hint="eastAsia" w:cs="Times New Roman"/>
          <w:b/>
          <w:kern w:val="10"/>
          <w:sz w:val="24"/>
          <w:szCs w:val="24"/>
          <w:highlight w:val="none"/>
          <w:lang w:val="en-US" w:eastAsia="zh-CN" w:bidi="ar-SA"/>
        </w:rPr>
        <w:t>1.6.2 随行文件</w:t>
      </w:r>
    </w:p>
    <w:p w14:paraId="51881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每批产品应附有质量证明书等，应注明：①供方信息；②产品名称和牌号；③批号、净含量；④分析检验结果及供方技术(质量)监督部门印记；⑤执行标准号；⑥生产日期或包装日期。</w:t>
      </w:r>
    </w:p>
    <w:p w14:paraId="10510B82">
      <w:pPr>
        <w:keepNext w:val="0"/>
        <w:keepLines w:val="0"/>
        <w:pageBreakBefore w:val="0"/>
        <w:widowControl w:val="0"/>
        <w:tabs>
          <w:tab w:val="center" w:pos="4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</w:pPr>
      <w:bookmarkStart w:id="9" w:name="_Toc13235"/>
      <w:r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  <w:t>1.7 运输和贮存</w:t>
      </w:r>
      <w:bookmarkEnd w:id="9"/>
    </w:p>
    <w:p w14:paraId="74A0F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1.7.1 铝钛硼用干燥木质托盘盛装,表面用整体的塑料布包裹后,再用高强度塑料包装带捆扎,应保证不散捆。</w:t>
      </w:r>
    </w:p>
    <w:p w14:paraId="53DA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1.7.2 产品发运时，车厢内应清扫干净或铺垫防护材料。不同牌号的产品不应混装。</w:t>
      </w:r>
    </w:p>
    <w:p w14:paraId="649C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1.7.3 产品应分批堆放在清洁、干燥的仓库内，不应污染。</w:t>
      </w:r>
    </w:p>
    <w:p w14:paraId="2C6F8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10"/>
          <w:sz w:val="24"/>
          <w:highlight w:val="none"/>
          <w:lang w:val="en-US" w:eastAsia="zh-CN"/>
        </w:rPr>
        <w:t>1.7.4 产品运输过程应做好防雨、防潮、防腐蚀。</w:t>
      </w:r>
    </w:p>
    <w:p w14:paraId="1E5F2F8E">
      <w:pPr>
        <w:keepNext w:val="0"/>
        <w:keepLines w:val="0"/>
        <w:pageBreakBefore w:val="0"/>
        <w:widowControl w:val="0"/>
        <w:tabs>
          <w:tab w:val="center" w:pos="4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1"/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</w:pPr>
      <w:bookmarkStart w:id="10" w:name="_Toc13881"/>
      <w:r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  <w:t>1</w:t>
      </w:r>
      <w:bookmarkStart w:id="11" w:name="_GoBack"/>
      <w:bookmarkEnd w:id="11"/>
      <w:r>
        <w:rPr>
          <w:rFonts w:hint="eastAsia" w:ascii="宋体" w:hAnsi="宋体" w:eastAsia="宋体" w:cs="宋体"/>
          <w:b/>
          <w:bCs w:val="0"/>
          <w:kern w:val="10"/>
          <w:sz w:val="24"/>
          <w:highlight w:val="none"/>
          <w:lang w:val="en-US" w:eastAsia="zh-CN"/>
        </w:rPr>
        <w:t>.8 扣款细则</w:t>
      </w:r>
      <w:bookmarkEnd w:id="10"/>
    </w:p>
    <w:p w14:paraId="183085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当供方供应的铝钛硼不合格时，如需方同意接收使用的，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按以下扣款细则进行扣款，否则进行退货处理。 </w:t>
      </w:r>
    </w:p>
    <w:p w14:paraId="17659162">
      <w:pPr>
        <w:pStyle w:val="4"/>
        <w:keepNext w:val="0"/>
        <w:keepLines w:val="0"/>
        <w:pageBreakBefore w:val="0"/>
        <w:widowControl w:val="0"/>
        <w:tabs>
          <w:tab w:val="left" w:pos="3330"/>
        </w:tabs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10"/>
          <w:sz w:val="24"/>
          <w:szCs w:val="24"/>
          <w:highlight w:val="none"/>
          <w:lang w:val="en-US" w:eastAsia="zh-CN" w:bidi="ar-SA"/>
        </w:rPr>
        <w:t>表2：铝钛硼扣款细则</w:t>
      </w:r>
    </w:p>
    <w:tbl>
      <w:tblPr>
        <w:tblStyle w:val="6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70"/>
        <w:gridCol w:w="1755"/>
        <w:gridCol w:w="2535"/>
        <w:gridCol w:w="1596"/>
      </w:tblGrid>
      <w:tr w14:paraId="1CFE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828" w:type="dxa"/>
            <w:gridSpan w:val="5"/>
            <w:vAlign w:val="center"/>
          </w:tcPr>
          <w:p w14:paraId="33D4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铝钛硼扣款细则</w:t>
            </w:r>
          </w:p>
        </w:tc>
      </w:tr>
      <w:tr w14:paraId="37D8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2" w:type="dxa"/>
            <w:vAlign w:val="center"/>
          </w:tcPr>
          <w:p w14:paraId="1D3A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vAlign w:val="center"/>
          </w:tcPr>
          <w:p w14:paraId="03A1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子项</w:t>
            </w:r>
          </w:p>
        </w:tc>
        <w:tc>
          <w:tcPr>
            <w:tcW w:w="1755" w:type="dxa"/>
            <w:vAlign w:val="center"/>
          </w:tcPr>
          <w:p w14:paraId="1721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2535" w:type="dxa"/>
            <w:vAlign w:val="center"/>
          </w:tcPr>
          <w:p w14:paraId="2F8E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降级扣款规定</w:t>
            </w:r>
          </w:p>
        </w:tc>
        <w:tc>
          <w:tcPr>
            <w:tcW w:w="1596" w:type="dxa"/>
            <w:vAlign w:val="center"/>
          </w:tcPr>
          <w:p w14:paraId="1F40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扣款</w:t>
            </w:r>
          </w:p>
        </w:tc>
      </w:tr>
      <w:tr w14:paraId="3D2F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72" w:type="dxa"/>
            <w:vAlign w:val="center"/>
          </w:tcPr>
          <w:p w14:paraId="2688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0" w:type="dxa"/>
            <w:vAlign w:val="center"/>
          </w:tcPr>
          <w:p w14:paraId="3F81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755" w:type="dxa"/>
            <w:vAlign w:val="center"/>
          </w:tcPr>
          <w:p w14:paraId="43046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default"/>
                <w:color w:val="000000" w:themeColor="text1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≤0.30</w:t>
            </w:r>
          </w:p>
        </w:tc>
        <w:tc>
          <w:tcPr>
            <w:tcW w:w="2535" w:type="dxa"/>
            <w:vAlign w:val="center"/>
          </w:tcPr>
          <w:p w14:paraId="32B4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每高于要求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1596" w:type="dxa"/>
            <w:vAlign w:val="center"/>
          </w:tcPr>
          <w:p w14:paraId="058E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</w:tr>
      <w:tr w14:paraId="3573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72" w:type="dxa"/>
            <w:vAlign w:val="center"/>
          </w:tcPr>
          <w:p w14:paraId="06E2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0" w:type="dxa"/>
            <w:vAlign w:val="center"/>
          </w:tcPr>
          <w:p w14:paraId="01EC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755" w:type="dxa"/>
            <w:vAlign w:val="center"/>
          </w:tcPr>
          <w:p w14:paraId="01E42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2535" w:type="dxa"/>
            <w:vAlign w:val="center"/>
          </w:tcPr>
          <w:p w14:paraId="6879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每高于或低于要求0.1</w:t>
            </w:r>
          </w:p>
        </w:tc>
        <w:tc>
          <w:tcPr>
            <w:tcW w:w="1596" w:type="dxa"/>
            <w:vAlign w:val="center"/>
          </w:tcPr>
          <w:p w14:paraId="099C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100元/吨</w:t>
            </w:r>
          </w:p>
        </w:tc>
      </w:tr>
      <w:tr w14:paraId="357F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72" w:type="dxa"/>
            <w:vAlign w:val="center"/>
          </w:tcPr>
          <w:p w14:paraId="1016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0" w:type="dxa"/>
            <w:vAlign w:val="center"/>
          </w:tcPr>
          <w:p w14:paraId="58A5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755" w:type="dxa"/>
            <w:vAlign w:val="center"/>
          </w:tcPr>
          <w:p w14:paraId="109EF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2535" w:type="dxa"/>
            <w:vAlign w:val="center"/>
          </w:tcPr>
          <w:p w14:paraId="5925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每高于或低于要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1596" w:type="dxa"/>
            <w:vAlign w:val="center"/>
          </w:tcPr>
          <w:p w14:paraId="60FC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100元/吨</w:t>
            </w:r>
          </w:p>
        </w:tc>
      </w:tr>
      <w:tr w14:paraId="605F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72" w:type="dxa"/>
            <w:vAlign w:val="center"/>
          </w:tcPr>
          <w:p w14:paraId="449D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0" w:type="dxa"/>
            <w:vAlign w:val="center"/>
          </w:tcPr>
          <w:p w14:paraId="0E87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755" w:type="dxa"/>
            <w:vAlign w:val="center"/>
          </w:tcPr>
          <w:p w14:paraId="21C92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≤0.20</w:t>
            </w:r>
          </w:p>
        </w:tc>
        <w:tc>
          <w:tcPr>
            <w:tcW w:w="2535" w:type="dxa"/>
            <w:vAlign w:val="center"/>
          </w:tcPr>
          <w:p w14:paraId="17E3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每高于要求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1596" w:type="dxa"/>
            <w:vAlign w:val="center"/>
          </w:tcPr>
          <w:p w14:paraId="23BA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</w:tr>
      <w:tr w14:paraId="5B48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2" w:type="dxa"/>
            <w:vAlign w:val="center"/>
          </w:tcPr>
          <w:p w14:paraId="2D63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0" w:type="dxa"/>
            <w:vAlign w:val="center"/>
          </w:tcPr>
          <w:p w14:paraId="4FBB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外观质量</w:t>
            </w:r>
          </w:p>
        </w:tc>
        <w:tc>
          <w:tcPr>
            <w:tcW w:w="5886" w:type="dxa"/>
            <w:gridSpan w:val="3"/>
            <w:vAlign w:val="center"/>
          </w:tcPr>
          <w:p w14:paraId="2E04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strike/>
                <w:dstrike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外观不合格，经需方评审可使用的，扣50元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/吨，不能使用的，退货处理。</w:t>
            </w:r>
          </w:p>
        </w:tc>
      </w:tr>
      <w:tr w14:paraId="2AA5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828" w:type="dxa"/>
            <w:gridSpan w:val="5"/>
            <w:vAlign w:val="center"/>
          </w:tcPr>
          <w:p w14:paraId="552A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42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注：降级扣款时，不足0.02按0.02标准扣款；不足0.05按0.05标准扣款；不足0.1按0.1标准扣款。</w:t>
            </w:r>
          </w:p>
        </w:tc>
      </w:tr>
    </w:tbl>
    <w:p w14:paraId="73BE9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9"/>
      <w:szCs w:val="19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autoRedefine/>
    <w:qFormat/>
    <w:uiPriority w:val="0"/>
    <w:rPr>
      <w:b/>
      <w:kern w:val="44"/>
      <w:sz w:val="44"/>
    </w:rPr>
  </w:style>
  <w:style w:type="paragraph" w:styleId="9">
    <w:name w:val="List Paragraph"/>
    <w:basedOn w:val="1"/>
    <w:autoRedefine/>
    <w:qFormat/>
    <w:uiPriority w:val="1"/>
    <w:pPr>
      <w:ind w:left="657" w:hanging="587"/>
    </w:pPr>
    <w:rPr>
      <w:rFonts w:ascii="宋体" w:hAnsi="宋体" w:eastAsia="宋体" w:cs="宋体"/>
    </w:rPr>
  </w:style>
  <w:style w:type="paragraph" w:customStyle="1" w:styleId="10">
    <w:name w:val="Default"/>
    <w:basedOn w:val="1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1">
    <w:name w:val="纯文本1"/>
    <w:basedOn w:val="1"/>
    <w:autoRedefine/>
    <w:qFormat/>
    <w:uiPriority w:val="0"/>
    <w:pPr>
      <w:textAlignment w:val="baseline"/>
    </w:pPr>
    <w:rPr>
      <w:rFonts w:hAnsi="Courier New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2026-07-06T07:01:20Z</dcterms:created>
  <dc:creator>Administrator</dc:creator>
  <cp:lastModifiedBy>﹏key</cp:lastModifiedBy>
  <dcterms:modified xsi:type="dcterms:W3CDTF">2026-07-06T07:07:48Z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eyJoZGlkIjoiYTkwZTdjNDk4YTZkNTI1Yjk1OWM1MzE0MTEzODM5MzMiLCJ1c2VySWQiOiIyMzU0NzA5OTYifQ==</vt:lpwstr>
  </property>
  <property fmtid="{D5CDD505-2E9C-101B-9397-08002B2CF9AE}" pid="4" name="ICV">
    <vt:lpwstr>AA08C701C8E942E9B172EF470D1F2C4F_12</vt:lpwstr>
  </property>
</Properties>
</file>