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 w:line="224" w:lineRule="auto"/>
        <w:jc w:val="center"/>
        <w:rPr>
          <w:rFonts w:ascii="宋体" w:hAnsi="宋体" w:eastAsia="宋体" w:cs="宋体"/>
          <w:sz w:val="35"/>
          <w:szCs w:val="35"/>
        </w:rPr>
      </w:pPr>
      <w:r>
        <w:rPr>
          <w:rFonts w:hint="eastAsia" w:ascii="宋体" w:hAnsi="宋体" w:eastAsia="宋体" w:cs="宋体"/>
          <w:b/>
          <w:bCs/>
          <w:spacing w:val="6"/>
          <w:sz w:val="35"/>
          <w:szCs w:val="35"/>
          <w:lang w:eastAsia="zh-CN"/>
        </w:rPr>
        <w:t>靖西市锰矿有限责任公司碳酸锰矿石入厂</w:t>
      </w:r>
      <w:r>
        <w:rPr>
          <w:rFonts w:ascii="宋体" w:hAnsi="宋体" w:eastAsia="宋体" w:cs="宋体"/>
          <w:b/>
          <w:bCs/>
          <w:spacing w:val="6"/>
          <w:sz w:val="35"/>
          <w:szCs w:val="35"/>
        </w:rPr>
        <w:t>质量标准</w:t>
      </w:r>
    </w:p>
    <w:p>
      <w:pPr>
        <w:spacing w:before="132" w:line="221" w:lineRule="auto"/>
        <w:ind w:left="21"/>
        <w:jc w:val="center"/>
        <w:outlineLvl w:val="0"/>
        <w:rPr>
          <w:rFonts w:hint="eastAsia" w:ascii="黑体" w:hAnsi="黑体" w:eastAsia="黑体" w:cs="黑体"/>
          <w:color w:val="0000FF"/>
          <w:spacing w:val="-4"/>
          <w:sz w:val="24"/>
          <w:szCs w:val="24"/>
          <w:lang w:eastAsia="zh-CN"/>
        </w:rPr>
      </w:pPr>
      <w:bookmarkStart w:id="0" w:name="bookmark120"/>
      <w:bookmarkEnd w:id="0"/>
      <w:bookmarkStart w:id="9" w:name="_GoBack"/>
      <w:r>
        <w:rPr>
          <w:rFonts w:hint="eastAsia" w:ascii="黑体" w:hAnsi="黑体" w:eastAsia="黑体" w:cs="黑体"/>
          <w:color w:val="0000FF"/>
          <w:spacing w:val="-4"/>
          <w:sz w:val="24"/>
          <w:szCs w:val="24"/>
          <w:lang w:eastAsia="zh-CN"/>
        </w:rPr>
        <w:t>（</w:t>
      </w:r>
      <w:r>
        <w:rPr>
          <w:rFonts w:hint="eastAsia" w:ascii="黑体" w:hAnsi="黑体" w:eastAsia="黑体" w:cs="黑体"/>
          <w:color w:val="0000FF"/>
          <w:spacing w:val="-4"/>
          <w:sz w:val="24"/>
          <w:szCs w:val="24"/>
          <w:lang w:val="en-US" w:eastAsia="zh-CN"/>
        </w:rPr>
        <w:t>初稿，以后续定稿为准</w:t>
      </w:r>
      <w:r>
        <w:rPr>
          <w:rFonts w:hint="eastAsia" w:ascii="黑体" w:hAnsi="黑体" w:eastAsia="黑体" w:cs="黑体"/>
          <w:color w:val="0000FF"/>
          <w:spacing w:val="-4"/>
          <w:sz w:val="24"/>
          <w:szCs w:val="24"/>
          <w:lang w:eastAsia="zh-CN"/>
        </w:rPr>
        <w:t>）</w:t>
      </w:r>
    </w:p>
    <w:bookmarkEnd w:id="9"/>
    <w:p>
      <w:pPr>
        <w:keepNext w:val="0"/>
        <w:keepLines w:val="0"/>
        <w:pageBreakBefore w:val="0"/>
        <w:widowControl/>
        <w:kinsoku w:val="0"/>
        <w:wordWrap/>
        <w:overflowPunct/>
        <w:topLinePunct w:val="0"/>
        <w:autoSpaceDE w:val="0"/>
        <w:autoSpaceDN w:val="0"/>
        <w:bidi w:val="0"/>
        <w:adjustRightInd w:val="0"/>
        <w:snapToGrid w:val="0"/>
        <w:spacing w:before="132" w:line="360" w:lineRule="auto"/>
        <w:ind w:left="21"/>
        <w:textAlignment w:val="baseline"/>
        <w:outlineLvl w:val="0"/>
        <w:rPr>
          <w:rFonts w:ascii="黑体" w:hAnsi="黑体" w:eastAsia="黑体" w:cs="黑体"/>
          <w:b/>
          <w:bCs/>
          <w:sz w:val="24"/>
          <w:szCs w:val="24"/>
        </w:rPr>
      </w:pPr>
      <w:r>
        <w:rPr>
          <w:rFonts w:ascii="黑体" w:hAnsi="黑体" w:eastAsia="黑体" w:cs="黑体"/>
          <w:b/>
          <w:bCs/>
          <w:spacing w:val="-4"/>
          <w:sz w:val="24"/>
          <w:szCs w:val="24"/>
        </w:rPr>
        <w:t>1 碳酸锰矿石</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27"/>
        <w:textAlignment w:val="baseline"/>
        <w:outlineLvl w:val="0"/>
        <w:rPr>
          <w:rFonts w:ascii="宋体" w:hAnsi="宋体" w:eastAsia="宋体" w:cs="宋体"/>
          <w:sz w:val="24"/>
          <w:szCs w:val="24"/>
        </w:rPr>
      </w:pPr>
      <w:bookmarkStart w:id="1" w:name="bookmark121"/>
      <w:bookmarkEnd w:id="1"/>
      <w:r>
        <w:rPr>
          <w:rFonts w:ascii="宋体" w:hAnsi="宋体" w:eastAsia="宋体" w:cs="宋体"/>
          <w:b/>
          <w:bCs/>
          <w:spacing w:val="-11"/>
          <w:sz w:val="24"/>
          <w:szCs w:val="24"/>
        </w:rPr>
        <w:t>1.1</w:t>
      </w:r>
      <w:r>
        <w:rPr>
          <w:rFonts w:ascii="宋体" w:hAnsi="宋体" w:eastAsia="宋体" w:cs="宋体"/>
          <w:spacing w:val="16"/>
          <w:sz w:val="24"/>
          <w:szCs w:val="24"/>
        </w:rPr>
        <w:t xml:space="preserve"> </w:t>
      </w:r>
      <w:r>
        <w:rPr>
          <w:rFonts w:ascii="宋体" w:hAnsi="宋体" w:eastAsia="宋体" w:cs="宋体"/>
          <w:b/>
          <w:bCs/>
          <w:spacing w:val="-11"/>
          <w:sz w:val="24"/>
          <w:szCs w:val="24"/>
        </w:rPr>
        <w:t>范围</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13" w:right="61" w:firstLine="477"/>
        <w:textAlignment w:val="baseline"/>
        <w:rPr>
          <w:rFonts w:ascii="宋体" w:hAnsi="宋体" w:eastAsia="宋体" w:cs="宋体"/>
          <w:spacing w:val="0"/>
          <w:sz w:val="24"/>
          <w:szCs w:val="24"/>
        </w:rPr>
      </w:pPr>
      <w:r>
        <w:rPr>
          <w:rFonts w:ascii="宋体" w:hAnsi="宋体" w:eastAsia="宋体" w:cs="宋体"/>
          <w:spacing w:val="0"/>
          <w:sz w:val="24"/>
          <w:szCs w:val="24"/>
        </w:rPr>
        <w:t>本标准规定了碳酸锰矿石的技术要求、检验规则、取样、试验方法等内容。适用于公司采购碳酸锰矿石质量技术要求、质量检验及质量验证。</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textAlignment w:val="baseline"/>
        <w:outlineLvl w:val="0"/>
        <w:rPr>
          <w:rFonts w:ascii="宋体" w:hAnsi="宋体" w:eastAsia="宋体" w:cs="宋体"/>
          <w:spacing w:val="0"/>
          <w:sz w:val="24"/>
          <w:szCs w:val="24"/>
        </w:rPr>
      </w:pPr>
      <w:bookmarkStart w:id="2" w:name="bookmark3"/>
      <w:bookmarkEnd w:id="2"/>
      <w:r>
        <w:rPr>
          <w:rFonts w:ascii="宋体" w:hAnsi="宋体" w:eastAsia="宋体" w:cs="宋体"/>
          <w:b/>
          <w:bCs/>
          <w:spacing w:val="0"/>
          <w:sz w:val="24"/>
          <w:szCs w:val="24"/>
        </w:rPr>
        <w:t>1.2</w:t>
      </w:r>
      <w:r>
        <w:rPr>
          <w:rFonts w:ascii="宋体" w:hAnsi="宋体" w:eastAsia="宋体" w:cs="宋体"/>
          <w:spacing w:val="0"/>
          <w:sz w:val="24"/>
          <w:szCs w:val="24"/>
        </w:rPr>
        <w:t xml:space="preserve"> </w:t>
      </w:r>
      <w:r>
        <w:rPr>
          <w:rFonts w:ascii="宋体" w:hAnsi="宋体" w:eastAsia="宋体" w:cs="宋体"/>
          <w:b/>
          <w:bCs/>
          <w:spacing w:val="0"/>
          <w:sz w:val="24"/>
          <w:szCs w:val="24"/>
        </w:rPr>
        <w:t>规范性引用文件</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11" w:right="61" w:firstLine="485"/>
        <w:jc w:val="both"/>
        <w:textAlignment w:val="baseline"/>
        <w:rPr>
          <w:rFonts w:ascii="宋体" w:hAnsi="宋体" w:eastAsia="宋体" w:cs="宋体"/>
          <w:spacing w:val="0"/>
          <w:sz w:val="24"/>
          <w:szCs w:val="24"/>
        </w:rPr>
      </w:pPr>
      <w:r>
        <w:rPr>
          <w:rFonts w:ascii="宋体" w:hAnsi="宋体" w:eastAsia="宋体" w:cs="宋体"/>
          <w:spacing w:val="0"/>
          <w:sz w:val="24"/>
          <w:szCs w:val="24"/>
        </w:rPr>
        <w:t>下列文件中，除正在执行的合同中有明确规定外；其最新版本（包括所有的修改单）适用于本标准。该部分标准的引用，包括（但不限于）取样方法、检测方法、重复性、再现性、数值修约等规定要求。</w:t>
      </w:r>
    </w:p>
    <w:p>
      <w:pPr>
        <w:keepNext w:val="0"/>
        <w:keepLines w:val="0"/>
        <w:pageBreakBefore w:val="0"/>
        <w:widowControl/>
        <w:kinsoku w:val="0"/>
        <w:wordWrap/>
        <w:overflowPunct/>
        <w:topLinePunct w:val="0"/>
        <w:autoSpaceDE w:val="0"/>
        <w:autoSpaceDN w:val="0"/>
        <w:bidi w:val="0"/>
        <w:adjustRightInd w:val="0"/>
        <w:snapToGrid w:val="0"/>
        <w:spacing w:before="2" w:line="360" w:lineRule="auto"/>
        <w:ind w:left="486" w:right="61" w:firstLine="2"/>
        <w:textAlignment w:val="baseline"/>
        <w:rPr>
          <w:rFonts w:ascii="宋体" w:hAnsi="宋体" w:eastAsia="宋体" w:cs="宋体"/>
          <w:spacing w:val="0"/>
          <w:sz w:val="24"/>
          <w:szCs w:val="24"/>
        </w:rPr>
      </w:pPr>
      <w:r>
        <w:rPr>
          <w:rFonts w:ascii="宋体" w:hAnsi="宋体" w:eastAsia="宋体" w:cs="宋体"/>
          <w:spacing w:val="0"/>
          <w:sz w:val="24"/>
          <w:szCs w:val="24"/>
        </w:rPr>
        <w:t>锰矿石物相分析方法[I].地质出版社《岩石矿物分析》（第四版），2011：856-858 GB/T 1506-2016 锰矿石 锰含量的测定 电位滴定法和硫酸亚铁铵滴定法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6"/>
        <w:textAlignment w:val="baseline"/>
        <w:rPr>
          <w:rFonts w:ascii="宋体" w:hAnsi="宋体" w:eastAsia="宋体" w:cs="宋体"/>
          <w:spacing w:val="0"/>
          <w:sz w:val="24"/>
          <w:szCs w:val="24"/>
        </w:rPr>
      </w:pPr>
      <w:r>
        <w:rPr>
          <w:rFonts w:ascii="宋体" w:hAnsi="宋体" w:eastAsia="宋体" w:cs="宋体"/>
          <w:spacing w:val="0"/>
          <w:sz w:val="24"/>
          <w:szCs w:val="24"/>
        </w:rPr>
        <w:t>GB/T 8170数值修约规则与极限数值的表示和判定</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486"/>
        <w:textAlignment w:val="baseline"/>
        <w:rPr>
          <w:rFonts w:ascii="宋体" w:hAnsi="宋体" w:eastAsia="宋体" w:cs="宋体"/>
          <w:spacing w:val="0"/>
          <w:sz w:val="24"/>
          <w:szCs w:val="24"/>
        </w:rPr>
      </w:pPr>
      <w:r>
        <w:rPr>
          <w:rFonts w:ascii="宋体" w:hAnsi="宋体" w:eastAsia="宋体" w:cs="宋体"/>
          <w:spacing w:val="0"/>
          <w:sz w:val="24"/>
          <w:szCs w:val="24"/>
        </w:rPr>
        <w:t>GB/T 6682分析实验室用水规格和试验方法</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486"/>
        <w:textAlignment w:val="baseline"/>
        <w:rPr>
          <w:rFonts w:ascii="宋体" w:hAnsi="宋体" w:eastAsia="宋体" w:cs="宋体"/>
          <w:spacing w:val="0"/>
          <w:sz w:val="24"/>
          <w:szCs w:val="24"/>
        </w:rPr>
      </w:pPr>
      <w:r>
        <w:rPr>
          <w:rFonts w:ascii="宋体" w:hAnsi="宋体" w:eastAsia="宋体" w:cs="宋体"/>
          <w:spacing w:val="0"/>
          <w:sz w:val="24"/>
          <w:szCs w:val="24"/>
        </w:rPr>
        <w:t>GB/T 601化学试剂标准滴定溶液的制备</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486"/>
        <w:textAlignment w:val="baseline"/>
        <w:rPr>
          <w:rFonts w:ascii="宋体" w:hAnsi="宋体" w:eastAsia="宋体" w:cs="宋体"/>
          <w:spacing w:val="0"/>
          <w:sz w:val="24"/>
          <w:szCs w:val="24"/>
        </w:rPr>
      </w:pPr>
      <w:r>
        <w:rPr>
          <w:rFonts w:ascii="宋体" w:hAnsi="宋体" w:eastAsia="宋体" w:cs="宋体"/>
          <w:spacing w:val="0"/>
          <w:sz w:val="24"/>
          <w:szCs w:val="24"/>
        </w:rPr>
        <w:t>GB/T 2011散装锰矿石取样、制样方法</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486"/>
        <w:textAlignment w:val="baseline"/>
        <w:rPr>
          <w:rFonts w:ascii="宋体" w:hAnsi="宋体" w:eastAsia="宋体" w:cs="宋体"/>
          <w:spacing w:val="0"/>
          <w:sz w:val="24"/>
          <w:szCs w:val="24"/>
        </w:rPr>
      </w:pPr>
      <w:r>
        <w:rPr>
          <w:rFonts w:ascii="宋体" w:hAnsi="宋体" w:eastAsia="宋体" w:cs="宋体"/>
          <w:spacing w:val="0"/>
          <w:sz w:val="24"/>
          <w:szCs w:val="24"/>
        </w:rPr>
        <w:t>GB/T 29516-2013锰矿石 水分含量测定</w:t>
      </w:r>
    </w:p>
    <w:p>
      <w:pPr>
        <w:keepNext w:val="0"/>
        <w:keepLines w:val="0"/>
        <w:pageBreakBefore w:val="0"/>
        <w:widowControl/>
        <w:kinsoku w:val="0"/>
        <w:wordWrap/>
        <w:overflowPunct/>
        <w:topLinePunct w:val="0"/>
        <w:autoSpaceDE w:val="0"/>
        <w:autoSpaceDN w:val="0"/>
        <w:bidi w:val="0"/>
        <w:adjustRightInd w:val="0"/>
        <w:snapToGrid w:val="0"/>
        <w:spacing w:before="157" w:line="360" w:lineRule="auto"/>
        <w:ind w:left="27"/>
        <w:textAlignment w:val="baseline"/>
        <w:outlineLvl w:val="0"/>
        <w:rPr>
          <w:rFonts w:ascii="宋体" w:hAnsi="宋体" w:eastAsia="宋体" w:cs="宋体"/>
          <w:spacing w:val="0"/>
          <w:sz w:val="24"/>
          <w:szCs w:val="24"/>
        </w:rPr>
      </w:pPr>
      <w:bookmarkStart w:id="3" w:name="bookmark4"/>
      <w:bookmarkEnd w:id="3"/>
      <w:r>
        <w:rPr>
          <w:rFonts w:ascii="宋体" w:hAnsi="宋体" w:eastAsia="宋体" w:cs="宋体"/>
          <w:b/>
          <w:bCs/>
          <w:spacing w:val="0"/>
          <w:sz w:val="24"/>
          <w:szCs w:val="24"/>
        </w:rPr>
        <w:t>1.3</w:t>
      </w:r>
      <w:r>
        <w:rPr>
          <w:rFonts w:ascii="宋体" w:hAnsi="宋体" w:eastAsia="宋体" w:cs="宋体"/>
          <w:spacing w:val="0"/>
          <w:sz w:val="24"/>
          <w:szCs w:val="24"/>
        </w:rPr>
        <w:t xml:space="preserve"> </w:t>
      </w:r>
      <w:r>
        <w:rPr>
          <w:rFonts w:ascii="宋体" w:hAnsi="宋体" w:eastAsia="宋体" w:cs="宋体"/>
          <w:b/>
          <w:bCs/>
          <w:spacing w:val="0"/>
          <w:sz w:val="24"/>
          <w:szCs w:val="24"/>
        </w:rPr>
        <w:t>质量等级、规格型号要求</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8" w:right="63" w:firstLine="480"/>
        <w:jc w:val="both"/>
        <w:textAlignment w:val="baseline"/>
        <w:rPr>
          <w:rFonts w:ascii="宋体" w:hAnsi="宋体" w:eastAsia="宋体" w:cs="宋体"/>
          <w:spacing w:val="0"/>
          <w:sz w:val="24"/>
          <w:szCs w:val="24"/>
        </w:rPr>
      </w:pPr>
      <w:r>
        <w:rPr>
          <w:rFonts w:ascii="宋体" w:hAnsi="宋体" w:eastAsia="宋体" w:cs="宋体"/>
          <w:spacing w:val="0"/>
          <w:sz w:val="24"/>
          <w:szCs w:val="24"/>
        </w:rPr>
        <w:t>碳酸锰矿石Mn</w:t>
      </w:r>
      <w:r>
        <w:rPr>
          <w:rFonts w:ascii="宋体" w:hAnsi="宋体" w:eastAsia="宋体" w:cs="宋体"/>
          <w:spacing w:val="0"/>
          <w:position w:val="11"/>
          <w:sz w:val="24"/>
          <w:szCs w:val="24"/>
        </w:rPr>
        <w:t>2+</w:t>
      </w:r>
      <w:r>
        <w:rPr>
          <w:rFonts w:ascii="宋体" w:hAnsi="宋体" w:eastAsia="宋体" w:cs="宋体"/>
          <w:spacing w:val="0"/>
          <w:sz w:val="24"/>
          <w:szCs w:val="24"/>
        </w:rPr>
        <w:t>含量以12%为基准（由于各矿源碳酸锰矿石Mn</w:t>
      </w:r>
      <w:r>
        <w:rPr>
          <w:rFonts w:ascii="宋体" w:hAnsi="宋体" w:eastAsia="宋体" w:cs="宋体"/>
          <w:spacing w:val="0"/>
          <w:position w:val="11"/>
          <w:sz w:val="24"/>
          <w:szCs w:val="24"/>
        </w:rPr>
        <w:t>2+</w:t>
      </w:r>
      <w:r>
        <w:rPr>
          <w:rFonts w:ascii="宋体" w:hAnsi="宋体" w:eastAsia="宋体" w:cs="宋体"/>
          <w:spacing w:val="0"/>
          <w:sz w:val="24"/>
          <w:szCs w:val="24"/>
        </w:rPr>
        <w:t>含量不一致，可根据矿源及生产运行情况，供需双方协商确定碳酸锰矿石Mn</w:t>
      </w:r>
      <w:r>
        <w:rPr>
          <w:rFonts w:ascii="宋体" w:hAnsi="宋体" w:eastAsia="宋体" w:cs="宋体"/>
          <w:spacing w:val="0"/>
          <w:position w:val="11"/>
          <w:sz w:val="24"/>
          <w:szCs w:val="24"/>
        </w:rPr>
        <w:t>2+</w:t>
      </w:r>
      <w:r>
        <w:rPr>
          <w:rFonts w:ascii="宋体" w:hAnsi="宋体" w:eastAsia="宋体" w:cs="宋体"/>
          <w:spacing w:val="0"/>
          <w:sz w:val="24"/>
          <w:szCs w:val="24"/>
        </w:rPr>
        <w:t>含量基准值，并在合同中明确注明），</w:t>
      </w:r>
      <w:r>
        <w:rPr>
          <w:rFonts w:ascii="宋体" w:hAnsi="宋体" w:eastAsia="宋体" w:cs="宋体"/>
          <w:b/>
          <w:bCs/>
          <w:sz w:val="24"/>
          <w:szCs w:val="24"/>
        </w:rPr>
        <w:t>同等条件下，优先采购靖西市湖润镇、大新县下雷镇</w:t>
      </w:r>
      <w:r>
        <w:rPr>
          <w:rFonts w:hint="eastAsia" w:ascii="宋体" w:hAnsi="宋体" w:eastAsia="宋体" w:cs="宋体"/>
          <w:b/>
          <w:bCs/>
          <w:sz w:val="24"/>
          <w:szCs w:val="24"/>
          <w:lang w:eastAsia="zh-CN"/>
        </w:rPr>
        <w:t>及</w:t>
      </w:r>
      <w:r>
        <w:rPr>
          <w:rStyle w:val="5"/>
          <w:rFonts w:ascii="宋体" w:hAnsi="宋体" w:eastAsia="宋体" w:cs="宋体"/>
          <w:b/>
          <w:bCs/>
          <w:color w:val="000000"/>
          <w:sz w:val="24"/>
          <w:szCs w:val="24"/>
        </w:rPr>
        <w:t>周边接壤乡镇</w:t>
      </w:r>
      <w:r>
        <w:rPr>
          <w:rFonts w:ascii="宋体" w:hAnsi="宋体" w:eastAsia="宋体" w:cs="宋体"/>
          <w:b/>
          <w:bCs/>
          <w:sz w:val="24"/>
          <w:szCs w:val="24"/>
        </w:rPr>
        <w:t>矿源</w:t>
      </w:r>
      <w:r>
        <w:rPr>
          <w:rFonts w:hint="eastAsia" w:ascii="宋体" w:hAnsi="宋体" w:eastAsia="宋体" w:cs="宋体"/>
          <w:spacing w:val="0"/>
          <w:sz w:val="24"/>
          <w:szCs w:val="24"/>
          <w:lang w:eastAsia="zh-CN"/>
        </w:rPr>
        <w:t>，</w:t>
      </w:r>
      <w:r>
        <w:rPr>
          <w:rFonts w:ascii="宋体" w:hAnsi="宋体" w:eastAsia="宋体" w:cs="宋体"/>
          <w:spacing w:val="0"/>
          <w:sz w:val="24"/>
          <w:szCs w:val="24"/>
        </w:rPr>
        <w:t>水分含量≤3%，颜色为灰、深灰。</w:t>
      </w:r>
    </w:p>
    <w:p>
      <w:pPr>
        <w:keepNext w:val="0"/>
        <w:keepLines w:val="0"/>
        <w:pageBreakBefore w:val="0"/>
        <w:widowControl/>
        <w:kinsoku w:val="0"/>
        <w:wordWrap/>
        <w:overflowPunct/>
        <w:topLinePunct w:val="0"/>
        <w:autoSpaceDE w:val="0"/>
        <w:autoSpaceDN w:val="0"/>
        <w:bidi w:val="0"/>
        <w:adjustRightInd w:val="0"/>
        <w:snapToGrid w:val="0"/>
        <w:spacing w:before="12" w:line="360" w:lineRule="auto"/>
        <w:ind w:left="27"/>
        <w:textAlignment w:val="baseline"/>
        <w:outlineLvl w:val="0"/>
        <w:rPr>
          <w:rFonts w:ascii="宋体" w:hAnsi="宋体" w:eastAsia="宋体" w:cs="宋体"/>
          <w:spacing w:val="0"/>
          <w:sz w:val="24"/>
          <w:szCs w:val="24"/>
        </w:rPr>
      </w:pPr>
      <w:bookmarkStart w:id="4" w:name="bookmark5"/>
      <w:bookmarkEnd w:id="4"/>
      <w:r>
        <w:rPr>
          <w:rFonts w:ascii="宋体" w:hAnsi="宋体" w:eastAsia="宋体" w:cs="宋体"/>
          <w:b/>
          <w:bCs/>
          <w:spacing w:val="0"/>
          <w:sz w:val="24"/>
          <w:szCs w:val="24"/>
        </w:rPr>
        <w:t>1.4</w:t>
      </w:r>
      <w:r>
        <w:rPr>
          <w:rFonts w:ascii="宋体" w:hAnsi="宋体" w:eastAsia="宋体" w:cs="宋体"/>
          <w:spacing w:val="0"/>
          <w:sz w:val="24"/>
          <w:szCs w:val="24"/>
        </w:rPr>
        <w:t xml:space="preserve"> </w:t>
      </w:r>
      <w:r>
        <w:rPr>
          <w:rFonts w:ascii="宋体" w:hAnsi="宋体" w:eastAsia="宋体" w:cs="宋体"/>
          <w:b/>
          <w:bCs/>
          <w:spacing w:val="0"/>
          <w:sz w:val="24"/>
          <w:szCs w:val="24"/>
        </w:rPr>
        <w:t>检验规则</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1.4.1</w:t>
      </w:r>
      <w:r>
        <w:rPr>
          <w:rFonts w:ascii="宋体" w:hAnsi="宋体" w:eastAsia="宋体" w:cs="宋体"/>
          <w:spacing w:val="0"/>
          <w:sz w:val="24"/>
          <w:szCs w:val="24"/>
        </w:rPr>
        <w:t xml:space="preserve"> </w:t>
      </w:r>
      <w:r>
        <w:rPr>
          <w:rFonts w:ascii="宋体" w:hAnsi="宋体" w:eastAsia="宋体" w:cs="宋体"/>
          <w:b/>
          <w:bCs/>
          <w:spacing w:val="0"/>
          <w:sz w:val="24"/>
          <w:szCs w:val="24"/>
        </w:rPr>
        <w:t>检测和验收</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jc w:val="both"/>
        <w:textAlignment w:val="baseline"/>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val="en-US" w:eastAsia="zh-CN"/>
        </w:rPr>
        <w:t xml:space="preserve">1.4.1.1  </w:t>
      </w:r>
      <w:r>
        <w:rPr>
          <w:rFonts w:ascii="宋体" w:hAnsi="宋体" w:eastAsia="宋体" w:cs="宋体"/>
          <w:spacing w:val="0"/>
          <w:sz w:val="24"/>
          <w:szCs w:val="24"/>
        </w:rPr>
        <w:t>碳酸锰矿石由供需双方对标检验。由供需双方共同取样，以</w:t>
      </w:r>
      <w:r>
        <w:rPr>
          <w:rFonts w:hint="eastAsia" w:ascii="宋体" w:hAnsi="宋体" w:eastAsia="宋体" w:cs="宋体"/>
          <w:spacing w:val="0"/>
          <w:sz w:val="24"/>
          <w:szCs w:val="24"/>
          <w:lang w:eastAsia="zh-CN"/>
        </w:rPr>
        <w:t>锰矿</w:t>
      </w:r>
      <w:r>
        <w:rPr>
          <w:rFonts w:ascii="宋体" w:hAnsi="宋体" w:eastAsia="宋体" w:cs="宋体"/>
          <w:spacing w:val="0"/>
          <w:sz w:val="24"/>
          <w:szCs w:val="24"/>
        </w:rPr>
        <w:t>公司检测结果为主要验收和结算依据。每批次碳酸锰矿石运输到</w:t>
      </w:r>
      <w:r>
        <w:rPr>
          <w:rFonts w:hint="eastAsia" w:ascii="宋体" w:hAnsi="宋体" w:eastAsia="宋体" w:cs="宋体"/>
          <w:spacing w:val="0"/>
          <w:sz w:val="24"/>
          <w:szCs w:val="24"/>
          <w:lang w:eastAsia="zh-CN"/>
        </w:rPr>
        <w:t>指定位置</w:t>
      </w:r>
      <w:r>
        <w:rPr>
          <w:rFonts w:ascii="宋体" w:hAnsi="宋体" w:eastAsia="宋体" w:cs="宋体"/>
          <w:spacing w:val="0"/>
          <w:sz w:val="24"/>
          <w:szCs w:val="24"/>
        </w:rPr>
        <w:t>后，以供需双方在</w:t>
      </w:r>
      <w:r>
        <w:rPr>
          <w:rFonts w:hint="eastAsia" w:ascii="宋体" w:hAnsi="宋体" w:eastAsia="宋体" w:cs="宋体"/>
          <w:spacing w:val="0"/>
          <w:sz w:val="24"/>
          <w:szCs w:val="24"/>
          <w:lang w:eastAsia="zh-CN"/>
        </w:rPr>
        <w:t>卸货</w:t>
      </w:r>
      <w:r>
        <w:rPr>
          <w:rFonts w:ascii="宋体" w:hAnsi="宋体" w:eastAsia="宋体" w:cs="宋体"/>
          <w:spacing w:val="0"/>
          <w:sz w:val="24"/>
          <w:szCs w:val="24"/>
        </w:rPr>
        <w:t>现场取样作为检测样品，双方对碳酸锰矿石 Mn</w:t>
      </w:r>
      <w:r>
        <w:rPr>
          <w:rFonts w:ascii="宋体" w:hAnsi="宋体" w:eastAsia="宋体" w:cs="宋体"/>
          <w:spacing w:val="0"/>
          <w:position w:val="11"/>
          <w:sz w:val="24"/>
          <w:szCs w:val="24"/>
        </w:rPr>
        <w:t>2+</w:t>
      </w:r>
      <w:r>
        <w:rPr>
          <w:rFonts w:ascii="宋体" w:hAnsi="宋体" w:eastAsia="宋体" w:cs="宋体"/>
          <w:spacing w:val="0"/>
          <w:sz w:val="24"/>
          <w:szCs w:val="24"/>
        </w:rPr>
        <w:t>含量的检测误差在0.3 度以内的，以</w:t>
      </w:r>
      <w:r>
        <w:rPr>
          <w:rFonts w:hint="eastAsia" w:ascii="宋体" w:hAnsi="宋体" w:eastAsia="宋体" w:cs="宋体"/>
          <w:spacing w:val="0"/>
          <w:sz w:val="24"/>
          <w:szCs w:val="24"/>
          <w:lang w:eastAsia="zh-CN"/>
        </w:rPr>
        <w:t>锰矿</w:t>
      </w:r>
      <w:r>
        <w:rPr>
          <w:rFonts w:ascii="宋体" w:hAnsi="宋体" w:eastAsia="宋体" w:cs="宋体"/>
          <w:spacing w:val="0"/>
          <w:sz w:val="24"/>
          <w:szCs w:val="24"/>
        </w:rPr>
        <w:t>公司检测数据</w:t>
      </w:r>
      <w:r>
        <w:rPr>
          <w:rFonts w:hint="eastAsia" w:ascii="宋体" w:hAnsi="宋体" w:eastAsia="宋体" w:cs="宋体"/>
          <w:spacing w:val="0"/>
          <w:sz w:val="24"/>
          <w:szCs w:val="24"/>
          <w:lang w:eastAsia="zh-CN"/>
        </w:rPr>
        <w:t>作为</w:t>
      </w:r>
      <w:r>
        <w:rPr>
          <w:rFonts w:ascii="宋体" w:hAnsi="宋体" w:eastAsia="宋体" w:cs="宋体"/>
          <w:spacing w:val="0"/>
          <w:sz w:val="24"/>
          <w:szCs w:val="24"/>
        </w:rPr>
        <w:t>结算依据,误差在0.3 度</w:t>
      </w:r>
      <w:r>
        <w:rPr>
          <w:rFonts w:ascii="微软雅黑" w:hAnsi="微软雅黑" w:eastAsia="微软雅黑" w:cs="微软雅黑"/>
          <w:spacing w:val="0"/>
          <w:sz w:val="24"/>
          <w:szCs w:val="24"/>
        </w:rPr>
        <w:t>~</w:t>
      </w:r>
      <w:r>
        <w:rPr>
          <w:rFonts w:ascii="宋体" w:hAnsi="宋体" w:eastAsia="宋体" w:cs="宋体"/>
          <w:spacing w:val="0"/>
          <w:sz w:val="24"/>
          <w:szCs w:val="24"/>
        </w:rPr>
        <w:t>0.5 度的，以双方检测平均值</w:t>
      </w:r>
      <w:r>
        <w:rPr>
          <w:rFonts w:hint="eastAsia" w:ascii="宋体" w:hAnsi="宋体" w:eastAsia="宋体" w:cs="宋体"/>
          <w:spacing w:val="0"/>
          <w:sz w:val="24"/>
          <w:szCs w:val="24"/>
          <w:lang w:eastAsia="zh-CN"/>
        </w:rPr>
        <w:t>作为</w:t>
      </w:r>
      <w:r>
        <w:rPr>
          <w:rFonts w:ascii="宋体" w:hAnsi="宋体" w:eastAsia="宋体" w:cs="宋体"/>
          <w:spacing w:val="0"/>
          <w:sz w:val="24"/>
          <w:szCs w:val="24"/>
        </w:rPr>
        <w:t>结算依据。误差超过0.5 度的，任何一方可以申请到双方认可的具有资质的第三方检测机构开封公样检测，以第三方检测机构的检测结果</w:t>
      </w:r>
      <w:r>
        <w:rPr>
          <w:rFonts w:hint="eastAsia" w:ascii="宋体" w:hAnsi="宋体" w:eastAsia="宋体" w:cs="宋体"/>
          <w:spacing w:val="0"/>
          <w:sz w:val="24"/>
          <w:szCs w:val="24"/>
          <w:lang w:eastAsia="zh-CN"/>
        </w:rPr>
        <w:t>作为</w:t>
      </w:r>
      <w:r>
        <w:rPr>
          <w:rFonts w:ascii="宋体" w:hAnsi="宋体" w:eastAsia="宋体" w:cs="宋体"/>
          <w:spacing w:val="0"/>
          <w:sz w:val="24"/>
          <w:szCs w:val="24"/>
        </w:rPr>
        <w:t>结算依据</w:t>
      </w:r>
      <w:r>
        <w:rPr>
          <w:rFonts w:hint="eastAsia" w:cs="宋体"/>
          <w:color w:val="auto"/>
          <w:spacing w:val="0"/>
          <w:sz w:val="24"/>
          <w:szCs w:val="24"/>
          <w:highlight w:val="none"/>
          <w:lang w:eastAsia="zh-CN"/>
        </w:rPr>
        <w:t>或双方重新取样后共同化验，以共同化验的结果作为结算依据</w:t>
      </w:r>
      <w:r>
        <w:rPr>
          <w:rFonts w:hint="eastAsia" w:ascii="宋体" w:hAnsi="宋体" w:eastAsia="宋体" w:cs="宋体"/>
          <w:color w:val="auto"/>
          <w:spacing w:val="0"/>
          <w:sz w:val="24"/>
          <w:szCs w:val="24"/>
          <w:highlight w:val="none"/>
        </w:rPr>
        <w:t>。</w:t>
      </w:r>
      <w:r>
        <w:rPr>
          <w:rFonts w:ascii="宋体" w:hAnsi="宋体" w:eastAsia="宋体" w:cs="宋体"/>
          <w:spacing w:val="0"/>
          <w:sz w:val="24"/>
          <w:szCs w:val="24"/>
        </w:rPr>
        <w:t>若经现场取样检测，碳酸锰矿石 Mn</w:t>
      </w:r>
      <w:r>
        <w:rPr>
          <w:rFonts w:ascii="宋体" w:hAnsi="宋体" w:eastAsia="宋体" w:cs="宋体"/>
          <w:spacing w:val="0"/>
          <w:position w:val="13"/>
          <w:sz w:val="24"/>
          <w:szCs w:val="24"/>
        </w:rPr>
        <w:t>2+</w:t>
      </w:r>
      <w:r>
        <w:rPr>
          <w:rFonts w:ascii="宋体" w:hAnsi="宋体" w:eastAsia="宋体" w:cs="宋体"/>
          <w:spacing w:val="0"/>
          <w:sz w:val="24"/>
          <w:szCs w:val="24"/>
        </w:rPr>
        <w:t>含量低于 10%的，</w:t>
      </w:r>
      <w:r>
        <w:rPr>
          <w:rFonts w:hint="eastAsia" w:ascii="宋体" w:hAnsi="宋体" w:eastAsia="宋体" w:cs="宋体"/>
          <w:spacing w:val="0"/>
          <w:sz w:val="24"/>
          <w:szCs w:val="24"/>
          <w:lang w:eastAsia="zh-CN"/>
        </w:rPr>
        <w:t>锰矿</w:t>
      </w:r>
      <w:r>
        <w:rPr>
          <w:rFonts w:ascii="宋体" w:hAnsi="宋体" w:eastAsia="宋体" w:cs="宋体"/>
          <w:spacing w:val="0"/>
          <w:sz w:val="24"/>
          <w:szCs w:val="24"/>
        </w:rPr>
        <w:t>公司有权对该批次碳酸锰矿石予以</w:t>
      </w:r>
      <w:r>
        <w:rPr>
          <w:rFonts w:hint="eastAsia" w:ascii="宋体" w:hAnsi="宋体" w:eastAsia="宋体" w:cs="宋体"/>
          <w:spacing w:val="0"/>
          <w:sz w:val="24"/>
          <w:szCs w:val="24"/>
        </w:rPr>
        <w:t>无条件拒收，且由此产生的一切费用（卸货、仓储、倒运等）由供方承担。</w:t>
      </w: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10"/>
        <w:textAlignment w:val="baseline"/>
        <w:rPr>
          <w:rFonts w:hint="eastAsia" w:cs="宋体"/>
          <w:b w:val="0"/>
          <w:bCs w:val="0"/>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 xml:space="preserve">1.4.1.2  </w:t>
      </w:r>
      <w:r>
        <w:rPr>
          <w:rFonts w:hint="eastAsia" w:cs="宋体"/>
          <w:b w:val="0"/>
          <w:bCs w:val="0"/>
          <w:color w:val="auto"/>
          <w:spacing w:val="0"/>
          <w:sz w:val="24"/>
          <w:szCs w:val="24"/>
          <w:highlight w:val="none"/>
          <w:lang w:val="en-US" w:eastAsia="zh-CN"/>
        </w:rPr>
        <w:t>重量以需方到货过磅数为结算依据。双方允许磅差范围为0.3%，误差超过0.3%的，以供需双方过磅数的平均值或双方协商结果为结算依据。</w:t>
      </w: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10"/>
        <w:textAlignment w:val="baseline"/>
        <w:rPr>
          <w:rStyle w:val="5"/>
          <w:rFonts w:hint="eastAsia" w:ascii="宋体" w:hAnsi="宋体" w:eastAsia="宋体" w:cs="宋体"/>
          <w:b w:val="0"/>
          <w:bCs w:val="0"/>
          <w:i w:val="0"/>
          <w:iCs w:val="0"/>
          <w:caps w:val="0"/>
          <w:color w:val="24292B"/>
          <w:spacing w:val="0"/>
          <w:sz w:val="24"/>
          <w:szCs w:val="24"/>
          <w:shd w:val="clear" w:fill="FFFFFF"/>
        </w:rPr>
      </w:pPr>
      <w:r>
        <w:rPr>
          <w:rFonts w:hint="eastAsia" w:ascii="宋体" w:hAnsi="宋体" w:eastAsia="宋体" w:cs="宋体"/>
          <w:b/>
          <w:bCs/>
          <w:color w:val="auto"/>
          <w:spacing w:val="0"/>
          <w:sz w:val="24"/>
          <w:szCs w:val="24"/>
          <w:highlight w:val="none"/>
          <w:lang w:val="en-US" w:eastAsia="zh-CN"/>
        </w:rPr>
        <w:t xml:space="preserve">1.4.1.3  </w:t>
      </w:r>
      <w:r>
        <w:rPr>
          <w:rStyle w:val="5"/>
          <w:rFonts w:hint="eastAsia" w:ascii="宋体" w:hAnsi="宋体" w:eastAsia="宋体" w:cs="宋体"/>
          <w:b w:val="0"/>
          <w:bCs w:val="0"/>
          <w:i w:val="0"/>
          <w:iCs w:val="0"/>
          <w:caps w:val="0"/>
          <w:color w:val="24292B"/>
          <w:spacing w:val="0"/>
          <w:sz w:val="24"/>
          <w:szCs w:val="24"/>
          <w:shd w:val="clear" w:fill="FFFFFF"/>
        </w:rPr>
        <w:t>取样、制样全过程需在供需双方人员共同监督下进行。若供方人员未按规定时间到场</w:t>
      </w:r>
      <w:r>
        <w:rPr>
          <w:rStyle w:val="5"/>
          <w:rFonts w:hint="eastAsia" w:ascii="宋体" w:hAnsi="宋体" w:eastAsia="宋体" w:cs="宋体"/>
          <w:b w:val="0"/>
          <w:bCs w:val="0"/>
          <w:i w:val="0"/>
          <w:iCs w:val="0"/>
          <w:caps w:val="0"/>
          <w:color w:val="24292B"/>
          <w:spacing w:val="0"/>
          <w:sz w:val="24"/>
          <w:szCs w:val="24"/>
          <w:shd w:val="clear" w:fill="FFFFFF"/>
          <w:lang w:eastAsia="zh-CN"/>
        </w:rPr>
        <w:t>或无委托人员</w:t>
      </w:r>
      <w:r>
        <w:rPr>
          <w:rStyle w:val="5"/>
          <w:rFonts w:hint="eastAsia" w:ascii="宋体" w:hAnsi="宋体" w:eastAsia="宋体" w:cs="宋体"/>
          <w:b w:val="0"/>
          <w:bCs w:val="0"/>
          <w:i w:val="0"/>
          <w:iCs w:val="0"/>
          <w:caps w:val="0"/>
          <w:color w:val="24292B"/>
          <w:spacing w:val="0"/>
          <w:sz w:val="24"/>
          <w:szCs w:val="24"/>
          <w:shd w:val="clear" w:fill="FFFFFF"/>
        </w:rPr>
        <w:t>，视为自动放弃监督权，需方独立取样、制样结果同样有效，并作为最终结算依据。</w:t>
      </w: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10"/>
        <w:textAlignment w:val="baseline"/>
        <w:rPr>
          <w:rFonts w:hint="default" w:ascii="宋体" w:hAnsi="宋体" w:eastAsia="宋体" w:cs="宋体"/>
          <w:b/>
          <w:bCs/>
          <w:spacing w:val="0"/>
          <w:sz w:val="24"/>
          <w:szCs w:val="24"/>
          <w:lang w:val="en-US" w:eastAsia="zh-CN"/>
        </w:rPr>
      </w:pPr>
      <w:r>
        <w:rPr>
          <w:rStyle w:val="5"/>
          <w:rFonts w:hint="eastAsia" w:ascii="宋体" w:hAnsi="宋体" w:eastAsia="宋体" w:cs="宋体"/>
          <w:b/>
          <w:bCs/>
          <w:i w:val="0"/>
          <w:iCs w:val="0"/>
          <w:caps w:val="0"/>
          <w:color w:val="24292B"/>
          <w:spacing w:val="0"/>
          <w:sz w:val="24"/>
          <w:szCs w:val="24"/>
          <w:shd w:val="clear" w:fill="FFFFFF"/>
          <w:lang w:val="en-US" w:eastAsia="zh-CN"/>
        </w:rPr>
        <w:t xml:space="preserve">1.4.1.4  </w:t>
      </w:r>
      <w:r>
        <w:rPr>
          <w:rStyle w:val="5"/>
          <w:rFonts w:hint="eastAsia" w:ascii="宋体" w:hAnsi="宋体" w:eastAsia="宋体" w:cs="宋体"/>
          <w:b w:val="0"/>
          <w:bCs w:val="0"/>
          <w:i w:val="0"/>
          <w:iCs w:val="0"/>
          <w:caps w:val="0"/>
          <w:color w:val="24292B"/>
          <w:spacing w:val="0"/>
          <w:sz w:val="24"/>
          <w:szCs w:val="24"/>
          <w:shd w:val="clear" w:fill="FFFFFF"/>
          <w:lang w:val="en-US" w:eastAsia="zh-CN"/>
        </w:rPr>
        <w:t>为了防止采购的矿石在运输过程中私自拆封或调换，确保矿石的质量等，供方需在矿石整车中加装封签/封条。</w:t>
      </w:r>
    </w:p>
    <w:p>
      <w:pPr>
        <w:keepNext w:val="0"/>
        <w:keepLines w:val="0"/>
        <w:pageBreakBefore w:val="0"/>
        <w:widowControl/>
        <w:kinsoku w:val="0"/>
        <w:wordWrap/>
        <w:overflowPunct/>
        <w:topLinePunct w:val="0"/>
        <w:autoSpaceDE w:val="0"/>
        <w:autoSpaceDN w:val="0"/>
        <w:bidi w:val="0"/>
        <w:adjustRightInd w:val="0"/>
        <w:snapToGrid w:val="0"/>
        <w:spacing w:before="157"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1.4.2</w:t>
      </w:r>
      <w:r>
        <w:rPr>
          <w:rFonts w:ascii="宋体" w:hAnsi="宋体" w:eastAsia="宋体" w:cs="宋体"/>
          <w:spacing w:val="0"/>
          <w:sz w:val="24"/>
          <w:szCs w:val="24"/>
        </w:rPr>
        <w:t xml:space="preserve"> </w:t>
      </w:r>
      <w:r>
        <w:rPr>
          <w:rFonts w:ascii="宋体" w:hAnsi="宋体" w:eastAsia="宋体" w:cs="宋体"/>
          <w:b/>
          <w:bCs/>
          <w:spacing w:val="0"/>
          <w:sz w:val="24"/>
          <w:szCs w:val="24"/>
        </w:rPr>
        <w:t>检验项目</w:t>
      </w:r>
    </w:p>
    <w:p>
      <w:pPr>
        <w:keepNext w:val="0"/>
        <w:keepLines w:val="0"/>
        <w:pageBreakBefore w:val="0"/>
        <w:widowControl/>
        <w:kinsoku w:val="0"/>
        <w:wordWrap/>
        <w:overflowPunct/>
        <w:topLinePunct w:val="0"/>
        <w:autoSpaceDE w:val="0"/>
        <w:autoSpaceDN w:val="0"/>
        <w:bidi w:val="0"/>
        <w:adjustRightInd w:val="0"/>
        <w:snapToGrid w:val="0"/>
        <w:spacing w:before="99" w:line="360" w:lineRule="auto"/>
        <w:ind w:left="489"/>
        <w:textAlignment w:val="baseline"/>
        <w:rPr>
          <w:rFonts w:ascii="宋体" w:hAnsi="宋体" w:eastAsia="宋体" w:cs="宋体"/>
          <w:spacing w:val="0"/>
          <w:sz w:val="24"/>
          <w:szCs w:val="24"/>
        </w:rPr>
      </w:pPr>
      <w:r>
        <w:rPr>
          <w:rFonts w:ascii="宋体" w:hAnsi="宋体" w:eastAsia="宋体" w:cs="宋体"/>
          <w:spacing w:val="0"/>
          <w:sz w:val="24"/>
          <w:szCs w:val="24"/>
        </w:rPr>
        <w:t>每批碳酸锰矿石需检测 Mn</w:t>
      </w:r>
      <w:r>
        <w:rPr>
          <w:rFonts w:ascii="宋体" w:hAnsi="宋体" w:eastAsia="宋体" w:cs="宋体"/>
          <w:spacing w:val="0"/>
          <w:position w:val="13"/>
          <w:sz w:val="24"/>
          <w:szCs w:val="24"/>
        </w:rPr>
        <w:t>2+</w:t>
      </w:r>
      <w:r>
        <w:rPr>
          <w:rFonts w:ascii="宋体" w:hAnsi="宋体" w:eastAsia="宋体" w:cs="宋体"/>
          <w:spacing w:val="0"/>
          <w:sz w:val="24"/>
          <w:szCs w:val="24"/>
        </w:rPr>
        <w:t>含量、水分含量。</w:t>
      </w:r>
    </w:p>
    <w:p>
      <w:pPr>
        <w:keepNext w:val="0"/>
        <w:keepLines w:val="0"/>
        <w:pageBreakBefore w:val="0"/>
        <w:widowControl/>
        <w:kinsoku w:val="0"/>
        <w:wordWrap/>
        <w:overflowPunct/>
        <w:topLinePunct w:val="0"/>
        <w:autoSpaceDE w:val="0"/>
        <w:autoSpaceDN w:val="0"/>
        <w:bidi w:val="0"/>
        <w:adjustRightInd w:val="0"/>
        <w:snapToGrid w:val="0"/>
        <w:spacing w:before="154"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1.4.3</w:t>
      </w:r>
      <w:r>
        <w:rPr>
          <w:rFonts w:ascii="宋体" w:hAnsi="宋体" w:eastAsia="宋体" w:cs="宋体"/>
          <w:spacing w:val="0"/>
          <w:sz w:val="24"/>
          <w:szCs w:val="24"/>
        </w:rPr>
        <w:t xml:space="preserve"> </w:t>
      </w:r>
      <w:r>
        <w:rPr>
          <w:rFonts w:ascii="宋体" w:hAnsi="宋体" w:eastAsia="宋体" w:cs="宋体"/>
          <w:b/>
          <w:bCs/>
          <w:spacing w:val="0"/>
          <w:sz w:val="24"/>
          <w:szCs w:val="24"/>
        </w:rPr>
        <w:t>取样</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12" w:right="200" w:firstLine="14"/>
        <w:textAlignment w:val="baseline"/>
        <w:rPr>
          <w:rFonts w:ascii="宋体" w:hAnsi="宋体" w:eastAsia="宋体" w:cs="宋体"/>
          <w:spacing w:val="0"/>
          <w:sz w:val="24"/>
          <w:szCs w:val="24"/>
        </w:rPr>
      </w:pPr>
      <w:r>
        <w:rPr>
          <w:rFonts w:ascii="宋体" w:hAnsi="宋体" w:eastAsia="宋体" w:cs="宋体"/>
          <w:spacing w:val="0"/>
          <w:sz w:val="24"/>
          <w:szCs w:val="24"/>
        </w:rPr>
        <w:t>1.4.3.1 在接到相关部门下达调矿通知后，取样员在相应的时间到取样地点开展取样工作。</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18" w:right="204" w:firstLine="8"/>
        <w:textAlignment w:val="baseline"/>
        <w:rPr>
          <w:rFonts w:ascii="宋体" w:hAnsi="宋体" w:eastAsia="宋体" w:cs="宋体"/>
          <w:spacing w:val="0"/>
          <w:sz w:val="24"/>
          <w:szCs w:val="24"/>
        </w:rPr>
      </w:pPr>
      <w:r>
        <w:rPr>
          <w:rFonts w:ascii="宋体" w:hAnsi="宋体" w:eastAsia="宋体" w:cs="宋体"/>
          <w:spacing w:val="0"/>
          <w:sz w:val="24"/>
          <w:szCs w:val="24"/>
        </w:rPr>
        <w:t xml:space="preserve">1.4.3.2 </w:t>
      </w:r>
      <w:r>
        <w:rPr>
          <w:rFonts w:hint="eastAsia" w:ascii="宋体" w:hAnsi="宋体" w:eastAsia="宋体" w:cs="宋体"/>
          <w:spacing w:val="0"/>
          <w:sz w:val="24"/>
          <w:szCs w:val="24"/>
          <w:lang w:val="en-US" w:eastAsia="zh-CN"/>
        </w:rPr>
        <w:t xml:space="preserve"> </w:t>
      </w:r>
      <w:r>
        <w:rPr>
          <w:rFonts w:ascii="宋体" w:hAnsi="宋体" w:eastAsia="宋体" w:cs="宋体"/>
          <w:sz w:val="24"/>
          <w:szCs w:val="24"/>
        </w:rPr>
        <w:t>①</w:t>
      </w:r>
      <w:r>
        <w:rPr>
          <w:rFonts w:hint="eastAsia" w:ascii="宋体" w:hAnsi="宋体" w:eastAsia="宋体" w:cs="宋体"/>
          <w:sz w:val="24"/>
          <w:szCs w:val="24"/>
          <w:lang w:val="en-US" w:eastAsia="zh-CN"/>
        </w:rPr>
        <w:t xml:space="preserve"> </w:t>
      </w:r>
      <w:r>
        <w:rPr>
          <w:rFonts w:hint="eastAsia" w:ascii="宋体" w:hAnsi="宋体" w:eastAsia="宋体" w:cs="宋体"/>
          <w:spacing w:val="0"/>
          <w:sz w:val="24"/>
          <w:szCs w:val="24"/>
        </w:rPr>
        <w:t>碳酸锰精矿运到金属锰厂原料棚后，由取制样员随机抽检随车封条。每车矿石用铲车随机取一铲（约0.5吨）归堆，当日同一供应商做一个综合大样，直至当日调运完毕后，用铲车翻铲均匀综合大样。</w:t>
      </w:r>
      <w:r>
        <w:rPr>
          <w:rFonts w:ascii="宋体" w:hAnsi="宋体" w:eastAsia="宋体" w:cs="宋体"/>
          <w:sz w:val="24"/>
          <w:szCs w:val="24"/>
        </w:rPr>
        <w:t>每个综合大样由铲车搅拌均匀后，经雷蒙机清洗机内残粉至少15分钟，清洗干净后开始取样，之后按5分钟取一次样的频率直至取样结束。每批次调矿在30车以下（包含30车）时取4个综合样品。（如：当天调运12车精矿则每3车作为一个综合样品；如：调运20车则每5车作为一个综合样品）；当批次调矿量超过30车次时，每5车增加取一个综合样品。③雷蒙机故障时采用手工取样方法：每个归堆样品经铲车摊开，采用九宫格取样法取样之后进行一次破碎（样品粒径≤5mm），缩分成每个样品至少500g。经一次破碎后的样品封袋进行第一次编码送往制样室经磨粉机进行研磨制样（样品需全部经过100目筛），缩分。</w:t>
      </w:r>
    </w:p>
    <w:p>
      <w:pPr>
        <w:keepNext w:val="0"/>
        <w:keepLines w:val="0"/>
        <w:pageBreakBefore w:val="0"/>
        <w:widowControl/>
        <w:kinsoku w:val="0"/>
        <w:wordWrap/>
        <w:overflowPunct/>
        <w:topLinePunct w:val="0"/>
        <w:autoSpaceDE w:val="0"/>
        <w:autoSpaceDN w:val="0"/>
        <w:bidi w:val="0"/>
        <w:adjustRightInd w:val="0"/>
        <w:snapToGrid w:val="0"/>
        <w:spacing w:before="153" w:line="360" w:lineRule="auto"/>
        <w:ind w:left="14" w:right="200" w:firstLine="12"/>
        <w:textAlignment w:val="baseline"/>
        <w:rPr>
          <w:rFonts w:ascii="宋体" w:hAnsi="宋体" w:eastAsia="宋体" w:cs="宋体"/>
          <w:spacing w:val="0"/>
          <w:sz w:val="24"/>
          <w:szCs w:val="24"/>
        </w:rPr>
      </w:pPr>
      <w:r>
        <w:rPr>
          <w:rFonts w:ascii="宋体" w:hAnsi="宋体" w:eastAsia="宋体" w:cs="宋体"/>
          <w:spacing w:val="0"/>
          <w:sz w:val="24"/>
          <w:szCs w:val="24"/>
        </w:rPr>
        <w:t>1.4.3.</w:t>
      </w:r>
      <w:r>
        <w:rPr>
          <w:rFonts w:hint="eastAsia" w:ascii="宋体" w:hAnsi="宋体" w:eastAsia="宋体" w:cs="宋体"/>
          <w:spacing w:val="0"/>
          <w:sz w:val="24"/>
          <w:szCs w:val="24"/>
          <w:lang w:val="en-US" w:eastAsia="zh-CN"/>
        </w:rPr>
        <w:t>3</w:t>
      </w:r>
      <w:r>
        <w:rPr>
          <w:rFonts w:ascii="宋体" w:hAnsi="宋体" w:eastAsia="宋体" w:cs="宋体"/>
          <w:spacing w:val="0"/>
          <w:sz w:val="24"/>
          <w:szCs w:val="24"/>
        </w:rPr>
        <w:t xml:space="preserve"> 样品封袋进行第一次编码，送往制样室。整个采样过程中由取样员取样、监督员、</w:t>
      </w:r>
      <w:r>
        <w:rPr>
          <w:rFonts w:hint="eastAsia" w:ascii="宋体" w:hAnsi="宋体" w:eastAsia="宋体" w:cs="宋体"/>
          <w:spacing w:val="0"/>
          <w:sz w:val="24"/>
          <w:szCs w:val="24"/>
          <w:lang w:eastAsia="zh-CN"/>
        </w:rPr>
        <w:t>供应商或授权委托人员</w:t>
      </w:r>
      <w:r>
        <w:rPr>
          <w:rFonts w:ascii="宋体" w:hAnsi="宋体" w:eastAsia="宋体" w:cs="宋体"/>
          <w:spacing w:val="0"/>
          <w:sz w:val="24"/>
          <w:szCs w:val="24"/>
        </w:rPr>
        <w:t>在场监督，否则样品无效。</w:t>
      </w:r>
    </w:p>
    <w:p>
      <w:pPr>
        <w:keepNext w:val="0"/>
        <w:keepLines w:val="0"/>
        <w:pageBreakBefore w:val="0"/>
        <w:widowControl/>
        <w:kinsoku w:val="0"/>
        <w:wordWrap/>
        <w:overflowPunct/>
        <w:topLinePunct w:val="0"/>
        <w:autoSpaceDE w:val="0"/>
        <w:autoSpaceDN w:val="0"/>
        <w:bidi w:val="0"/>
        <w:adjustRightInd w:val="0"/>
        <w:snapToGrid w:val="0"/>
        <w:spacing w:before="158" w:line="360" w:lineRule="auto"/>
        <w:ind w:left="12" w:right="200" w:firstLine="14"/>
        <w:textAlignment w:val="baseline"/>
        <w:rPr>
          <w:rFonts w:ascii="宋体" w:hAnsi="宋体" w:eastAsia="宋体" w:cs="宋体"/>
          <w:spacing w:val="0"/>
          <w:sz w:val="24"/>
          <w:szCs w:val="24"/>
        </w:rPr>
      </w:pPr>
      <w:r>
        <w:rPr>
          <w:rFonts w:ascii="宋体" w:hAnsi="宋体" w:eastAsia="宋体" w:cs="宋体"/>
          <w:spacing w:val="0"/>
          <w:sz w:val="24"/>
          <w:szCs w:val="24"/>
        </w:rPr>
        <w:t>1.4.3.</w:t>
      </w:r>
      <w:r>
        <w:rPr>
          <w:rFonts w:hint="eastAsia" w:ascii="宋体" w:hAnsi="宋体" w:eastAsia="宋体" w:cs="宋体"/>
          <w:spacing w:val="0"/>
          <w:sz w:val="24"/>
          <w:szCs w:val="24"/>
          <w:lang w:val="en-US" w:eastAsia="zh-CN"/>
        </w:rPr>
        <w:t>4</w:t>
      </w:r>
      <w:r>
        <w:rPr>
          <w:rFonts w:ascii="宋体" w:hAnsi="宋体" w:eastAsia="宋体" w:cs="宋体"/>
          <w:spacing w:val="0"/>
          <w:sz w:val="24"/>
          <w:szCs w:val="24"/>
        </w:rPr>
        <w:t xml:space="preserve"> 制样员在三方取样人员在场的情况下，将样品搅拌均匀分成三份，对样品进行第二次编码，一份由</w:t>
      </w:r>
      <w:r>
        <w:rPr>
          <w:rFonts w:hint="eastAsia" w:cs="宋体"/>
          <w:color w:val="auto"/>
          <w:spacing w:val="11"/>
          <w:sz w:val="24"/>
          <w:szCs w:val="24"/>
          <w:highlight w:val="none"/>
          <w:lang w:eastAsia="zh-CN"/>
        </w:rPr>
        <w:t>质量室</w:t>
      </w:r>
      <w:r>
        <w:rPr>
          <w:rFonts w:ascii="宋体" w:hAnsi="宋体" w:eastAsia="宋体" w:cs="宋体"/>
          <w:spacing w:val="0"/>
          <w:sz w:val="24"/>
          <w:szCs w:val="24"/>
        </w:rPr>
        <w:t>化验用、一份</w:t>
      </w:r>
      <w:r>
        <w:rPr>
          <w:rFonts w:hint="eastAsia" w:ascii="宋体" w:hAnsi="宋体" w:eastAsia="宋体" w:cs="宋体"/>
          <w:spacing w:val="0"/>
          <w:sz w:val="24"/>
          <w:szCs w:val="24"/>
          <w:lang w:eastAsia="zh-CN"/>
        </w:rPr>
        <w:t>供应商</w:t>
      </w:r>
      <w:r>
        <w:rPr>
          <w:rFonts w:ascii="宋体" w:hAnsi="宋体" w:eastAsia="宋体" w:cs="宋体"/>
          <w:spacing w:val="0"/>
          <w:sz w:val="24"/>
          <w:szCs w:val="24"/>
        </w:rPr>
        <w:t>取回、一份由制样员、取样员、监督人员及</w:t>
      </w:r>
      <w:r>
        <w:rPr>
          <w:rFonts w:hint="eastAsia" w:ascii="宋体" w:hAnsi="宋体" w:eastAsia="宋体" w:cs="宋体"/>
          <w:spacing w:val="0"/>
          <w:sz w:val="24"/>
          <w:szCs w:val="24"/>
          <w:lang w:eastAsia="zh-CN"/>
        </w:rPr>
        <w:t>供应商或授权委托</w:t>
      </w:r>
      <w:r>
        <w:rPr>
          <w:rFonts w:ascii="宋体" w:hAnsi="宋体" w:eastAsia="宋体" w:cs="宋体"/>
          <w:spacing w:val="0"/>
          <w:sz w:val="24"/>
          <w:szCs w:val="24"/>
        </w:rPr>
        <w:t>人员共同签字封存。</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27"/>
        <w:textAlignment w:val="baseline"/>
        <w:rPr>
          <w:rFonts w:ascii="宋体" w:hAnsi="宋体" w:eastAsia="宋体" w:cs="宋体"/>
          <w:spacing w:val="0"/>
          <w:sz w:val="24"/>
          <w:szCs w:val="24"/>
        </w:rPr>
      </w:pPr>
      <w:r>
        <w:rPr>
          <w:rFonts w:ascii="宋体" w:hAnsi="宋体" w:eastAsia="宋体" w:cs="宋体"/>
          <w:spacing w:val="0"/>
          <w:sz w:val="24"/>
          <w:szCs w:val="24"/>
        </w:rPr>
        <w:t>1.4.3.</w:t>
      </w:r>
      <w:r>
        <w:rPr>
          <w:rFonts w:hint="eastAsia" w:ascii="宋体" w:hAnsi="宋体" w:eastAsia="宋体" w:cs="宋体"/>
          <w:spacing w:val="0"/>
          <w:sz w:val="24"/>
          <w:szCs w:val="24"/>
          <w:lang w:val="en-US" w:eastAsia="zh-CN"/>
        </w:rPr>
        <w:t>5</w:t>
      </w:r>
      <w:r>
        <w:rPr>
          <w:rFonts w:ascii="宋体" w:hAnsi="宋体" w:eastAsia="宋体" w:cs="宋体"/>
          <w:spacing w:val="0"/>
          <w:sz w:val="24"/>
          <w:szCs w:val="24"/>
        </w:rPr>
        <w:t xml:space="preserve"> 碳酸锰矿石试样保存期限不少于1个月，且完成结算无异议后方可处理。</w:t>
      </w:r>
    </w:p>
    <w:p>
      <w:pPr>
        <w:keepNext w:val="0"/>
        <w:keepLines w:val="0"/>
        <w:pageBreakBefore w:val="0"/>
        <w:widowControl/>
        <w:kinsoku w:val="0"/>
        <w:wordWrap/>
        <w:overflowPunct/>
        <w:topLinePunct w:val="0"/>
        <w:autoSpaceDE w:val="0"/>
        <w:autoSpaceDN w:val="0"/>
        <w:bidi w:val="0"/>
        <w:adjustRightInd w:val="0"/>
        <w:snapToGrid w:val="0"/>
        <w:spacing w:before="154"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1.4.4</w:t>
      </w:r>
      <w:r>
        <w:rPr>
          <w:rFonts w:ascii="宋体" w:hAnsi="宋体" w:eastAsia="宋体" w:cs="宋体"/>
          <w:spacing w:val="0"/>
          <w:sz w:val="24"/>
          <w:szCs w:val="24"/>
        </w:rPr>
        <w:t xml:space="preserve"> </w:t>
      </w:r>
      <w:r>
        <w:rPr>
          <w:rFonts w:ascii="宋体" w:hAnsi="宋体" w:eastAsia="宋体" w:cs="宋体"/>
          <w:b/>
          <w:bCs/>
          <w:spacing w:val="0"/>
          <w:sz w:val="24"/>
          <w:szCs w:val="24"/>
        </w:rPr>
        <w:t>检验结果的报告</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9" w:firstLine="480"/>
        <w:textAlignment w:val="baseline"/>
        <w:rPr>
          <w:rFonts w:ascii="宋体" w:hAnsi="宋体" w:eastAsia="宋体" w:cs="宋体"/>
          <w:spacing w:val="0"/>
          <w:sz w:val="24"/>
          <w:szCs w:val="24"/>
        </w:rPr>
      </w:pPr>
      <w:r>
        <w:rPr>
          <w:rFonts w:hint="eastAsia" w:ascii="宋体" w:hAnsi="宋体" w:eastAsia="宋体" w:cs="宋体"/>
          <w:spacing w:val="0"/>
          <w:sz w:val="24"/>
          <w:szCs w:val="24"/>
          <w:lang w:eastAsia="zh-CN"/>
        </w:rPr>
        <w:t>质量室</w:t>
      </w:r>
      <w:r>
        <w:rPr>
          <w:rFonts w:ascii="宋体" w:hAnsi="宋体" w:eastAsia="宋体" w:cs="宋体"/>
          <w:spacing w:val="0"/>
          <w:sz w:val="24"/>
          <w:szCs w:val="24"/>
        </w:rPr>
        <w:t>材料分析员对样品检测完成后，由</w:t>
      </w:r>
      <w:r>
        <w:rPr>
          <w:rFonts w:hint="eastAsia" w:ascii="宋体" w:hAnsi="宋体" w:eastAsia="宋体" w:cs="宋体"/>
          <w:spacing w:val="0"/>
          <w:sz w:val="24"/>
          <w:szCs w:val="24"/>
          <w:lang w:eastAsia="zh-CN"/>
        </w:rPr>
        <w:t>质量室</w:t>
      </w:r>
      <w:r>
        <w:rPr>
          <w:rFonts w:ascii="宋体" w:hAnsi="宋体" w:eastAsia="宋体" w:cs="宋体"/>
          <w:spacing w:val="0"/>
          <w:sz w:val="24"/>
          <w:szCs w:val="24"/>
        </w:rPr>
        <w:t>检测主管进行审核并根据对应的编码进行解码录制报表。经报</w:t>
      </w:r>
      <w:r>
        <w:rPr>
          <w:rFonts w:hint="eastAsia" w:ascii="宋体" w:hAnsi="宋体" w:eastAsia="宋体" w:cs="宋体"/>
          <w:spacing w:val="0"/>
          <w:sz w:val="24"/>
          <w:szCs w:val="24"/>
          <w:lang w:eastAsia="zh-CN"/>
        </w:rPr>
        <w:t>质量室</w:t>
      </w:r>
      <w:r>
        <w:rPr>
          <w:rFonts w:ascii="宋体" w:hAnsi="宋体" w:eastAsia="宋体" w:cs="宋体"/>
          <w:spacing w:val="0"/>
          <w:sz w:val="24"/>
          <w:szCs w:val="24"/>
        </w:rPr>
        <w:t>主任审核审批后报出该批次调矿检测结果。</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left="27"/>
        <w:textAlignment w:val="baseline"/>
        <w:outlineLvl w:val="0"/>
        <w:rPr>
          <w:rFonts w:ascii="宋体" w:hAnsi="宋体" w:eastAsia="宋体" w:cs="宋体"/>
          <w:spacing w:val="0"/>
          <w:sz w:val="24"/>
          <w:szCs w:val="24"/>
        </w:rPr>
      </w:pPr>
      <w:bookmarkStart w:id="5" w:name="bookmark6"/>
      <w:bookmarkEnd w:id="5"/>
      <w:r>
        <w:rPr>
          <w:rFonts w:ascii="宋体" w:hAnsi="宋体" w:eastAsia="宋体" w:cs="宋体"/>
          <w:b/>
          <w:bCs/>
          <w:spacing w:val="0"/>
          <w:sz w:val="24"/>
          <w:szCs w:val="24"/>
        </w:rPr>
        <w:t>1.5</w:t>
      </w:r>
      <w:r>
        <w:rPr>
          <w:rFonts w:ascii="宋体" w:hAnsi="宋体" w:eastAsia="宋体" w:cs="宋体"/>
          <w:spacing w:val="0"/>
          <w:sz w:val="24"/>
          <w:szCs w:val="24"/>
        </w:rPr>
        <w:t xml:space="preserve"> </w:t>
      </w:r>
      <w:r>
        <w:rPr>
          <w:rFonts w:ascii="宋体" w:hAnsi="宋体" w:eastAsia="宋体" w:cs="宋体"/>
          <w:b/>
          <w:bCs/>
          <w:spacing w:val="0"/>
          <w:sz w:val="24"/>
          <w:szCs w:val="24"/>
        </w:rPr>
        <w:t>试验方法</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1.5.1</w:t>
      </w:r>
      <w:r>
        <w:rPr>
          <w:rFonts w:ascii="宋体" w:hAnsi="宋体" w:eastAsia="宋体" w:cs="宋体"/>
          <w:spacing w:val="0"/>
          <w:sz w:val="24"/>
          <w:szCs w:val="24"/>
        </w:rPr>
        <w:t xml:space="preserve"> </w:t>
      </w:r>
      <w:r>
        <w:rPr>
          <w:rFonts w:ascii="宋体" w:hAnsi="宋体" w:eastAsia="宋体" w:cs="宋体"/>
          <w:b/>
          <w:bCs/>
          <w:spacing w:val="0"/>
          <w:sz w:val="24"/>
          <w:szCs w:val="24"/>
        </w:rPr>
        <w:t>化学分析方法</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27"/>
        <w:textAlignment w:val="baseline"/>
        <w:rPr>
          <w:rFonts w:ascii="宋体" w:hAnsi="宋体" w:eastAsia="宋体" w:cs="宋体"/>
          <w:spacing w:val="0"/>
          <w:sz w:val="24"/>
          <w:szCs w:val="24"/>
        </w:rPr>
      </w:pPr>
      <w:r>
        <w:rPr>
          <w:rFonts w:ascii="宋体" w:hAnsi="宋体" w:eastAsia="宋体" w:cs="宋体"/>
          <w:spacing w:val="0"/>
          <w:sz w:val="24"/>
          <w:szCs w:val="24"/>
        </w:rPr>
        <w:t>1.5.1.1 碳酸锰矿石中Mn</w:t>
      </w:r>
      <w:r>
        <w:rPr>
          <w:rFonts w:ascii="宋体" w:hAnsi="宋体" w:eastAsia="宋体" w:cs="宋体"/>
          <w:spacing w:val="0"/>
          <w:position w:val="12"/>
          <w:sz w:val="24"/>
          <w:szCs w:val="24"/>
        </w:rPr>
        <w:t>2+</w:t>
      </w:r>
      <w:r>
        <w:rPr>
          <w:rFonts w:ascii="宋体" w:hAnsi="宋体" w:eastAsia="宋体" w:cs="宋体"/>
          <w:spacing w:val="0"/>
          <w:sz w:val="24"/>
          <w:szCs w:val="24"/>
        </w:rPr>
        <w:t>含量测定应根据以下方法进行测定：</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27"/>
        <w:textAlignment w:val="baseline"/>
        <w:rPr>
          <w:rFonts w:ascii="宋体" w:hAnsi="宋体" w:eastAsia="宋体" w:cs="宋体"/>
          <w:spacing w:val="0"/>
          <w:sz w:val="24"/>
          <w:szCs w:val="24"/>
        </w:rPr>
      </w:pPr>
      <w:r>
        <w:rPr>
          <w:rFonts w:ascii="宋体" w:hAnsi="宋体" w:eastAsia="宋体" w:cs="宋体"/>
          <w:spacing w:val="0"/>
          <w:sz w:val="24"/>
          <w:szCs w:val="24"/>
        </w:rPr>
        <w:t>1） 锰矿石物相分析方法[ Ⅰ].地质出版社《岩石矿物分析》（第四版），2011：856-858</w:t>
      </w:r>
    </w:p>
    <w:p>
      <w:pPr>
        <w:keepNext w:val="0"/>
        <w:keepLines w:val="0"/>
        <w:pageBreakBefore w:val="0"/>
        <w:widowControl/>
        <w:kinsoku w:val="0"/>
        <w:wordWrap/>
        <w:overflowPunct/>
        <w:topLinePunct w:val="0"/>
        <w:autoSpaceDE w:val="0"/>
        <w:autoSpaceDN w:val="0"/>
        <w:bidi w:val="0"/>
        <w:adjustRightInd w:val="0"/>
        <w:snapToGrid w:val="0"/>
        <w:spacing w:before="138" w:line="360" w:lineRule="auto"/>
        <w:ind w:left="12"/>
        <w:textAlignment w:val="baseline"/>
        <w:rPr>
          <w:rFonts w:ascii="宋体" w:hAnsi="宋体" w:eastAsia="宋体" w:cs="宋体"/>
          <w:spacing w:val="0"/>
          <w:sz w:val="24"/>
          <w:szCs w:val="24"/>
        </w:rPr>
      </w:pPr>
      <w:r>
        <w:rPr>
          <w:rFonts w:ascii="宋体" w:hAnsi="宋体" w:eastAsia="宋体" w:cs="宋体"/>
          <w:spacing w:val="0"/>
          <w:sz w:val="24"/>
          <w:szCs w:val="24"/>
        </w:rPr>
        <w:t>2）Mn</w:t>
      </w:r>
      <w:r>
        <w:rPr>
          <w:rFonts w:ascii="宋体" w:hAnsi="宋体" w:eastAsia="宋体" w:cs="宋体"/>
          <w:spacing w:val="0"/>
          <w:position w:val="11"/>
          <w:sz w:val="24"/>
          <w:szCs w:val="24"/>
        </w:rPr>
        <w:t>2+</w:t>
      </w:r>
      <w:r>
        <w:rPr>
          <w:rFonts w:ascii="宋体" w:hAnsi="宋体" w:eastAsia="宋体" w:cs="宋体"/>
          <w:spacing w:val="0"/>
          <w:sz w:val="24"/>
          <w:szCs w:val="24"/>
        </w:rPr>
        <w:t>含量的测定 硫酸亚铁铵滴定法</w:t>
      </w:r>
    </w:p>
    <w:p>
      <w:pPr>
        <w:keepNext w:val="0"/>
        <w:keepLines w:val="0"/>
        <w:pageBreakBefore w:val="0"/>
        <w:widowControl/>
        <w:kinsoku w:val="0"/>
        <w:wordWrap/>
        <w:overflowPunct/>
        <w:topLinePunct w:val="0"/>
        <w:autoSpaceDE w:val="0"/>
        <w:autoSpaceDN w:val="0"/>
        <w:bidi w:val="0"/>
        <w:adjustRightInd w:val="0"/>
        <w:snapToGrid w:val="0"/>
        <w:spacing w:before="103" w:line="360" w:lineRule="auto"/>
        <w:ind w:left="9" w:right="138" w:firstLine="4"/>
        <w:jc w:val="both"/>
        <w:textAlignment w:val="baseline"/>
        <w:rPr>
          <w:rFonts w:ascii="宋体" w:hAnsi="宋体" w:eastAsia="宋体" w:cs="宋体"/>
          <w:spacing w:val="0"/>
          <w:sz w:val="24"/>
          <w:szCs w:val="24"/>
        </w:rPr>
      </w:pPr>
      <w:r>
        <w:rPr>
          <w:rFonts w:ascii="宋体" w:hAnsi="宋体" w:eastAsia="宋体" w:cs="宋体"/>
          <w:spacing w:val="0"/>
          <w:sz w:val="24"/>
          <w:szCs w:val="24"/>
        </w:rPr>
        <w:t>Mn</w:t>
      </w:r>
      <w:r>
        <w:rPr>
          <w:rFonts w:ascii="宋体" w:hAnsi="宋体" w:eastAsia="宋体" w:cs="宋体"/>
          <w:spacing w:val="0"/>
          <w:position w:val="12"/>
          <w:sz w:val="24"/>
          <w:szCs w:val="24"/>
        </w:rPr>
        <w:t>2+</w:t>
      </w:r>
      <w:r>
        <w:rPr>
          <w:rFonts w:ascii="宋体" w:hAnsi="宋体" w:eastAsia="宋体" w:cs="宋体"/>
          <w:spacing w:val="0"/>
          <w:sz w:val="24"/>
          <w:szCs w:val="24"/>
        </w:rPr>
        <w:t>含量的测定（企业标准）：称取0.2g（精确至0.0001g）风干试样，置于250ml三角瓶中，加40ml（1+99）HClO</w:t>
      </w:r>
      <w:r>
        <w:rPr>
          <w:rFonts w:ascii="宋体" w:hAnsi="宋体" w:eastAsia="宋体" w:cs="宋体"/>
          <w:spacing w:val="0"/>
          <w:position w:val="-3"/>
          <w:sz w:val="24"/>
          <w:szCs w:val="24"/>
        </w:rPr>
        <w:t xml:space="preserve">4 </w:t>
      </w:r>
      <w:r>
        <w:rPr>
          <w:rFonts w:ascii="宋体" w:hAnsi="宋体" w:eastAsia="宋体" w:cs="宋体"/>
          <w:b/>
          <w:bCs/>
          <w:spacing w:val="0"/>
          <w:sz w:val="24"/>
          <w:szCs w:val="24"/>
        </w:rPr>
        <w:t>，</w:t>
      </w:r>
      <w:r>
        <w:rPr>
          <w:rFonts w:ascii="宋体" w:hAnsi="宋体" w:eastAsia="宋体" w:cs="宋体"/>
          <w:spacing w:val="0"/>
          <w:sz w:val="24"/>
          <w:szCs w:val="24"/>
        </w:rPr>
        <w:t>在沸水浴上浸取30min，用慢速滤纸过滤于另一个300ml三角瓶中。水洗三角瓶三次，再清洗滤纸上的残渣5</w:t>
      </w:r>
      <w:r>
        <w:rPr>
          <w:rFonts w:ascii="微软雅黑" w:hAnsi="微软雅黑" w:eastAsia="微软雅黑" w:cs="微软雅黑"/>
          <w:spacing w:val="0"/>
          <w:sz w:val="24"/>
          <w:szCs w:val="24"/>
        </w:rPr>
        <w:t>~</w:t>
      </w:r>
      <w:r>
        <w:rPr>
          <w:rFonts w:ascii="宋体" w:hAnsi="宋体" w:eastAsia="宋体" w:cs="宋体"/>
          <w:spacing w:val="0"/>
          <w:sz w:val="24"/>
          <w:szCs w:val="24"/>
        </w:rPr>
        <w:t>6次，将滤液加热浓缩至5</w:t>
      </w:r>
      <w:r>
        <w:rPr>
          <w:rFonts w:ascii="微软雅黑" w:hAnsi="微软雅黑" w:eastAsia="微软雅黑" w:cs="微软雅黑"/>
          <w:spacing w:val="0"/>
          <w:sz w:val="24"/>
          <w:szCs w:val="24"/>
        </w:rPr>
        <w:t>~</w:t>
      </w:r>
      <w:r>
        <w:rPr>
          <w:rFonts w:ascii="宋体" w:hAnsi="宋体" w:eastAsia="宋体" w:cs="宋体"/>
          <w:spacing w:val="0"/>
          <w:sz w:val="24"/>
          <w:szCs w:val="24"/>
        </w:rPr>
        <w:t>10毫升，加20毫升（500+20）磷酸高氯酸、5毫升硝酸，继续加热至高氯酸烟冒尽，瓶底无小气泡，液面平静。取下稍冷加60毫升蒸馏水，冷却至室温，用0.1N硫酸亚铁铵标液滴定至溶液变浅，再加0.2%N--苯代邻氨基苯甲酸指示剂2滴，继续滴至亮黄色为终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textAlignment w:val="baseline"/>
        <w:rPr>
          <w:rFonts w:ascii="宋体" w:hAnsi="宋体" w:eastAsia="宋体" w:cs="宋体"/>
          <w:spacing w:val="0"/>
          <w:sz w:val="24"/>
          <w:szCs w:val="24"/>
        </w:rPr>
      </w:pPr>
      <w:r>
        <w:rPr>
          <w:rFonts w:ascii="宋体" w:hAnsi="宋体" w:eastAsia="宋体" w:cs="宋体"/>
          <w:spacing w:val="0"/>
          <w:sz w:val="24"/>
          <w:szCs w:val="24"/>
        </w:rPr>
        <w:t>按公式（1）计算锰含量ω（Mn</w:t>
      </w:r>
      <w:r>
        <w:rPr>
          <w:rFonts w:ascii="宋体" w:hAnsi="宋体" w:eastAsia="宋体" w:cs="宋体"/>
          <w:spacing w:val="0"/>
          <w:position w:val="11"/>
          <w:sz w:val="24"/>
          <w:szCs w:val="24"/>
        </w:rPr>
        <w:t>2+</w:t>
      </w:r>
      <w:r>
        <w:rPr>
          <w:rFonts w:ascii="宋体" w:hAnsi="宋体" w:eastAsia="宋体" w:cs="宋体"/>
          <w:spacing w:val="0"/>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pacing w:val="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958"/>
        <w:textAlignment w:val="baseline"/>
        <w:rPr>
          <w:spacing w:val="0"/>
          <w:sz w:val="24"/>
          <w:szCs w:val="24"/>
        </w:rPr>
      </w:pPr>
      <w:r>
        <w:rPr>
          <w:spacing w:val="0"/>
          <w:position w:val="-10"/>
          <w:sz w:val="24"/>
          <w:szCs w:val="24"/>
        </w:rPr>
        <w:drawing>
          <wp:inline distT="0" distB="0" distL="0" distR="0">
            <wp:extent cx="3625215" cy="3200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3625443" cy="320637"/>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pacing w:val="0"/>
          <w:sz w:val="24"/>
          <w:szCs w:val="24"/>
        </w:rPr>
      </w:pP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484"/>
        <w:textAlignment w:val="baseline"/>
        <w:rPr>
          <w:rFonts w:ascii="宋体" w:hAnsi="宋体" w:eastAsia="宋体" w:cs="宋体"/>
          <w:spacing w:val="0"/>
          <w:sz w:val="24"/>
          <w:szCs w:val="24"/>
        </w:rPr>
      </w:pPr>
      <w:r>
        <w:rPr>
          <w:rFonts w:ascii="宋体" w:hAnsi="宋体" w:eastAsia="宋体" w:cs="宋体"/>
          <w:spacing w:val="0"/>
          <w:sz w:val="24"/>
          <w:szCs w:val="24"/>
        </w:rPr>
        <w:t>V——消耗硫酸亚铁铵体积，单位ml；</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487"/>
        <w:textAlignment w:val="baseline"/>
        <w:rPr>
          <w:rFonts w:ascii="宋体" w:hAnsi="宋体" w:eastAsia="宋体" w:cs="宋体"/>
          <w:spacing w:val="0"/>
          <w:sz w:val="24"/>
          <w:szCs w:val="24"/>
        </w:rPr>
      </w:pPr>
      <w:r>
        <w:rPr>
          <w:rFonts w:ascii="宋体" w:hAnsi="宋体" w:eastAsia="宋体" w:cs="宋体"/>
          <w:spacing w:val="0"/>
          <w:sz w:val="24"/>
          <w:szCs w:val="24"/>
        </w:rPr>
        <w:t>C——硫酸亚铁铵浓度，单位mol/L；</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482"/>
        <w:textAlignment w:val="baseline"/>
        <w:rPr>
          <w:rFonts w:ascii="宋体" w:hAnsi="宋体" w:eastAsia="宋体" w:cs="宋体"/>
          <w:spacing w:val="0"/>
          <w:sz w:val="24"/>
          <w:szCs w:val="24"/>
        </w:rPr>
      </w:pPr>
      <w:r>
        <w:rPr>
          <w:rFonts w:ascii="宋体" w:hAnsi="宋体" w:eastAsia="宋体" w:cs="宋体"/>
          <w:spacing w:val="0"/>
          <w:sz w:val="24"/>
          <w:szCs w:val="24"/>
        </w:rPr>
        <w:t>M——试样重，单位g。</w:t>
      </w:r>
    </w:p>
    <w:p>
      <w:pPr>
        <w:keepNext w:val="0"/>
        <w:keepLines w:val="0"/>
        <w:pageBreakBefore w:val="0"/>
        <w:widowControl/>
        <w:kinsoku w:val="0"/>
        <w:wordWrap/>
        <w:overflowPunct/>
        <w:topLinePunct w:val="0"/>
        <w:autoSpaceDE w:val="0"/>
        <w:autoSpaceDN w:val="0"/>
        <w:bidi w:val="0"/>
        <w:adjustRightInd w:val="0"/>
        <w:snapToGrid w:val="0"/>
        <w:spacing w:before="162" w:line="360" w:lineRule="auto"/>
        <w:ind w:left="27"/>
        <w:textAlignment w:val="baseline"/>
        <w:rPr>
          <w:rFonts w:ascii="宋体" w:hAnsi="宋体" w:eastAsia="宋体" w:cs="宋体"/>
          <w:spacing w:val="0"/>
          <w:sz w:val="24"/>
          <w:szCs w:val="24"/>
        </w:rPr>
      </w:pPr>
      <w:r>
        <w:rPr>
          <w:rFonts w:ascii="宋体" w:hAnsi="宋体" w:eastAsia="宋体" w:cs="宋体"/>
          <w:b/>
          <w:bCs/>
          <w:spacing w:val="0"/>
          <w:sz w:val="24"/>
          <w:szCs w:val="24"/>
        </w:rPr>
        <w:t>1.5.2</w:t>
      </w:r>
      <w:r>
        <w:rPr>
          <w:rFonts w:ascii="宋体" w:hAnsi="宋体" w:eastAsia="宋体" w:cs="宋体"/>
          <w:spacing w:val="0"/>
          <w:sz w:val="24"/>
          <w:szCs w:val="24"/>
        </w:rPr>
        <w:t xml:space="preserve"> </w:t>
      </w:r>
      <w:r>
        <w:rPr>
          <w:rFonts w:ascii="宋体" w:hAnsi="宋体" w:eastAsia="宋体" w:cs="宋体"/>
          <w:b/>
          <w:bCs/>
          <w:spacing w:val="0"/>
          <w:sz w:val="24"/>
          <w:szCs w:val="24"/>
        </w:rPr>
        <w:t>物理分析方法</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13" w:right="200" w:firstLine="476"/>
        <w:textAlignment w:val="baseline"/>
        <w:rPr>
          <w:rFonts w:ascii="宋体" w:hAnsi="宋体" w:eastAsia="宋体" w:cs="宋体"/>
          <w:spacing w:val="0"/>
          <w:sz w:val="24"/>
          <w:szCs w:val="24"/>
        </w:rPr>
      </w:pPr>
      <w:r>
        <w:rPr>
          <w:rFonts w:ascii="宋体" w:hAnsi="宋体" w:eastAsia="宋体" w:cs="宋体"/>
          <w:spacing w:val="0"/>
          <w:sz w:val="24"/>
          <w:szCs w:val="24"/>
        </w:rPr>
        <w:t>碳酸锰矿石水分含量应依据《GB/T 29516-2013锰矿石 水分含量测定》的规定进行。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textAlignment w:val="baseline"/>
        <w:outlineLvl w:val="0"/>
        <w:rPr>
          <w:rFonts w:ascii="宋体" w:hAnsi="宋体" w:eastAsia="宋体" w:cs="宋体"/>
          <w:spacing w:val="0"/>
          <w:sz w:val="24"/>
          <w:szCs w:val="24"/>
        </w:rPr>
      </w:pPr>
      <w:bookmarkStart w:id="6" w:name="bookmark7"/>
      <w:bookmarkEnd w:id="6"/>
      <w:r>
        <w:rPr>
          <w:rFonts w:ascii="宋体" w:hAnsi="宋体" w:eastAsia="宋体" w:cs="宋体"/>
          <w:b/>
          <w:bCs/>
          <w:spacing w:val="0"/>
          <w:sz w:val="24"/>
          <w:szCs w:val="24"/>
        </w:rPr>
        <w:t>1.6</w:t>
      </w:r>
      <w:r>
        <w:rPr>
          <w:rFonts w:ascii="宋体" w:hAnsi="宋体" w:eastAsia="宋体" w:cs="宋体"/>
          <w:spacing w:val="0"/>
          <w:sz w:val="24"/>
          <w:szCs w:val="24"/>
        </w:rPr>
        <w:t xml:space="preserve"> </w:t>
      </w:r>
      <w:r>
        <w:rPr>
          <w:rFonts w:ascii="宋体" w:hAnsi="宋体" w:eastAsia="宋体" w:cs="宋体"/>
          <w:b/>
          <w:bCs/>
          <w:spacing w:val="0"/>
          <w:sz w:val="24"/>
          <w:szCs w:val="24"/>
        </w:rPr>
        <w:t>检测频次</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18" w:right="204" w:firstLine="8"/>
        <w:textAlignment w:val="baseline"/>
        <w:rPr>
          <w:rFonts w:ascii="宋体" w:hAnsi="宋体" w:eastAsia="宋体" w:cs="宋体"/>
          <w:spacing w:val="0"/>
          <w:sz w:val="24"/>
          <w:szCs w:val="24"/>
        </w:rPr>
      </w:pPr>
      <w:r>
        <w:rPr>
          <w:rFonts w:ascii="宋体" w:hAnsi="宋体" w:eastAsia="宋体" w:cs="宋体"/>
          <w:spacing w:val="0"/>
          <w:sz w:val="24"/>
          <w:szCs w:val="24"/>
        </w:rPr>
        <w:t xml:space="preserve"> 碳酸锰矿石运到</w:t>
      </w:r>
      <w:r>
        <w:rPr>
          <w:rFonts w:hint="eastAsia" w:ascii="宋体" w:hAnsi="宋体" w:eastAsia="宋体" w:cs="宋体"/>
          <w:spacing w:val="0"/>
          <w:sz w:val="24"/>
          <w:szCs w:val="24"/>
          <w:lang w:eastAsia="zh-CN"/>
        </w:rPr>
        <w:t>指定卸货地点后</w:t>
      </w:r>
      <w:r>
        <w:rPr>
          <w:rFonts w:ascii="宋体" w:hAnsi="宋体" w:eastAsia="宋体" w:cs="宋体"/>
          <w:spacing w:val="0"/>
          <w:sz w:val="24"/>
          <w:szCs w:val="24"/>
        </w:rPr>
        <w:t>，</w:t>
      </w:r>
      <w:r>
        <w:rPr>
          <w:rFonts w:hint="eastAsia" w:ascii="宋体" w:hAnsi="宋体" w:eastAsia="宋体" w:cs="宋体"/>
          <w:spacing w:val="0"/>
          <w:sz w:val="24"/>
          <w:szCs w:val="24"/>
        </w:rPr>
        <w:t>每车次矿石需在车辆前、中、后、左、右等多点、深部（距表面0.5米以下）取样，使用专用取样钎，确保样品具有代表性。每车份样量不少于5kg。所有份样合并为该批次大样</w:t>
      </w:r>
      <w:r>
        <w:rPr>
          <w:rFonts w:ascii="宋体" w:hAnsi="宋体" w:eastAsia="宋体" w:cs="宋体"/>
          <w:spacing w:val="0"/>
          <w:sz w:val="24"/>
          <w:szCs w:val="24"/>
        </w:rPr>
        <w:t>，直至当日调运完毕后，用</w:t>
      </w:r>
      <w:r>
        <w:rPr>
          <w:rFonts w:hint="eastAsia" w:ascii="宋体" w:hAnsi="宋体" w:eastAsia="宋体" w:cs="宋体"/>
          <w:spacing w:val="0"/>
          <w:sz w:val="24"/>
          <w:szCs w:val="24"/>
          <w:lang w:eastAsia="zh-CN"/>
        </w:rPr>
        <w:t>取样</w:t>
      </w:r>
      <w:r>
        <w:rPr>
          <w:rFonts w:hint="eastAsia" w:ascii="宋体" w:hAnsi="宋体" w:eastAsia="宋体" w:cs="宋体"/>
          <w:spacing w:val="0"/>
          <w:sz w:val="24"/>
          <w:szCs w:val="24"/>
        </w:rPr>
        <w:t>钎</w:t>
      </w:r>
      <w:r>
        <w:rPr>
          <w:rFonts w:ascii="宋体" w:hAnsi="宋体" w:eastAsia="宋体" w:cs="宋体"/>
          <w:spacing w:val="0"/>
          <w:sz w:val="24"/>
          <w:szCs w:val="24"/>
        </w:rPr>
        <w:t>均匀综合大样，当质量出现异常时需加严抽检。</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textAlignment w:val="baseline"/>
        <w:outlineLvl w:val="0"/>
        <w:rPr>
          <w:rFonts w:ascii="宋体" w:hAnsi="宋体" w:eastAsia="宋体" w:cs="宋体"/>
          <w:spacing w:val="0"/>
          <w:sz w:val="24"/>
          <w:szCs w:val="24"/>
        </w:rPr>
      </w:pPr>
      <w:bookmarkStart w:id="7" w:name="bookmark8"/>
      <w:bookmarkEnd w:id="7"/>
      <w:r>
        <w:rPr>
          <w:rFonts w:ascii="宋体" w:hAnsi="宋体" w:eastAsia="宋体" w:cs="宋体"/>
          <w:b/>
          <w:bCs/>
          <w:spacing w:val="0"/>
          <w:sz w:val="24"/>
          <w:szCs w:val="24"/>
        </w:rPr>
        <w:t>1.7</w:t>
      </w:r>
      <w:r>
        <w:rPr>
          <w:rFonts w:ascii="宋体" w:hAnsi="宋体" w:eastAsia="宋体" w:cs="宋体"/>
          <w:spacing w:val="0"/>
          <w:sz w:val="24"/>
          <w:szCs w:val="24"/>
        </w:rPr>
        <w:t xml:space="preserve"> </w:t>
      </w:r>
      <w:r>
        <w:rPr>
          <w:rFonts w:ascii="宋体" w:hAnsi="宋体" w:eastAsia="宋体" w:cs="宋体"/>
          <w:b/>
          <w:bCs/>
          <w:spacing w:val="0"/>
          <w:sz w:val="24"/>
          <w:szCs w:val="24"/>
        </w:rPr>
        <w:t>仲裁</w:t>
      </w:r>
    </w:p>
    <w:p>
      <w:pPr>
        <w:keepNext w:val="0"/>
        <w:keepLines w:val="0"/>
        <w:pageBreakBefore w:val="0"/>
        <w:widowControl/>
        <w:kinsoku w:val="0"/>
        <w:wordWrap/>
        <w:overflowPunct/>
        <w:topLinePunct w:val="0"/>
        <w:autoSpaceDE w:val="0"/>
        <w:autoSpaceDN w:val="0"/>
        <w:bidi w:val="0"/>
        <w:adjustRightInd w:val="0"/>
        <w:snapToGrid w:val="0"/>
        <w:spacing w:before="158" w:line="360" w:lineRule="auto"/>
        <w:ind w:left="9" w:right="200" w:firstLine="17"/>
        <w:textAlignment w:val="baseline"/>
        <w:rPr>
          <w:rFonts w:ascii="宋体" w:hAnsi="宋体" w:eastAsia="宋体" w:cs="宋体"/>
          <w:spacing w:val="0"/>
          <w:sz w:val="24"/>
          <w:szCs w:val="24"/>
        </w:rPr>
      </w:pPr>
      <w:r>
        <w:rPr>
          <w:rFonts w:ascii="宋体" w:hAnsi="宋体" w:eastAsia="宋体" w:cs="宋体"/>
          <w:spacing w:val="0"/>
          <w:sz w:val="24"/>
          <w:szCs w:val="24"/>
        </w:rPr>
        <w:t>1.7.1 供方对质量验收有异议的，收到化验报告单后 3 个工作日内以函件的方式向需方提出复检要求。复检函件内容包括进厂时间、批次、数量、提出异议的原因等相关信息。</w:t>
      </w:r>
    </w:p>
    <w:p>
      <w:pPr>
        <w:keepNext w:val="0"/>
        <w:keepLines w:val="0"/>
        <w:pageBreakBefore w:val="0"/>
        <w:widowControl/>
        <w:kinsoku w:val="0"/>
        <w:wordWrap/>
        <w:overflowPunct/>
        <w:topLinePunct w:val="0"/>
        <w:autoSpaceDE w:val="0"/>
        <w:autoSpaceDN w:val="0"/>
        <w:bidi w:val="0"/>
        <w:adjustRightInd w:val="0"/>
        <w:snapToGrid w:val="0"/>
        <w:spacing w:before="155" w:line="360" w:lineRule="auto"/>
        <w:ind w:left="10" w:right="138" w:firstLine="16"/>
        <w:textAlignment w:val="baseline"/>
        <w:rPr>
          <w:rFonts w:ascii="宋体" w:hAnsi="宋体" w:eastAsia="宋体" w:cs="宋体"/>
          <w:spacing w:val="0"/>
          <w:sz w:val="24"/>
          <w:szCs w:val="24"/>
        </w:rPr>
      </w:pPr>
      <w:r>
        <w:rPr>
          <w:rFonts w:ascii="宋体" w:hAnsi="宋体" w:eastAsia="宋体" w:cs="宋体"/>
          <w:spacing w:val="0"/>
          <w:sz w:val="24"/>
          <w:szCs w:val="24"/>
        </w:rPr>
        <w:t>1.7.2 公司结算员收到复检要求后，在 OA 上提起“吉利百矿-复检/仲裁审批 ”流程（流程需附复检仲裁函件、检测结果、合同或质量指标要求），经流程提起部门负责人、相关科室业务审核、质量分管领导、总经理、集团采购中心、质量</w:t>
      </w:r>
      <w:r>
        <w:rPr>
          <w:rFonts w:hint="eastAsia" w:ascii="宋体" w:hAnsi="宋体" w:eastAsia="宋体" w:cs="宋体"/>
          <w:spacing w:val="0"/>
          <w:sz w:val="24"/>
          <w:szCs w:val="24"/>
          <w:lang w:eastAsia="zh-CN"/>
        </w:rPr>
        <w:t>部</w:t>
      </w:r>
      <w:r>
        <w:rPr>
          <w:rFonts w:ascii="宋体" w:hAnsi="宋体" w:eastAsia="宋体" w:cs="宋体"/>
          <w:spacing w:val="0"/>
          <w:sz w:val="24"/>
          <w:szCs w:val="24"/>
        </w:rPr>
        <w:t>审批后，抄送</w:t>
      </w:r>
      <w:r>
        <w:rPr>
          <w:rFonts w:hint="eastAsia" w:ascii="宋体" w:hAnsi="宋体" w:eastAsia="宋体" w:cs="宋体"/>
          <w:spacing w:val="0"/>
          <w:sz w:val="24"/>
          <w:szCs w:val="24"/>
          <w:lang w:eastAsia="zh-CN"/>
        </w:rPr>
        <w:t>质量室</w:t>
      </w:r>
      <w:r>
        <w:rPr>
          <w:rFonts w:ascii="宋体" w:hAnsi="宋体" w:eastAsia="宋体" w:cs="宋体"/>
          <w:spacing w:val="0"/>
          <w:sz w:val="24"/>
          <w:szCs w:val="24"/>
        </w:rPr>
        <w:t>执行。</w:t>
      </w:r>
    </w:p>
    <w:p>
      <w:pPr>
        <w:keepNext w:val="0"/>
        <w:keepLines w:val="0"/>
        <w:pageBreakBefore w:val="0"/>
        <w:widowControl/>
        <w:kinsoku w:val="0"/>
        <w:wordWrap/>
        <w:overflowPunct/>
        <w:topLinePunct w:val="0"/>
        <w:autoSpaceDE w:val="0"/>
        <w:autoSpaceDN w:val="0"/>
        <w:bidi w:val="0"/>
        <w:adjustRightInd w:val="0"/>
        <w:snapToGrid w:val="0"/>
        <w:spacing w:before="153" w:line="360" w:lineRule="auto"/>
        <w:jc w:val="left"/>
        <w:textAlignment w:val="baseline"/>
        <w:rPr>
          <w:rFonts w:ascii="宋体" w:hAnsi="宋体" w:eastAsia="宋体" w:cs="宋体"/>
          <w:spacing w:val="0"/>
          <w:sz w:val="24"/>
          <w:szCs w:val="24"/>
        </w:rPr>
      </w:pPr>
      <w:r>
        <w:rPr>
          <w:rFonts w:ascii="宋体" w:hAnsi="宋体" w:eastAsia="宋体" w:cs="宋体"/>
          <w:spacing w:val="0"/>
          <w:sz w:val="24"/>
          <w:szCs w:val="24"/>
        </w:rPr>
        <w:t>1.7.3 公司结算员将复检时间回复至供方，要求供方及时到达现场开展复检仲裁工作。</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pacing w:val="0"/>
          <w:sz w:val="24"/>
          <w:szCs w:val="24"/>
        </w:rPr>
      </w:pPr>
      <w:r>
        <w:rPr>
          <w:rFonts w:ascii="宋体" w:hAnsi="宋体" w:eastAsia="宋体" w:cs="宋体"/>
          <w:spacing w:val="0"/>
          <w:sz w:val="24"/>
          <w:szCs w:val="24"/>
        </w:rPr>
        <w:t>1.7.4 双方一同到达现场采取（提取）复检仲裁样品，并填写《复检仲裁样品取送样确认单》，同时保留影像资料。若提出异议的供方无法参与，视为完全认可需方复检结果。</w:t>
      </w: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176"/>
        <w:textAlignment w:val="baseline"/>
        <w:rPr>
          <w:rFonts w:ascii="宋体" w:hAnsi="宋体" w:eastAsia="宋体" w:cs="宋体"/>
          <w:spacing w:val="0"/>
          <w:sz w:val="24"/>
          <w:szCs w:val="24"/>
        </w:rPr>
      </w:pPr>
      <w:r>
        <w:rPr>
          <w:rFonts w:ascii="宋体" w:hAnsi="宋体" w:eastAsia="宋体" w:cs="宋体"/>
          <w:spacing w:val="0"/>
          <w:sz w:val="24"/>
          <w:szCs w:val="24"/>
        </w:rPr>
        <w:t>1.7.5 已开发票结算的批次，不得申请复检。</w:t>
      </w:r>
    </w:p>
    <w:p>
      <w:pPr>
        <w:keepNext w:val="0"/>
        <w:keepLines w:val="0"/>
        <w:pageBreakBefore w:val="0"/>
        <w:widowControl/>
        <w:kinsoku w:val="0"/>
        <w:wordWrap/>
        <w:overflowPunct/>
        <w:topLinePunct w:val="0"/>
        <w:autoSpaceDE w:val="0"/>
        <w:autoSpaceDN w:val="0"/>
        <w:bidi w:val="0"/>
        <w:adjustRightInd w:val="0"/>
        <w:snapToGrid w:val="0"/>
        <w:spacing w:before="156" w:line="360" w:lineRule="auto"/>
        <w:ind w:left="176"/>
        <w:textAlignment w:val="baseline"/>
        <w:outlineLvl w:val="0"/>
        <w:rPr>
          <w:rFonts w:ascii="宋体" w:hAnsi="宋体" w:eastAsia="宋体" w:cs="宋体"/>
          <w:spacing w:val="0"/>
          <w:sz w:val="24"/>
          <w:szCs w:val="24"/>
        </w:rPr>
      </w:pPr>
      <w:bookmarkStart w:id="8" w:name="bookmark9"/>
      <w:bookmarkEnd w:id="8"/>
      <w:r>
        <w:rPr>
          <w:rFonts w:ascii="宋体" w:hAnsi="宋体" w:eastAsia="宋体" w:cs="宋体"/>
          <w:b/>
          <w:bCs/>
          <w:spacing w:val="0"/>
          <w:sz w:val="24"/>
          <w:szCs w:val="24"/>
        </w:rPr>
        <w:t>1.8</w:t>
      </w:r>
      <w:r>
        <w:rPr>
          <w:rFonts w:ascii="宋体" w:hAnsi="宋体" w:eastAsia="宋体" w:cs="宋体"/>
          <w:spacing w:val="0"/>
          <w:sz w:val="24"/>
          <w:szCs w:val="24"/>
        </w:rPr>
        <w:t xml:space="preserve"> </w:t>
      </w:r>
      <w:r>
        <w:rPr>
          <w:rFonts w:ascii="宋体" w:hAnsi="宋体" w:eastAsia="宋体" w:cs="宋体"/>
          <w:b/>
          <w:bCs/>
          <w:spacing w:val="0"/>
          <w:sz w:val="24"/>
          <w:szCs w:val="24"/>
        </w:rPr>
        <w:t>扣款细则</w:t>
      </w:r>
    </w:p>
    <w:p>
      <w:pPr>
        <w:keepNext w:val="0"/>
        <w:keepLines w:val="0"/>
        <w:pageBreakBefore w:val="0"/>
        <w:widowControl/>
        <w:kinsoku w:val="0"/>
        <w:wordWrap/>
        <w:overflowPunct/>
        <w:topLinePunct w:val="0"/>
        <w:autoSpaceDE w:val="0"/>
        <w:autoSpaceDN w:val="0"/>
        <w:bidi w:val="0"/>
        <w:adjustRightInd w:val="0"/>
        <w:snapToGrid w:val="0"/>
        <w:spacing w:before="152" w:line="360" w:lineRule="auto"/>
        <w:ind w:left="159" w:firstLine="494"/>
        <w:textAlignment w:val="baseline"/>
        <w:rPr>
          <w:rFonts w:ascii="宋体" w:hAnsi="宋体" w:eastAsia="宋体" w:cs="宋体"/>
          <w:spacing w:val="0"/>
          <w:sz w:val="24"/>
          <w:szCs w:val="24"/>
        </w:rPr>
      </w:pPr>
      <w:r>
        <w:rPr>
          <w:rFonts w:ascii="宋体" w:hAnsi="宋体" w:eastAsia="宋体" w:cs="宋体"/>
          <w:spacing w:val="0"/>
          <w:sz w:val="24"/>
          <w:szCs w:val="24"/>
        </w:rPr>
        <w:t>当供方供应的碳酸锰矿石不合格时，如需方同意接收使用的，按以下碳酸锰矿石质量协议进行扣款，否则进行退货处理。</w:t>
      </w:r>
    </w:p>
    <w:p>
      <w:pPr>
        <w:spacing w:line="69" w:lineRule="exact"/>
      </w:pPr>
    </w:p>
    <w:tbl>
      <w:tblPr>
        <w:tblStyle w:val="7"/>
        <w:tblW w:w="89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2"/>
        <w:gridCol w:w="1986"/>
        <w:gridCol w:w="2394"/>
        <w:gridCol w:w="250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928" w:type="dxa"/>
            <w:gridSpan w:val="4"/>
            <w:vAlign w:val="top"/>
          </w:tcPr>
          <w:p>
            <w:pPr>
              <w:pStyle w:val="6"/>
              <w:spacing w:before="247" w:line="228" w:lineRule="auto"/>
              <w:ind w:left="3521"/>
            </w:pPr>
            <w:r>
              <w:rPr>
                <w:b/>
                <w:bCs/>
                <w:spacing w:val="7"/>
              </w:rPr>
              <w:t>碳酸锰矿石质量协议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042" w:type="dxa"/>
            <w:vAlign w:val="top"/>
          </w:tcPr>
          <w:p>
            <w:pPr>
              <w:pStyle w:val="6"/>
              <w:spacing w:before="235" w:line="228" w:lineRule="auto"/>
              <w:ind w:left="605"/>
            </w:pPr>
            <w:r>
              <w:rPr>
                <w:b/>
                <w:bCs/>
                <w:spacing w:val="6"/>
              </w:rPr>
              <w:t>检测项目</w:t>
            </w:r>
          </w:p>
        </w:tc>
        <w:tc>
          <w:tcPr>
            <w:tcW w:w="1986" w:type="dxa"/>
            <w:vAlign w:val="top"/>
          </w:tcPr>
          <w:p>
            <w:pPr>
              <w:pStyle w:val="6"/>
              <w:spacing w:before="236" w:line="228" w:lineRule="auto"/>
              <w:ind w:left="579"/>
            </w:pPr>
            <w:r>
              <w:rPr>
                <w:b/>
                <w:bCs/>
                <w:spacing w:val="5"/>
              </w:rPr>
              <w:t>指标要求</w:t>
            </w:r>
          </w:p>
        </w:tc>
        <w:tc>
          <w:tcPr>
            <w:tcW w:w="4900" w:type="dxa"/>
            <w:gridSpan w:val="2"/>
            <w:vAlign w:val="top"/>
          </w:tcPr>
          <w:p>
            <w:pPr>
              <w:pStyle w:val="6"/>
              <w:spacing w:before="235" w:line="228" w:lineRule="auto"/>
              <w:ind w:left="874"/>
            </w:pPr>
            <w:r>
              <w:rPr>
                <w:b/>
                <w:bCs/>
                <w:spacing w:val="7"/>
              </w:rPr>
              <w:t>质量细则约定（按合同约定执行）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042" w:type="dxa"/>
            <w:vMerge w:val="restart"/>
            <w:vAlign w:val="top"/>
          </w:tcPr>
          <w:p>
            <w:pPr>
              <w:spacing w:line="419" w:lineRule="auto"/>
              <w:rPr>
                <w:rFonts w:ascii="Arial"/>
                <w:sz w:val="21"/>
              </w:rPr>
            </w:pPr>
          </w:p>
          <w:p>
            <w:pPr>
              <w:pStyle w:val="6"/>
              <w:spacing w:before="65" w:line="235" w:lineRule="auto"/>
              <w:ind w:left="863"/>
              <w:rPr>
                <w:sz w:val="10"/>
                <w:szCs w:val="10"/>
              </w:rPr>
            </w:pPr>
            <w:r>
              <w:rPr>
                <w:position w:val="-4"/>
              </w:rPr>
              <w:t>Mn</w:t>
            </w:r>
            <w:r>
              <w:rPr>
                <w:spacing w:val="7"/>
                <w:position w:val="5"/>
                <w:sz w:val="10"/>
                <w:szCs w:val="10"/>
              </w:rPr>
              <w:t>2+</w:t>
            </w:r>
          </w:p>
        </w:tc>
        <w:tc>
          <w:tcPr>
            <w:tcW w:w="1986" w:type="dxa"/>
            <w:vMerge w:val="restart"/>
            <w:vAlign w:val="top"/>
          </w:tcPr>
          <w:p>
            <w:pPr>
              <w:spacing w:line="436" w:lineRule="auto"/>
              <w:rPr>
                <w:rFonts w:ascii="Arial"/>
                <w:sz w:val="21"/>
              </w:rPr>
            </w:pPr>
          </w:p>
          <w:p>
            <w:pPr>
              <w:pStyle w:val="6"/>
              <w:spacing w:before="65" w:line="229" w:lineRule="auto"/>
              <w:ind w:left="418"/>
            </w:pPr>
            <w:r>
              <w:rPr>
                <w:spacing w:val="-1"/>
              </w:rPr>
              <w:t>以</w:t>
            </w:r>
            <w:r>
              <w:rPr>
                <w:spacing w:val="-21"/>
              </w:rPr>
              <w:t xml:space="preserve"> </w:t>
            </w:r>
            <w:r>
              <w:rPr>
                <w:spacing w:val="-1"/>
              </w:rPr>
              <w:t>12%为基准</w:t>
            </w:r>
          </w:p>
        </w:tc>
        <w:tc>
          <w:tcPr>
            <w:tcW w:w="2394" w:type="dxa"/>
            <w:vAlign w:val="top"/>
          </w:tcPr>
          <w:p>
            <w:pPr>
              <w:pStyle w:val="6"/>
              <w:spacing w:before="237" w:line="228" w:lineRule="auto"/>
              <w:ind w:left="112"/>
            </w:pPr>
            <w:r>
              <w:rPr>
                <w:spacing w:val="5"/>
              </w:rPr>
              <w:t>每高于要求</w:t>
            </w:r>
            <w:r>
              <w:rPr>
                <w:spacing w:val="-32"/>
              </w:rPr>
              <w:t xml:space="preserve"> </w:t>
            </w:r>
            <w:r>
              <w:rPr>
                <w:spacing w:val="5"/>
              </w:rPr>
              <w:t>0.1%</w:t>
            </w:r>
          </w:p>
        </w:tc>
        <w:tc>
          <w:tcPr>
            <w:tcW w:w="2506" w:type="dxa"/>
            <w:vAlign w:val="top"/>
          </w:tcPr>
          <w:p>
            <w:pPr>
              <w:pStyle w:val="6"/>
              <w:spacing w:before="238" w:line="228" w:lineRule="auto"/>
              <w:ind w:left="114"/>
            </w:pPr>
            <w:r>
              <w:rPr>
                <w:spacing w:val="2"/>
              </w:rPr>
              <w:t>增加</w:t>
            </w:r>
            <w:r>
              <w:rPr>
                <w:spacing w:val="-32"/>
              </w:rPr>
              <w:t xml:space="preserve"> </w:t>
            </w:r>
            <w:r>
              <w:rPr>
                <w:spacing w:val="2"/>
              </w:rPr>
              <w:t>3</w:t>
            </w:r>
            <w:r>
              <w:rPr>
                <w:spacing w:val="-36"/>
              </w:rPr>
              <w:t xml:space="preserve"> </w:t>
            </w:r>
            <w:r>
              <w:rPr>
                <w:spacing w:val="2"/>
              </w:rPr>
              <w:t>元/吨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042" w:type="dxa"/>
            <w:vMerge w:val="continue"/>
            <w:vAlign w:val="top"/>
          </w:tcPr>
          <w:p>
            <w:pPr>
              <w:rPr>
                <w:rFonts w:ascii="Arial"/>
                <w:sz w:val="21"/>
              </w:rPr>
            </w:pPr>
          </w:p>
        </w:tc>
        <w:tc>
          <w:tcPr>
            <w:tcW w:w="1986" w:type="dxa"/>
            <w:vMerge w:val="continue"/>
            <w:vAlign w:val="top"/>
          </w:tcPr>
          <w:p>
            <w:pPr>
              <w:rPr>
                <w:rFonts w:ascii="Arial"/>
                <w:sz w:val="21"/>
              </w:rPr>
            </w:pPr>
          </w:p>
        </w:tc>
        <w:tc>
          <w:tcPr>
            <w:tcW w:w="2394" w:type="dxa"/>
            <w:vAlign w:val="top"/>
          </w:tcPr>
          <w:p>
            <w:pPr>
              <w:pStyle w:val="6"/>
              <w:spacing w:before="238" w:line="228" w:lineRule="auto"/>
              <w:ind w:left="112"/>
            </w:pPr>
            <w:r>
              <w:rPr>
                <w:spacing w:val="5"/>
              </w:rPr>
              <w:t>每低于要求</w:t>
            </w:r>
            <w:r>
              <w:rPr>
                <w:spacing w:val="-32"/>
              </w:rPr>
              <w:t xml:space="preserve"> </w:t>
            </w:r>
            <w:r>
              <w:rPr>
                <w:spacing w:val="5"/>
              </w:rPr>
              <w:t>0.1%</w:t>
            </w:r>
          </w:p>
        </w:tc>
        <w:tc>
          <w:tcPr>
            <w:tcW w:w="2506" w:type="dxa"/>
            <w:vAlign w:val="top"/>
          </w:tcPr>
          <w:p>
            <w:pPr>
              <w:pStyle w:val="6"/>
              <w:spacing w:before="239" w:line="228" w:lineRule="auto"/>
              <w:ind w:left="117"/>
            </w:pPr>
            <w:r>
              <w:rPr>
                <w:spacing w:val="2"/>
              </w:rPr>
              <w:t>扣款</w:t>
            </w:r>
            <w:r>
              <w:rPr>
                <w:spacing w:val="-33"/>
              </w:rPr>
              <w:t xml:space="preserve"> </w:t>
            </w:r>
            <w:r>
              <w:rPr>
                <w:spacing w:val="2"/>
              </w:rPr>
              <w:t>3</w:t>
            </w:r>
            <w:r>
              <w:rPr>
                <w:spacing w:val="-37"/>
              </w:rPr>
              <w:t xml:space="preserve"> </w:t>
            </w:r>
            <w:r>
              <w:rPr>
                <w:spacing w:val="2"/>
              </w:rPr>
              <w:t>元/吨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042" w:type="dxa"/>
            <w:vMerge w:val="continue"/>
            <w:vAlign w:val="top"/>
          </w:tcPr>
          <w:p>
            <w:pPr>
              <w:rPr>
                <w:rFonts w:ascii="Arial"/>
                <w:sz w:val="21"/>
              </w:rPr>
            </w:pPr>
          </w:p>
        </w:tc>
        <w:tc>
          <w:tcPr>
            <w:tcW w:w="1986" w:type="dxa"/>
            <w:vMerge w:val="continue"/>
            <w:vAlign w:val="top"/>
          </w:tcPr>
          <w:p>
            <w:pPr>
              <w:rPr>
                <w:rFonts w:ascii="Arial"/>
                <w:sz w:val="21"/>
              </w:rPr>
            </w:pPr>
          </w:p>
        </w:tc>
        <w:tc>
          <w:tcPr>
            <w:tcW w:w="2394" w:type="dxa"/>
            <w:vAlign w:val="top"/>
          </w:tcPr>
          <w:p>
            <w:pPr>
              <w:pStyle w:val="6"/>
              <w:spacing w:before="238" w:line="228" w:lineRule="auto"/>
              <w:ind w:left="112"/>
              <w:rPr>
                <w:rFonts w:hint="default" w:eastAsia="宋体"/>
                <w:spacing w:val="5"/>
                <w:lang w:val="en-US" w:eastAsia="zh-CN"/>
              </w:rPr>
            </w:pPr>
            <w:r>
              <w:rPr>
                <w:rFonts w:hint="eastAsia"/>
                <w:spacing w:val="5"/>
                <w:lang w:val="en-US" w:eastAsia="zh-CN"/>
              </w:rPr>
              <w:t>低于10%</w:t>
            </w:r>
          </w:p>
        </w:tc>
        <w:tc>
          <w:tcPr>
            <w:tcW w:w="2506" w:type="dxa"/>
            <w:vAlign w:val="top"/>
          </w:tcPr>
          <w:p>
            <w:pPr>
              <w:pStyle w:val="6"/>
              <w:spacing w:before="239" w:line="228" w:lineRule="auto"/>
              <w:ind w:left="117"/>
              <w:rPr>
                <w:rFonts w:hint="eastAsia" w:eastAsia="宋体"/>
                <w:spacing w:val="2"/>
                <w:lang w:eastAsia="zh-CN"/>
              </w:rPr>
            </w:pPr>
            <w:r>
              <w:rPr>
                <w:rFonts w:ascii="宋体" w:hAnsi="宋体" w:eastAsia="宋体" w:cs="宋体"/>
                <w:color w:val="auto"/>
                <w:sz w:val="20"/>
                <w:szCs w:val="20"/>
                <w:highlight w:val="none"/>
              </w:rPr>
              <w:t>需方有权拒收</w:t>
            </w:r>
            <w:r>
              <w:rPr>
                <w:rFonts w:hint="eastAsia" w:cs="宋体"/>
                <w:color w:val="auto"/>
                <w:sz w:val="20"/>
                <w:szCs w:val="20"/>
                <w:highlight w:val="none"/>
                <w:lang w:eastAsia="zh-CN"/>
              </w:rPr>
              <w:t>。</w:t>
            </w:r>
            <w:r>
              <w:rPr>
                <w:rFonts w:hint="eastAsia" w:asciiTheme="minorEastAsia" w:hAnsiTheme="minorEastAsia" w:eastAsiaTheme="minorEastAsia" w:cstheme="minorEastAsia"/>
                <w:i w:val="0"/>
                <w:iCs w:val="0"/>
                <w:caps w:val="0"/>
                <w:color w:val="auto"/>
                <w:spacing w:val="0"/>
                <w:sz w:val="20"/>
                <w:szCs w:val="20"/>
                <w:highlight w:val="none"/>
                <w:shd w:val="clear" w:fill="FFFFFF"/>
                <w:lang w:val="en-US" w:eastAsia="zh-CN"/>
              </w:rPr>
              <w:t>如由于生产需要让步接收的，按</w:t>
            </w:r>
            <w:r>
              <w:rPr>
                <w:rFonts w:ascii="宋体" w:hAnsi="宋体" w:eastAsia="宋体" w:cs="宋体"/>
                <w:color w:val="auto"/>
                <w:sz w:val="20"/>
                <w:szCs w:val="20"/>
                <w:highlight w:val="none"/>
              </w:rPr>
              <w:t>双方协商结果为结算依据</w:t>
            </w:r>
            <w:r>
              <w:rPr>
                <w:rFonts w:hint="eastAsia" w:cs="宋体"/>
                <w:color w:val="auto"/>
                <w:sz w:val="20"/>
                <w:szCs w:val="20"/>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2042" w:type="dxa"/>
            <w:vAlign w:val="top"/>
          </w:tcPr>
          <w:p>
            <w:pPr>
              <w:pStyle w:val="6"/>
              <w:spacing w:before="249" w:line="228" w:lineRule="auto"/>
              <w:ind w:left="608"/>
            </w:pPr>
            <w:r>
              <w:rPr>
                <w:spacing w:val="6"/>
              </w:rPr>
              <w:t>水分含量</w:t>
            </w:r>
          </w:p>
        </w:tc>
        <w:tc>
          <w:tcPr>
            <w:tcW w:w="1986" w:type="dxa"/>
            <w:vAlign w:val="top"/>
          </w:tcPr>
          <w:p>
            <w:pPr>
              <w:pStyle w:val="6"/>
              <w:spacing w:before="250" w:line="264" w:lineRule="exact"/>
              <w:ind w:left="803"/>
            </w:pPr>
            <w:r>
              <w:rPr>
                <w:spacing w:val="-2"/>
                <w:position w:val="1"/>
              </w:rPr>
              <w:t>≤3%</w:t>
            </w:r>
          </w:p>
        </w:tc>
        <w:tc>
          <w:tcPr>
            <w:tcW w:w="2394" w:type="dxa"/>
            <w:vAlign w:val="top"/>
          </w:tcPr>
          <w:p>
            <w:pPr>
              <w:pStyle w:val="6"/>
              <w:spacing w:before="249" w:line="228" w:lineRule="auto"/>
              <w:ind w:left="118"/>
            </w:pPr>
            <w:r>
              <w:t>高于</w:t>
            </w:r>
            <w:r>
              <w:rPr>
                <w:spacing w:val="-32"/>
              </w:rPr>
              <w:t xml:space="preserve"> </w:t>
            </w:r>
            <w:r>
              <w:t>3%</w:t>
            </w:r>
          </w:p>
        </w:tc>
        <w:tc>
          <w:tcPr>
            <w:tcW w:w="2506" w:type="dxa"/>
            <w:vAlign w:val="top"/>
          </w:tcPr>
          <w:p>
            <w:pPr>
              <w:pStyle w:val="6"/>
              <w:spacing w:before="249" w:line="228" w:lineRule="auto"/>
              <w:ind w:left="117"/>
            </w:pPr>
            <w:r>
              <w:rPr>
                <w:spacing w:val="6"/>
              </w:rPr>
              <w:t>扣除大于</w:t>
            </w:r>
            <w:r>
              <w:rPr>
                <w:spacing w:val="-33"/>
              </w:rPr>
              <w:t xml:space="preserve"> </w:t>
            </w:r>
            <w:r>
              <w:rPr>
                <w:spacing w:val="6"/>
              </w:rPr>
              <w:t>3%部分重量</w:t>
            </w:r>
          </w:p>
        </w:tc>
      </w:tr>
    </w:tbl>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8147"/>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p>
    <w:pPr>
      <w:spacing w:line="233" w:lineRule="auto"/>
      <w:ind w:left="814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3"/>
      <w:ind w:left="6814"/>
      <w:rPr>
        <w:rFonts w:ascii="黑体" w:hAnsi="黑体" w:eastAsia="黑体" w:cs="黑体"/>
        <w:sz w:val="24"/>
        <w:szCs w:val="24"/>
      </w:rPr>
    </w:pPr>
    <w:r>
      <mc:AlternateContent>
        <mc:Choice Requires="wps">
          <w:drawing>
            <wp:anchor distT="0" distB="0" distL="114300" distR="114300" simplePos="0" relativeHeight="251660288" behindDoc="0" locked="0" layoutInCell="0" allowOverlap="1">
              <wp:simplePos x="0" y="0"/>
              <wp:positionH relativeFrom="page">
                <wp:posOffset>972185</wp:posOffset>
              </wp:positionH>
              <wp:positionV relativeFrom="page">
                <wp:posOffset>781050</wp:posOffset>
              </wp:positionV>
              <wp:extent cx="5616575" cy="6350"/>
              <wp:effectExtent l="0" t="0" r="0" b="0"/>
              <wp:wrapNone/>
              <wp:docPr id="3" name="任意多边形 3"/>
              <wp:cNvGraphicFramePr/>
              <a:graphic xmlns:a="http://schemas.openxmlformats.org/drawingml/2006/main">
                <a:graphicData uri="http://schemas.microsoft.com/office/word/2010/wordprocessingShape">
                  <wps:wsp>
                    <wps:cNvSpPr/>
                    <wps:spPr>
                      <a:xfrm>
                        <a:off x="0" y="0"/>
                        <a:ext cx="5616575" cy="6350"/>
                      </a:xfrm>
                      <a:custGeom>
                        <a:avLst/>
                        <a:gdLst/>
                        <a:ahLst/>
                        <a:cxnLst/>
                        <a:pathLst>
                          <a:path w="8845" h="10">
                            <a:moveTo>
                              <a:pt x="0" y="0"/>
                            </a:moveTo>
                            <a:lnTo>
                              <a:pt x="8844" y="0"/>
                            </a:lnTo>
                            <a:lnTo>
                              <a:pt x="884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6.55pt;margin-top:61.5pt;height:0.5pt;width:442.25pt;mso-position-horizontal-relative:page;mso-position-vertical-relative:page;z-index:251660288;mso-width-relative:page;mso-height-relative:page;" fillcolor="#000000" filled="t" stroked="f" coordsize="8845,10" o:allowincell="f" o:gfxdata="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ZD8PtoAAAAMAQAADwAAAAAA&#10;AAABACAAAAAiAAAAZHJzL2Rvd25yZXYueG1sUEsBAhQAFAAAAAgAh07iQA9cWDoRAgAAeQQAAA4A&#10;AAAAAAAAAQAgAAAAKQEAAGRycy9lMm9Eb2MueG1sUEsFBgAAAAAGAAYAWQEAAKwFAAAAAA==&#10;" path="m0,0l8844,0,8844,9,0,9,0,0xe">
              <v:fill on="t" focussize="0,0"/>
              <v:stroke on="f"/>
              <v:imagedata o:title=""/>
              <o:lock v:ext="edit" aspectratio="f"/>
            </v:shape>
          </w:pict>
        </mc:Fallback>
      </mc:AlternateContent>
    </w:r>
    <w:r>
      <w:drawing>
        <wp:anchor distT="0" distB="0" distL="0" distR="0" simplePos="0" relativeHeight="251659264" behindDoc="0" locked="0" layoutInCell="0" allowOverlap="1">
          <wp:simplePos x="0" y="0"/>
          <wp:positionH relativeFrom="page">
            <wp:posOffset>1009650</wp:posOffset>
          </wp:positionH>
          <wp:positionV relativeFrom="page">
            <wp:posOffset>598170</wp:posOffset>
          </wp:positionV>
          <wp:extent cx="1753235" cy="12509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1753372" cy="125171"/>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3ZTYwZmY5YzJkNmJhYjkwMjQ3Y2I5OTIwYjNiZDEifQ=="/>
  </w:docVars>
  <w:rsids>
    <w:rsidRoot w:val="00000000"/>
    <w:rsid w:val="01D7751B"/>
    <w:rsid w:val="08584C96"/>
    <w:rsid w:val="0A371911"/>
    <w:rsid w:val="16B44444"/>
    <w:rsid w:val="18E65685"/>
    <w:rsid w:val="1AB61B49"/>
    <w:rsid w:val="1DE00997"/>
    <w:rsid w:val="1E8E20FF"/>
    <w:rsid w:val="20223D76"/>
    <w:rsid w:val="24A92885"/>
    <w:rsid w:val="26B94B8A"/>
    <w:rsid w:val="28F15E2B"/>
    <w:rsid w:val="2AB75986"/>
    <w:rsid w:val="3DAC0833"/>
    <w:rsid w:val="3F5D7D27"/>
    <w:rsid w:val="411C6AA7"/>
    <w:rsid w:val="461C1430"/>
    <w:rsid w:val="4C0D2006"/>
    <w:rsid w:val="4E5C4F50"/>
    <w:rsid w:val="51A04122"/>
    <w:rsid w:val="56F51D94"/>
    <w:rsid w:val="5B194EF7"/>
    <w:rsid w:val="5D9205BD"/>
    <w:rsid w:val="5F9916F3"/>
    <w:rsid w:val="64430E3F"/>
    <w:rsid w:val="65030F43"/>
    <w:rsid w:val="66E70916"/>
    <w:rsid w:val="69F50B3B"/>
    <w:rsid w:val="79F16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Strong"/>
    <w:basedOn w:val="4"/>
    <w:qFormat/>
    <w:uiPriority w:val="0"/>
    <w:rPr>
      <w:b/>
    </w:rPr>
  </w:style>
  <w:style w:type="paragraph" w:customStyle="1" w:styleId="6">
    <w:name w:val="Table Text"/>
    <w:basedOn w:val="1"/>
    <w:semiHidden/>
    <w:qFormat/>
    <w:uiPriority w:val="0"/>
    <w:rPr>
      <w:rFonts w:ascii="宋体" w:hAnsi="宋体" w:eastAsia="宋体" w:cs="宋体"/>
      <w:sz w:val="20"/>
      <w:szCs w:val="20"/>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2676</Words>
  <Characters>3020</Characters>
  <Lines>0</Lines>
  <Paragraphs>0</Paragraphs>
  <TotalTime>31</TotalTime>
  <ScaleCrop>false</ScaleCrop>
  <LinksUpToDate>false</LinksUpToDate>
  <CharactersWithSpaces>3096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2026-02-06T09:08:00Z</dcterms:created>
  <dc:creator>Administrator</dc:creator>
  <cp:lastModifiedBy>倾听</cp:lastModifiedBy>
  <cp:lastPrinted>2026-07-09T09:53:00Z</cp:lastPrinted>
  <dcterms:modified xsi:type="dcterms:W3CDTF">2026-09-02T06:38:19Z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KSOTemplateDocerSaveRecord">
    <vt:lpwstr>eyJoZGlkIjoiMzIzNTU2MzMxNTNmM2MzY2RjNGU0M2VmNzZkMjkyYWIiLCJ1c2VySWQiOiI0NTA2NDYwMjAifQ==</vt:lpwstr>
  </property>
  <property fmtid="{D5CDD505-2E9C-101B-9397-08002B2CF9AE}" pid="4" name="ICV">
    <vt:lpwstr>CBFC8D9EE49F4C9C9017C194CE3B9B3E_12</vt:lpwstr>
  </property>
</Properties>
</file>