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56" w:line="219" w:lineRule="auto"/>
        <w:jc w:val="center"/>
        <w:outlineLvl w:val="0"/>
        <w:rPr>
          <w:rFonts w:hint="eastAsia"/>
          <w:b/>
          <w:bCs/>
          <w:color w:val="auto"/>
          <w:spacing w:val="-1"/>
          <w:sz w:val="48"/>
          <w:szCs w:val="48"/>
          <w:highlight w:val="none"/>
          <w:lang w:eastAsia="zh-CN"/>
        </w:rPr>
      </w:pPr>
      <w:r>
        <w:rPr>
          <w:rFonts w:hint="eastAsia"/>
          <w:b/>
          <w:bCs/>
          <w:color w:val="auto"/>
          <w:spacing w:val="-1"/>
          <w:sz w:val="48"/>
          <w:szCs w:val="48"/>
          <w:highlight w:val="none"/>
          <w:lang w:eastAsia="zh-CN"/>
        </w:rPr>
        <w:t>一氧化锰矿粉（</w:t>
      </w:r>
      <w:r>
        <w:rPr>
          <w:b/>
          <w:bCs/>
          <w:color w:val="auto"/>
          <w:spacing w:val="-1"/>
          <w:sz w:val="48"/>
          <w:szCs w:val="48"/>
          <w:highlight w:val="none"/>
        </w:rPr>
        <w:t>焙烧矿粉</w:t>
      </w:r>
      <w:r>
        <w:rPr>
          <w:rFonts w:hint="eastAsia"/>
          <w:b/>
          <w:bCs/>
          <w:color w:val="auto"/>
          <w:spacing w:val="-1"/>
          <w:sz w:val="48"/>
          <w:szCs w:val="48"/>
          <w:highlight w:val="none"/>
          <w:lang w:eastAsia="zh-CN"/>
        </w:rPr>
        <w:t>）</w:t>
      </w:r>
    </w:p>
    <w:p>
      <w:pPr>
        <w:pStyle w:val="2"/>
        <w:spacing w:before="156" w:line="219" w:lineRule="auto"/>
        <w:jc w:val="center"/>
        <w:outlineLvl w:val="0"/>
        <w:rPr>
          <w:b/>
          <w:bCs/>
          <w:color w:val="auto"/>
          <w:spacing w:val="-1"/>
          <w:sz w:val="48"/>
          <w:szCs w:val="48"/>
          <w:highlight w:val="none"/>
        </w:rPr>
      </w:pPr>
      <w:r>
        <w:rPr>
          <w:b/>
          <w:bCs/>
          <w:color w:val="auto"/>
          <w:spacing w:val="-1"/>
          <w:sz w:val="48"/>
          <w:szCs w:val="48"/>
          <w:highlight w:val="none"/>
        </w:rPr>
        <w:t>技术任务书</w:t>
      </w:r>
    </w:p>
    <w:p>
      <w:pPr>
        <w:pStyle w:val="2"/>
        <w:spacing w:before="156" w:line="219" w:lineRule="auto"/>
        <w:jc w:val="center"/>
        <w:outlineLvl w:val="0"/>
        <w:rPr>
          <w:rFonts w:hint="eastAsia" w:eastAsia="宋体"/>
          <w:b/>
          <w:bCs/>
          <w:color w:val="1552D1"/>
          <w:spacing w:val="-1"/>
          <w:sz w:val="28"/>
          <w:szCs w:val="28"/>
          <w:highlight w:val="none"/>
          <w:lang w:eastAsia="zh-CN"/>
        </w:rPr>
      </w:pPr>
      <w:r>
        <w:rPr>
          <w:rFonts w:hint="eastAsia"/>
          <w:b/>
          <w:bCs/>
          <w:color w:val="1552D1"/>
          <w:spacing w:val="-1"/>
          <w:sz w:val="28"/>
          <w:szCs w:val="28"/>
          <w:highlight w:val="none"/>
          <w:lang w:eastAsia="zh-CN"/>
        </w:rPr>
        <w:t>（</w:t>
      </w:r>
      <w:r>
        <w:rPr>
          <w:rFonts w:hint="eastAsia"/>
          <w:b/>
          <w:bCs/>
          <w:color w:val="1552D1"/>
          <w:spacing w:val="-1"/>
          <w:sz w:val="28"/>
          <w:szCs w:val="28"/>
          <w:highlight w:val="none"/>
          <w:lang w:val="en-US" w:eastAsia="zh-CN"/>
        </w:rPr>
        <w:t>暂行，开标前如有澄清以澄清版为准</w:t>
      </w:r>
      <w:r>
        <w:rPr>
          <w:rFonts w:hint="eastAsia"/>
          <w:b/>
          <w:bCs/>
          <w:color w:val="1552D1"/>
          <w:spacing w:val="-1"/>
          <w:sz w:val="28"/>
          <w:szCs w:val="28"/>
          <w:highlight w:val="none"/>
          <w:lang w:eastAsia="zh-CN"/>
        </w:rPr>
        <w:t>）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4" w:line="360" w:lineRule="auto"/>
        <w:ind w:left="0"/>
        <w:jc w:val="both"/>
        <w:textAlignment w:val="baseline"/>
        <w:outlineLvl w:val="4"/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-6"/>
          <w:sz w:val="32"/>
          <w:szCs w:val="32"/>
          <w:highlight w:val="none"/>
        </w:rPr>
        <w:t>1</w:t>
      </w:r>
      <w:r>
        <w:rPr>
          <w:rFonts w:hint="eastAsia" w:ascii="宋体" w:hAnsi="宋体" w:eastAsia="宋体" w:cs="宋体"/>
          <w:color w:val="auto"/>
          <w:spacing w:val="18"/>
          <w:sz w:val="32"/>
          <w:szCs w:val="32"/>
          <w:highlight w:val="none"/>
        </w:rPr>
        <w:t xml:space="preserve"> </w:t>
      </w:r>
      <w:r>
        <w:rPr>
          <w:rFonts w:hint="eastAsia" w:cs="宋体"/>
          <w:b/>
          <w:bCs/>
          <w:color w:val="auto"/>
          <w:spacing w:val="18"/>
          <w:sz w:val="32"/>
          <w:szCs w:val="32"/>
          <w:highlight w:val="none"/>
          <w:lang w:eastAsia="zh-CN"/>
        </w:rPr>
        <w:t>一氧化锰矿粉</w:t>
      </w:r>
      <w:r>
        <w:rPr>
          <w:rFonts w:hint="eastAsia" w:cs="宋体"/>
          <w:b/>
          <w:bCs/>
          <w:color w:val="auto"/>
          <w:spacing w:val="18"/>
          <w:sz w:val="32"/>
          <w:szCs w:val="32"/>
          <w:highlight w:val="none"/>
          <w:lang w:val="en-US" w:eastAsia="zh-CN"/>
        </w:rPr>
        <w:t>(</w:t>
      </w:r>
      <w:r>
        <w:rPr>
          <w:rFonts w:hint="eastAsia" w:ascii="宋体" w:hAnsi="宋体" w:eastAsia="宋体" w:cs="宋体"/>
          <w:b/>
          <w:bCs/>
          <w:color w:val="auto"/>
          <w:spacing w:val="-6"/>
          <w:sz w:val="32"/>
          <w:szCs w:val="32"/>
          <w:highlight w:val="none"/>
        </w:rPr>
        <w:t>焙烧矿粉</w:t>
      </w:r>
      <w:r>
        <w:rPr>
          <w:rFonts w:hint="eastAsia" w:cs="宋体"/>
          <w:b/>
          <w:bCs/>
          <w:color w:val="auto"/>
          <w:spacing w:val="-6"/>
          <w:sz w:val="32"/>
          <w:szCs w:val="32"/>
          <w:highlight w:val="none"/>
          <w:lang w:val="en-US" w:eastAsia="zh-CN"/>
        </w:rPr>
        <w:t>)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9" w:line="360" w:lineRule="auto"/>
        <w:ind w:left="0"/>
        <w:jc w:val="both"/>
        <w:textAlignment w:val="baseline"/>
        <w:outlineLvl w:val="4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-10"/>
          <w:sz w:val="24"/>
          <w:szCs w:val="24"/>
          <w:highlight w:val="none"/>
        </w:rPr>
        <w:t>1.1</w:t>
      </w:r>
      <w:r>
        <w:rPr>
          <w:rFonts w:hint="eastAsia" w:ascii="宋体" w:hAnsi="宋体" w:eastAsia="宋体" w:cs="宋体"/>
          <w:color w:val="auto"/>
          <w:spacing w:val="59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-10"/>
          <w:sz w:val="24"/>
          <w:szCs w:val="24"/>
          <w:highlight w:val="none"/>
        </w:rPr>
        <w:t>范围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8" w:line="360" w:lineRule="auto"/>
        <w:ind w:left="0" w:right="0" w:firstLine="47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4"/>
          <w:sz w:val="24"/>
          <w:szCs w:val="24"/>
          <w:highlight w:val="none"/>
        </w:rPr>
        <w:t>本标准规定了</w:t>
      </w:r>
      <w:r>
        <w:rPr>
          <w:rFonts w:hint="eastAsia" w:cs="宋体"/>
          <w:color w:val="auto"/>
          <w:spacing w:val="4"/>
          <w:sz w:val="24"/>
          <w:szCs w:val="24"/>
          <w:highlight w:val="none"/>
          <w:lang w:eastAsia="zh-CN"/>
        </w:rPr>
        <w:t>一氧化锰矿粉、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highlight w:val="none"/>
        </w:rPr>
        <w:t>焙烧矿粉的技术要求、检验规则、取样、试验方法等内容。适</w:t>
      </w:r>
      <w:r>
        <w:rPr>
          <w:rFonts w:hint="eastAsia" w:ascii="宋体" w:hAnsi="宋体" w:eastAsia="宋体" w:cs="宋体"/>
          <w:color w:val="auto"/>
          <w:spacing w:val="12"/>
          <w:sz w:val="24"/>
          <w:szCs w:val="24"/>
          <w:highlight w:val="none"/>
        </w:rPr>
        <w:t>用于公司采购</w:t>
      </w:r>
      <w:r>
        <w:rPr>
          <w:rFonts w:hint="eastAsia" w:cs="宋体"/>
          <w:color w:val="auto"/>
          <w:spacing w:val="4"/>
          <w:sz w:val="24"/>
          <w:szCs w:val="24"/>
          <w:highlight w:val="none"/>
          <w:lang w:eastAsia="zh-CN"/>
        </w:rPr>
        <w:t>一氧化锰矿粉</w:t>
      </w:r>
      <w:r>
        <w:rPr>
          <w:rFonts w:hint="eastAsia" w:ascii="宋体" w:hAnsi="宋体" w:eastAsia="宋体" w:cs="宋体"/>
          <w:color w:val="auto"/>
          <w:spacing w:val="12"/>
          <w:sz w:val="24"/>
          <w:szCs w:val="24"/>
          <w:highlight w:val="none"/>
        </w:rPr>
        <w:t>焙烧矿粉质量技术要求、质量检验及质量验证。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both"/>
        <w:textAlignment w:val="baseline"/>
        <w:outlineLvl w:val="4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10"/>
          <w:sz w:val="24"/>
          <w:szCs w:val="24"/>
          <w:highlight w:val="none"/>
        </w:rPr>
        <w:t>1.2规范性引用文件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2" w:line="360" w:lineRule="auto"/>
        <w:ind w:left="0" w:right="0" w:firstLine="419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17"/>
          <w:sz w:val="24"/>
          <w:szCs w:val="24"/>
          <w:highlight w:val="none"/>
        </w:rPr>
        <w:t>下列文件对于本文件的应用是必不可少的</w:t>
      </w:r>
      <w:r>
        <w:rPr>
          <w:rFonts w:hint="eastAsia" w:ascii="宋体" w:hAnsi="宋体" w:eastAsia="宋体" w:cs="宋体"/>
          <w:color w:val="auto"/>
          <w:spacing w:val="-14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pacing w:val="17"/>
          <w:sz w:val="24"/>
          <w:szCs w:val="24"/>
          <w:highlight w:val="none"/>
        </w:rPr>
        <w:t>。凡是注日期的引用文件</w:t>
      </w:r>
      <w:r>
        <w:rPr>
          <w:rFonts w:hint="eastAsia" w:ascii="宋体" w:hAnsi="宋体" w:eastAsia="宋体" w:cs="宋体"/>
          <w:color w:val="auto"/>
          <w:spacing w:val="-8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pacing w:val="17"/>
          <w:sz w:val="24"/>
          <w:szCs w:val="24"/>
          <w:highlight w:val="none"/>
        </w:rPr>
        <w:t>,仅注日期的版本</w:t>
      </w:r>
      <w:r>
        <w:rPr>
          <w:rFonts w:hint="eastAsia" w:ascii="宋体" w:hAnsi="宋体" w:eastAsia="宋体" w:cs="宋体"/>
          <w:color w:val="auto"/>
          <w:spacing w:val="16"/>
          <w:sz w:val="24"/>
          <w:szCs w:val="24"/>
          <w:highlight w:val="none"/>
        </w:rPr>
        <w:t>适用于本文</w:t>
      </w:r>
      <w:r>
        <w:rPr>
          <w:rFonts w:hint="eastAsia" w:ascii="宋体" w:hAnsi="宋体" w:eastAsia="宋体" w:cs="宋体"/>
          <w:color w:val="auto"/>
          <w:spacing w:val="18"/>
          <w:sz w:val="24"/>
          <w:szCs w:val="24"/>
          <w:highlight w:val="none"/>
        </w:rPr>
        <w:t>件</w:t>
      </w:r>
      <w:r>
        <w:rPr>
          <w:rFonts w:hint="eastAsia" w:ascii="宋体" w:hAnsi="宋体" w:eastAsia="宋体" w:cs="宋体"/>
          <w:color w:val="auto"/>
          <w:spacing w:val="-5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pacing w:val="18"/>
          <w:sz w:val="24"/>
          <w:szCs w:val="24"/>
          <w:highlight w:val="none"/>
        </w:rPr>
        <w:t>。凡是不</w:t>
      </w:r>
      <w:r>
        <w:rPr>
          <w:rFonts w:hint="eastAsia" w:cs="宋体"/>
          <w:color w:val="auto"/>
          <w:spacing w:val="18"/>
          <w:sz w:val="24"/>
          <w:szCs w:val="24"/>
          <w:highlight w:val="none"/>
          <w:lang w:eastAsia="zh-CN"/>
        </w:rPr>
        <w:t>注明</w:t>
      </w:r>
      <w:r>
        <w:rPr>
          <w:rFonts w:hint="eastAsia" w:ascii="宋体" w:hAnsi="宋体" w:eastAsia="宋体" w:cs="宋体"/>
          <w:color w:val="auto"/>
          <w:spacing w:val="18"/>
          <w:sz w:val="24"/>
          <w:szCs w:val="24"/>
          <w:highlight w:val="none"/>
        </w:rPr>
        <w:t>日期的引用文件</w:t>
      </w:r>
      <w:r>
        <w:rPr>
          <w:rFonts w:hint="eastAsia" w:ascii="宋体" w:hAnsi="宋体" w:eastAsia="宋体" w:cs="宋体"/>
          <w:color w:val="auto"/>
          <w:spacing w:val="-8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pacing w:val="18"/>
          <w:sz w:val="24"/>
          <w:szCs w:val="24"/>
          <w:highlight w:val="none"/>
        </w:rPr>
        <w:t>,其最新版本(包括所有的修改单)适用于本文件</w:t>
      </w:r>
      <w:r>
        <w:rPr>
          <w:rFonts w:hint="eastAsia" w:ascii="宋体" w:hAnsi="宋体" w:eastAsia="宋体" w:cs="宋体"/>
          <w:color w:val="auto"/>
          <w:spacing w:val="-26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pacing w:val="18"/>
          <w:sz w:val="24"/>
          <w:szCs w:val="24"/>
          <w:highlight w:val="none"/>
        </w:rPr>
        <w:t>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GB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</w:rPr>
        <w:t xml:space="preserve">/T </w:t>
      </w:r>
      <w:r>
        <w:rPr>
          <w:rFonts w:hint="eastAsia" w:ascii="宋体" w:hAnsi="宋体" w:eastAsia="宋体" w:cs="宋体"/>
          <w:color w:val="auto"/>
          <w:spacing w:val="9"/>
          <w:position w:val="-1"/>
          <w:sz w:val="24"/>
          <w:szCs w:val="24"/>
          <w:highlight w:val="none"/>
        </w:rPr>
        <w:t xml:space="preserve">2011   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</w:rPr>
        <w:t>散装锰矿石取样</w:t>
      </w:r>
      <w:r>
        <w:rPr>
          <w:rFonts w:hint="eastAsia" w:ascii="宋体" w:hAnsi="宋体" w:eastAsia="宋体" w:cs="宋体"/>
          <w:color w:val="auto"/>
          <w:spacing w:val="-29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pacing w:val="9"/>
          <w:position w:val="1"/>
          <w:sz w:val="24"/>
          <w:szCs w:val="24"/>
          <w:highlight w:val="none"/>
        </w:rPr>
        <w:t>、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</w:rPr>
        <w:t>制样方法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0" w:line="360" w:lineRule="auto"/>
        <w:ind w:left="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GB</w:t>
      </w:r>
      <w:r>
        <w:rPr>
          <w:rFonts w:hint="eastAsia" w:ascii="宋体" w:hAnsi="宋体" w:eastAsia="宋体" w:cs="宋体"/>
          <w:color w:val="auto"/>
          <w:spacing w:val="17"/>
          <w:sz w:val="24"/>
          <w:szCs w:val="24"/>
          <w:highlight w:val="none"/>
        </w:rPr>
        <w:t xml:space="preserve">/T </w:t>
      </w:r>
      <w:r>
        <w:rPr>
          <w:rFonts w:hint="eastAsia" w:ascii="宋体" w:hAnsi="宋体" w:eastAsia="宋体" w:cs="宋体"/>
          <w:color w:val="auto"/>
          <w:spacing w:val="17"/>
          <w:position w:val="-2"/>
          <w:sz w:val="24"/>
          <w:szCs w:val="24"/>
          <w:highlight w:val="none"/>
        </w:rPr>
        <w:t>6682</w:t>
      </w:r>
      <w:r>
        <w:rPr>
          <w:rFonts w:hint="eastAsia" w:ascii="宋体" w:hAnsi="宋体" w:eastAsia="宋体" w:cs="宋体"/>
          <w:color w:val="auto"/>
          <w:spacing w:val="4"/>
          <w:position w:val="-2"/>
          <w:sz w:val="24"/>
          <w:szCs w:val="24"/>
          <w:highlight w:val="none"/>
        </w:rPr>
        <w:t xml:space="preserve">   </w:t>
      </w:r>
      <w:r>
        <w:rPr>
          <w:rFonts w:hint="eastAsia" w:ascii="宋体" w:hAnsi="宋体" w:eastAsia="宋体" w:cs="宋体"/>
          <w:color w:val="auto"/>
          <w:spacing w:val="17"/>
          <w:sz w:val="24"/>
          <w:szCs w:val="24"/>
          <w:highlight w:val="none"/>
        </w:rPr>
        <w:t>分析实验室用水规格和试验方法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58" w:line="360" w:lineRule="auto"/>
        <w:ind w:left="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position w:val="-1"/>
          <w:sz w:val="24"/>
          <w:szCs w:val="24"/>
          <w:highlight w:val="none"/>
        </w:rPr>
        <w:t>GB</w:t>
      </w:r>
      <w:r>
        <w:rPr>
          <w:rFonts w:hint="eastAsia" w:ascii="宋体" w:hAnsi="宋体" w:eastAsia="宋体" w:cs="宋体"/>
          <w:color w:val="auto"/>
          <w:spacing w:val="17"/>
          <w:position w:val="-1"/>
          <w:sz w:val="24"/>
          <w:szCs w:val="24"/>
          <w:highlight w:val="none"/>
        </w:rPr>
        <w:t xml:space="preserve">/T </w:t>
      </w:r>
      <w:r>
        <w:rPr>
          <w:rFonts w:hint="eastAsia" w:ascii="宋体" w:hAnsi="宋体" w:eastAsia="宋体" w:cs="宋体"/>
          <w:color w:val="auto"/>
          <w:spacing w:val="17"/>
          <w:position w:val="-2"/>
          <w:sz w:val="24"/>
          <w:szCs w:val="24"/>
          <w:highlight w:val="none"/>
        </w:rPr>
        <w:t>8170</w:t>
      </w:r>
      <w:r>
        <w:rPr>
          <w:rFonts w:hint="eastAsia" w:ascii="宋体" w:hAnsi="宋体" w:eastAsia="宋体" w:cs="宋体"/>
          <w:color w:val="auto"/>
          <w:spacing w:val="6"/>
          <w:position w:val="-2"/>
          <w:sz w:val="24"/>
          <w:szCs w:val="24"/>
          <w:highlight w:val="none"/>
        </w:rPr>
        <w:t xml:space="preserve">   </w:t>
      </w:r>
      <w:r>
        <w:rPr>
          <w:rFonts w:hint="eastAsia" w:ascii="宋体" w:hAnsi="宋体" w:eastAsia="宋体" w:cs="宋体"/>
          <w:color w:val="auto"/>
          <w:spacing w:val="17"/>
          <w:sz w:val="24"/>
          <w:szCs w:val="24"/>
          <w:highlight w:val="none"/>
        </w:rPr>
        <w:t>数值修约规则与极限数值的表示和判定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GB</w:t>
      </w:r>
      <w:r>
        <w:rPr>
          <w:rFonts w:hint="eastAsia" w:ascii="宋体" w:hAnsi="宋体" w:eastAsia="宋体" w:cs="宋体"/>
          <w:color w:val="auto"/>
          <w:spacing w:val="14"/>
          <w:sz w:val="24"/>
          <w:szCs w:val="24"/>
          <w:highlight w:val="none"/>
        </w:rPr>
        <w:t xml:space="preserve">/T </w:t>
      </w:r>
      <w:r>
        <w:rPr>
          <w:rFonts w:hint="eastAsia" w:ascii="宋体" w:hAnsi="宋体" w:eastAsia="宋体" w:cs="宋体"/>
          <w:color w:val="auto"/>
          <w:spacing w:val="14"/>
          <w:position w:val="-1"/>
          <w:sz w:val="24"/>
          <w:szCs w:val="24"/>
          <w:highlight w:val="none"/>
        </w:rPr>
        <w:t>14949.</w:t>
      </w:r>
      <w:r>
        <w:rPr>
          <w:rFonts w:hint="eastAsia" w:ascii="宋体" w:hAnsi="宋体" w:eastAsia="宋体" w:cs="宋体"/>
          <w:color w:val="auto"/>
          <w:spacing w:val="-28"/>
          <w:position w:val="-1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pacing w:val="14"/>
          <w:position w:val="-1"/>
          <w:sz w:val="24"/>
          <w:szCs w:val="24"/>
          <w:highlight w:val="none"/>
        </w:rPr>
        <w:t>8</w:t>
      </w:r>
      <w:r>
        <w:rPr>
          <w:rFonts w:hint="eastAsia" w:ascii="宋体" w:hAnsi="宋体" w:eastAsia="宋体" w:cs="宋体"/>
          <w:color w:val="auto"/>
          <w:spacing w:val="2"/>
          <w:position w:val="-1"/>
          <w:sz w:val="24"/>
          <w:szCs w:val="24"/>
          <w:highlight w:val="none"/>
        </w:rPr>
        <w:t xml:space="preserve">   </w:t>
      </w:r>
      <w:r>
        <w:rPr>
          <w:rFonts w:hint="eastAsia" w:ascii="宋体" w:hAnsi="宋体" w:eastAsia="宋体" w:cs="宋体"/>
          <w:color w:val="auto"/>
          <w:spacing w:val="14"/>
          <w:sz w:val="24"/>
          <w:szCs w:val="24"/>
          <w:highlight w:val="none"/>
        </w:rPr>
        <w:t>锰矿石化学分析方法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color w:val="auto"/>
          <w:spacing w:val="13"/>
          <w:sz w:val="24"/>
          <w:szCs w:val="24"/>
          <w:highlight w:val="none"/>
        </w:rPr>
        <w:t>湿存水量的测定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60" w:lineRule="auto"/>
        <w:ind w:left="0"/>
        <w:jc w:val="both"/>
        <w:textAlignment w:val="baseline"/>
        <w:outlineLvl w:val="4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9"/>
          <w:sz w:val="24"/>
          <w:szCs w:val="24"/>
          <w:highlight w:val="none"/>
        </w:rPr>
        <w:t>1.3质量等级、规格型号要求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60" w:lineRule="auto"/>
        <w:ind w:right="0" w:firstLine="496" w:firstLineChars="20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cs="宋体"/>
          <w:color w:val="auto"/>
          <w:spacing w:val="4"/>
          <w:sz w:val="24"/>
          <w:szCs w:val="24"/>
          <w:highlight w:val="none"/>
          <w:lang w:eastAsia="zh-CN"/>
        </w:rPr>
        <w:t>一氧化锰矿粉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</w:rPr>
        <w:t>焙烧矿粉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Mn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</w:rPr>
        <w:t>含量以</w:t>
      </w:r>
      <w:r>
        <w:rPr>
          <w:rFonts w:hint="eastAsia" w:cs="宋体"/>
          <w:color w:val="auto"/>
          <w:spacing w:val="10"/>
          <w:sz w:val="24"/>
          <w:szCs w:val="24"/>
          <w:highlight w:val="none"/>
          <w:lang w:val="en-US" w:eastAsia="zh-CN"/>
        </w:rPr>
        <w:t>43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</w:rPr>
        <w:t>%为基准，还原率≥9</w:t>
      </w:r>
      <w:r>
        <w:rPr>
          <w:rFonts w:hint="eastAsia" w:cs="宋体"/>
          <w:color w:val="auto"/>
          <w:spacing w:val="1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</w:rPr>
        <w:t>%</w:t>
      </w:r>
      <w:r>
        <w:rPr>
          <w:rFonts w:hint="eastAsia" w:cs="宋体"/>
          <w:color w:val="auto"/>
          <w:spacing w:val="10"/>
          <w:sz w:val="24"/>
          <w:szCs w:val="24"/>
          <w:highlight w:val="none"/>
          <w:lang w:val="en-US" w:eastAsia="zh-CN"/>
        </w:rPr>
        <w:t>,粒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</w:rPr>
        <w:t>度</w:t>
      </w:r>
      <w:r>
        <w:rPr>
          <w:rFonts w:hint="eastAsia" w:cs="宋体"/>
          <w:color w:val="auto"/>
          <w:spacing w:val="10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</w:rPr>
        <w:t>100目筛过筛率≥</w:t>
      </w:r>
      <w:r>
        <w:rPr>
          <w:rFonts w:hint="eastAsia" w:ascii="宋体" w:hAnsi="宋体" w:eastAsia="宋体" w:cs="宋体"/>
          <w:color w:val="auto"/>
          <w:spacing w:val="18"/>
          <w:sz w:val="24"/>
          <w:szCs w:val="24"/>
          <w:highlight w:val="none"/>
        </w:rPr>
        <w:t>95%</w:t>
      </w:r>
      <w:r>
        <w:rPr>
          <w:rFonts w:hint="eastAsia" w:ascii="宋体" w:hAnsi="宋体" w:eastAsia="宋体" w:cs="宋体"/>
          <w:color w:val="auto"/>
          <w:spacing w:val="18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宋体" w:hAnsi="宋体" w:eastAsia="宋体" w:cs="宋体"/>
          <w:color w:val="auto"/>
          <w:spacing w:val="18"/>
          <w:sz w:val="24"/>
          <w:szCs w:val="24"/>
          <w:highlight w:val="none"/>
          <w:lang w:eastAsia="zh-CN"/>
        </w:rPr>
        <w:t>水分</w:t>
      </w:r>
      <w:r>
        <w:rPr>
          <w:rFonts w:hint="eastAsia" w:ascii="宋体" w:hAnsi="宋体" w:eastAsia="宋体" w:cs="宋体"/>
          <w:color w:val="auto"/>
          <w:spacing w:val="18"/>
          <w:sz w:val="24"/>
          <w:szCs w:val="24"/>
          <w:highlight w:val="none"/>
        </w:rPr>
        <w:t>≤2%</w:t>
      </w:r>
      <w:r>
        <w:rPr>
          <w:rFonts w:hint="eastAsia" w:cs="宋体"/>
          <w:color w:val="auto"/>
          <w:spacing w:val="18"/>
          <w:sz w:val="24"/>
          <w:szCs w:val="24"/>
          <w:highlight w:val="none"/>
          <w:lang w:eastAsia="zh-CN"/>
        </w:rPr>
        <w:t>，</w:t>
      </w:r>
      <w:r>
        <w:rPr>
          <w:rFonts w:hint="eastAsia" w:cs="宋体"/>
          <w:color w:val="auto"/>
          <w:spacing w:val="18"/>
          <w:sz w:val="24"/>
          <w:szCs w:val="24"/>
          <w:highlight w:val="none"/>
          <w:lang w:val="en-US" w:eastAsia="zh-CN"/>
        </w:rPr>
        <w:t>铜</w:t>
      </w:r>
      <w:r>
        <w:rPr>
          <w:rFonts w:hint="eastAsia" w:ascii="宋体" w:hAnsi="宋体" w:eastAsia="宋体" w:cs="宋体"/>
          <w:color w:val="auto"/>
          <w:spacing w:val="18"/>
          <w:sz w:val="24"/>
          <w:szCs w:val="24"/>
          <w:highlight w:val="none"/>
          <w:lang w:val="en-US" w:eastAsia="zh-CN"/>
        </w:rPr>
        <w:t>≤</w:t>
      </w:r>
      <w:r>
        <w:rPr>
          <w:rFonts w:hint="eastAsia" w:cs="宋体"/>
          <w:color w:val="auto"/>
          <w:spacing w:val="18"/>
          <w:sz w:val="24"/>
          <w:szCs w:val="24"/>
          <w:highlight w:val="none"/>
          <w:lang w:val="en-US" w:eastAsia="zh-CN"/>
        </w:rPr>
        <w:t>0.050%，硫</w:t>
      </w:r>
      <w:r>
        <w:rPr>
          <w:rFonts w:hint="eastAsia" w:ascii="宋体" w:hAnsi="宋体" w:eastAsia="宋体" w:cs="宋体"/>
          <w:color w:val="auto"/>
          <w:spacing w:val="18"/>
          <w:sz w:val="24"/>
          <w:szCs w:val="24"/>
          <w:highlight w:val="none"/>
          <w:lang w:val="en-US" w:eastAsia="zh-CN"/>
        </w:rPr>
        <w:t>≤</w:t>
      </w:r>
      <w:r>
        <w:rPr>
          <w:rFonts w:hint="eastAsia" w:cs="宋体"/>
          <w:color w:val="auto"/>
          <w:spacing w:val="18"/>
          <w:sz w:val="24"/>
          <w:szCs w:val="24"/>
          <w:highlight w:val="none"/>
          <w:lang w:val="en-US" w:eastAsia="zh-CN"/>
        </w:rPr>
        <w:t>0.4%</w:t>
      </w:r>
      <w:r>
        <w:rPr>
          <w:rFonts w:hint="eastAsia" w:ascii="宋体" w:hAnsi="宋体" w:eastAsia="宋体" w:cs="宋体"/>
          <w:color w:val="auto"/>
          <w:spacing w:val="18"/>
          <w:sz w:val="24"/>
          <w:szCs w:val="24"/>
          <w:highlight w:val="none"/>
        </w:rPr>
        <w:t xml:space="preserve"> 包装：吨袋包装。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0"/>
        <w:jc w:val="both"/>
        <w:textAlignment w:val="baseline"/>
        <w:outlineLvl w:val="4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14"/>
          <w:sz w:val="24"/>
          <w:szCs w:val="24"/>
          <w:highlight w:val="none"/>
        </w:rPr>
        <w:t>1.4检验规则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60" w:lineRule="auto"/>
        <w:ind w:left="0"/>
        <w:jc w:val="both"/>
        <w:textAlignment w:val="baseline"/>
        <w:outlineLvl w:val="4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8"/>
          <w:sz w:val="24"/>
          <w:szCs w:val="24"/>
          <w:highlight w:val="none"/>
        </w:rPr>
        <w:t>1.4.</w:t>
      </w:r>
      <w:r>
        <w:rPr>
          <w:rFonts w:hint="eastAsia" w:ascii="宋体" w:hAnsi="宋体" w:eastAsia="宋体" w:cs="宋体"/>
          <w:color w:val="auto"/>
          <w:spacing w:val="-63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8"/>
          <w:sz w:val="24"/>
          <w:szCs w:val="24"/>
          <w:highlight w:val="none"/>
        </w:rPr>
        <w:t>1检测和验收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6" w:line="360" w:lineRule="auto"/>
        <w:ind w:firstLine="0" w:firstLineChars="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cs="宋体"/>
          <w:b/>
          <w:bCs/>
          <w:color w:val="auto"/>
          <w:spacing w:val="7"/>
          <w:sz w:val="24"/>
          <w:szCs w:val="24"/>
          <w:highlight w:val="none"/>
          <w:lang w:val="en-US" w:eastAsia="zh-CN"/>
        </w:rPr>
        <w:t>1.4.1.1</w:t>
      </w:r>
      <w:r>
        <w:rPr>
          <w:rFonts w:hint="eastAsia" w:cs="宋体"/>
          <w:color w:val="auto"/>
          <w:spacing w:val="7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7"/>
          <w:sz w:val="24"/>
          <w:szCs w:val="24"/>
          <w:highlight w:val="none"/>
        </w:rPr>
        <w:t>焙烧矿粉由供需双方对标检验。由供需双方共同取样，以</w:t>
      </w:r>
      <w:r>
        <w:rPr>
          <w:rFonts w:hint="eastAsia" w:ascii="宋体" w:hAnsi="宋体" w:eastAsia="宋体" w:cs="宋体"/>
          <w:color w:val="auto"/>
          <w:spacing w:val="7"/>
          <w:sz w:val="24"/>
          <w:szCs w:val="24"/>
          <w:highlight w:val="none"/>
          <w:lang w:eastAsia="zh-CN"/>
        </w:rPr>
        <w:t>锰业</w:t>
      </w:r>
      <w:r>
        <w:rPr>
          <w:rFonts w:hint="eastAsia" w:ascii="宋体" w:hAnsi="宋体" w:eastAsia="宋体" w:cs="宋体"/>
          <w:color w:val="auto"/>
          <w:spacing w:val="7"/>
          <w:sz w:val="24"/>
          <w:szCs w:val="24"/>
          <w:highlight w:val="none"/>
        </w:rPr>
        <w:t>公司检测结果为主要验收和结算依据。每批次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  <w:lang w:eastAsia="zh-CN"/>
        </w:rPr>
        <w:t>一氧化锰矿粉（焙烧矿粉）</w:t>
      </w:r>
      <w:r>
        <w:rPr>
          <w:rFonts w:hint="eastAsia" w:ascii="宋体" w:hAnsi="宋体" w:eastAsia="宋体" w:cs="宋体"/>
          <w:color w:val="auto"/>
          <w:spacing w:val="7"/>
          <w:sz w:val="24"/>
          <w:szCs w:val="24"/>
          <w:highlight w:val="none"/>
        </w:rPr>
        <w:t>运输到</w:t>
      </w:r>
      <w:r>
        <w:rPr>
          <w:rFonts w:hint="eastAsia" w:ascii="宋体" w:hAnsi="宋体" w:eastAsia="宋体" w:cs="宋体"/>
          <w:color w:val="auto"/>
          <w:spacing w:val="7"/>
          <w:sz w:val="24"/>
          <w:szCs w:val="24"/>
          <w:highlight w:val="none"/>
          <w:lang w:eastAsia="zh-CN"/>
        </w:rPr>
        <w:t>锰业</w:t>
      </w:r>
      <w:r>
        <w:rPr>
          <w:rFonts w:hint="eastAsia" w:ascii="宋体" w:hAnsi="宋体" w:eastAsia="宋体" w:cs="宋体"/>
          <w:color w:val="auto"/>
          <w:spacing w:val="7"/>
          <w:sz w:val="24"/>
          <w:szCs w:val="24"/>
          <w:highlight w:val="none"/>
        </w:rPr>
        <w:t>公司厂区</w:t>
      </w:r>
      <w:r>
        <w:rPr>
          <w:rFonts w:hint="eastAsia" w:ascii="宋体" w:hAnsi="宋体" w:eastAsia="宋体" w:cs="宋体"/>
          <w:color w:val="auto"/>
          <w:spacing w:val="6"/>
          <w:sz w:val="24"/>
          <w:szCs w:val="24"/>
          <w:highlight w:val="none"/>
        </w:rPr>
        <w:t>后，以供需双方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highlight w:val="none"/>
        </w:rPr>
        <w:t>在</w:t>
      </w:r>
      <w:r>
        <w:rPr>
          <w:rFonts w:hint="eastAsia" w:ascii="宋体" w:hAnsi="宋体" w:eastAsia="宋体" w:cs="宋体"/>
          <w:color w:val="auto"/>
          <w:spacing w:val="7"/>
          <w:sz w:val="24"/>
          <w:szCs w:val="24"/>
          <w:highlight w:val="none"/>
          <w:lang w:eastAsia="zh-CN"/>
        </w:rPr>
        <w:t>锰业</w:t>
      </w:r>
      <w:r>
        <w:rPr>
          <w:rFonts w:hint="eastAsia" w:ascii="宋体" w:hAnsi="宋体" w:eastAsia="宋体" w:cs="宋体"/>
          <w:color w:val="auto"/>
          <w:spacing w:val="7"/>
          <w:sz w:val="24"/>
          <w:szCs w:val="24"/>
          <w:highlight w:val="none"/>
        </w:rPr>
        <w:t>公司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highlight w:val="none"/>
        </w:rPr>
        <w:t>现场取样作为检测样品，双方对焙烧矿粉</w:t>
      </w:r>
      <w:r>
        <w:rPr>
          <w:rFonts w:hint="eastAsia" w:ascii="宋体" w:hAnsi="宋体" w:eastAsia="宋体" w:cs="宋体"/>
          <w:color w:val="auto"/>
          <w:spacing w:val="-49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Mn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highlight w:val="none"/>
        </w:rPr>
        <w:t>含量的检测误差在0.</w:t>
      </w:r>
      <w:r>
        <w:rPr>
          <w:rFonts w:hint="eastAsia" w:cs="宋体"/>
          <w:color w:val="auto"/>
          <w:spacing w:val="4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highlight w:val="none"/>
        </w:rPr>
        <w:t>度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</w:rPr>
        <w:t>以内的，以</w:t>
      </w:r>
      <w:r>
        <w:rPr>
          <w:rFonts w:hint="eastAsia" w:ascii="宋体" w:hAnsi="宋体" w:eastAsia="宋体" w:cs="宋体"/>
          <w:color w:val="auto"/>
          <w:spacing w:val="7"/>
          <w:sz w:val="24"/>
          <w:szCs w:val="24"/>
          <w:highlight w:val="none"/>
          <w:lang w:eastAsia="zh-CN"/>
        </w:rPr>
        <w:t>锰业</w:t>
      </w:r>
      <w:r>
        <w:rPr>
          <w:rFonts w:hint="eastAsia" w:ascii="宋体" w:hAnsi="宋体" w:eastAsia="宋体" w:cs="宋体"/>
          <w:color w:val="auto"/>
          <w:spacing w:val="7"/>
          <w:sz w:val="24"/>
          <w:szCs w:val="24"/>
          <w:highlight w:val="none"/>
        </w:rPr>
        <w:t>公司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</w:rPr>
        <w:t>检测数据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  <w:lang w:eastAsia="zh-CN"/>
        </w:rPr>
        <w:t>作为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</w:rPr>
        <w:t>结算依据，误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</w:rPr>
        <w:t>差在0.</w:t>
      </w:r>
      <w:r>
        <w:rPr>
          <w:rFonts w:hint="eastAsia" w:cs="宋体"/>
          <w:color w:val="auto"/>
          <w:spacing w:val="9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</w:rPr>
        <w:t>度</w:t>
      </w:r>
      <w:r>
        <w:rPr>
          <w:rFonts w:hint="eastAsia" w:cs="宋体"/>
          <w:color w:val="auto"/>
          <w:spacing w:val="9"/>
          <w:sz w:val="24"/>
          <w:szCs w:val="24"/>
          <w:highlight w:val="none"/>
          <w:lang w:val="en-US" w:eastAsia="zh-CN"/>
        </w:rPr>
        <w:t>～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</w:rPr>
        <w:t>0.</w:t>
      </w:r>
      <w:r>
        <w:rPr>
          <w:rFonts w:hint="eastAsia" w:cs="宋体"/>
          <w:color w:val="auto"/>
          <w:spacing w:val="9"/>
          <w:sz w:val="24"/>
          <w:szCs w:val="24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</w:rPr>
        <w:t>度的，以双方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eastAsia="zh-CN"/>
        </w:rPr>
        <w:t>检测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</w:rPr>
        <w:t>平均值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eastAsia="zh-CN"/>
        </w:rPr>
        <w:t>作为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</w:rPr>
        <w:t>结算依据。误差超过</w:t>
      </w:r>
      <w:r>
        <w:rPr>
          <w:rFonts w:hint="eastAsia" w:cs="宋体"/>
          <w:color w:val="auto"/>
          <w:spacing w:val="9"/>
          <w:sz w:val="24"/>
          <w:szCs w:val="24"/>
          <w:highlight w:val="none"/>
          <w:lang w:val="en-US" w:eastAsia="zh-CN"/>
        </w:rPr>
        <w:t>0.8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</w:rPr>
        <w:t>度的，任何一方可以申请到双方认可的</w:t>
      </w:r>
      <w:r>
        <w:rPr>
          <w:rFonts w:hint="eastAsia" w:ascii="宋体" w:hAnsi="宋体" w:eastAsia="宋体" w:cs="宋体"/>
          <w:color w:val="auto"/>
          <w:spacing w:val="8"/>
          <w:sz w:val="24"/>
          <w:szCs w:val="24"/>
          <w:highlight w:val="none"/>
        </w:rPr>
        <w:t>具有资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</w:rPr>
        <w:t>质的第三方检测机构开封</w:t>
      </w:r>
      <w:r>
        <w:rPr>
          <w:rFonts w:hint="eastAsia" w:cs="宋体"/>
          <w:color w:val="auto"/>
          <w:spacing w:val="9"/>
          <w:sz w:val="24"/>
          <w:szCs w:val="24"/>
          <w:highlight w:val="none"/>
          <w:lang w:val="en-US" w:eastAsia="zh-CN"/>
        </w:rPr>
        <w:t>备查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</w:rPr>
        <w:t>样检测，以第三方检测机</w:t>
      </w:r>
      <w:r>
        <w:rPr>
          <w:rFonts w:hint="eastAsia" w:ascii="宋体" w:hAnsi="宋体" w:eastAsia="宋体" w:cs="宋体"/>
          <w:color w:val="auto"/>
          <w:spacing w:val="8"/>
          <w:sz w:val="24"/>
          <w:szCs w:val="24"/>
          <w:highlight w:val="none"/>
        </w:rPr>
        <w:t>构的检测结果</w:t>
      </w:r>
      <w:r>
        <w:rPr>
          <w:rFonts w:hint="eastAsia"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作为</w:t>
      </w:r>
      <w:r>
        <w:rPr>
          <w:rFonts w:hint="eastAsia" w:ascii="宋体" w:hAnsi="宋体" w:eastAsia="宋体" w:cs="宋体"/>
          <w:color w:val="auto"/>
          <w:spacing w:val="8"/>
          <w:sz w:val="24"/>
          <w:szCs w:val="24"/>
          <w:highlight w:val="none"/>
        </w:rPr>
        <w:t>结算依据</w:t>
      </w:r>
      <w:r>
        <w:rPr>
          <w:rFonts w:hint="eastAsia" w:cs="宋体"/>
          <w:color w:val="auto"/>
          <w:spacing w:val="8"/>
          <w:sz w:val="24"/>
          <w:szCs w:val="24"/>
          <w:highlight w:val="none"/>
          <w:lang w:eastAsia="zh-CN"/>
        </w:rPr>
        <w:t>，或双方重新取样后共同化验，以共同化验的结果作为结算依据</w:t>
      </w:r>
      <w:r>
        <w:rPr>
          <w:rFonts w:hint="eastAsia" w:ascii="宋体" w:hAnsi="宋体" w:eastAsia="宋体" w:cs="宋体"/>
          <w:color w:val="auto"/>
          <w:spacing w:val="8"/>
          <w:sz w:val="24"/>
          <w:szCs w:val="24"/>
          <w:highlight w:val="none"/>
        </w:rPr>
        <w:t>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6" w:line="360" w:lineRule="auto"/>
        <w:jc w:val="both"/>
        <w:textAlignment w:val="baseline"/>
        <w:rPr>
          <w:rFonts w:hint="eastAsia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cs="宋体"/>
          <w:b/>
          <w:bCs/>
          <w:color w:val="auto"/>
          <w:sz w:val="24"/>
          <w:szCs w:val="24"/>
          <w:highlight w:val="none"/>
          <w:lang w:val="en-US" w:eastAsia="zh-CN"/>
        </w:rPr>
        <w:t xml:space="preserve">1.4.1.2 </w:t>
      </w:r>
      <w:r>
        <w:rPr>
          <w:rFonts w:hint="eastAsia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重量以需方到货过磅数为结算依据。双方允许磅差范围为0.3%，误差超过0.3%的，以供需双方过磅数的平均值或双方协商结果为结算依据。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10"/>
        <w:textAlignment w:val="baseline"/>
        <w:rPr>
          <w:rFonts w:hint="eastAsia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sz w:val="24"/>
          <w:szCs w:val="24"/>
          <w:highlight w:val="none"/>
          <w:lang w:val="en-US" w:eastAsia="zh-CN"/>
        </w:rPr>
        <w:t xml:space="preserve">1.4.1.3  </w:t>
      </w:r>
      <w:r>
        <w:rPr>
          <w:rStyle w:val="7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24292B"/>
          <w:spacing w:val="0"/>
          <w:sz w:val="24"/>
          <w:szCs w:val="24"/>
          <w:highlight w:val="none"/>
          <w:shd w:val="clear" w:fill="FFFFFF"/>
        </w:rPr>
        <w:t>取样、制样全过程需在供需双方人员共同监督下进行。若供方人员未按规定时间到场</w:t>
      </w:r>
      <w:r>
        <w:rPr>
          <w:rStyle w:val="7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24292B"/>
          <w:spacing w:val="0"/>
          <w:sz w:val="24"/>
          <w:szCs w:val="24"/>
          <w:highlight w:val="none"/>
          <w:shd w:val="clear" w:fill="FFFFFF"/>
          <w:lang w:eastAsia="zh-CN"/>
        </w:rPr>
        <w:t>或无委托人员</w:t>
      </w:r>
      <w:r>
        <w:rPr>
          <w:rStyle w:val="7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24292B"/>
          <w:spacing w:val="0"/>
          <w:sz w:val="24"/>
          <w:szCs w:val="24"/>
          <w:highlight w:val="none"/>
          <w:shd w:val="clear" w:fill="FFFFFF"/>
        </w:rPr>
        <w:t>，视为自动放弃监督权，需方独立取样、制样结果同样有效，并作为最终结算依据。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10"/>
        <w:textAlignment w:val="baseline"/>
        <w:rPr>
          <w:rStyle w:val="7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24292B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24292B"/>
          <w:spacing w:val="0"/>
          <w:sz w:val="24"/>
          <w:szCs w:val="24"/>
          <w:highlight w:val="none"/>
          <w:shd w:val="clear" w:fill="FFFFFF"/>
          <w:lang w:val="en-US" w:eastAsia="zh-CN"/>
        </w:rPr>
        <w:t xml:space="preserve">1.4.1.4  </w:t>
      </w:r>
      <w:r>
        <w:rPr>
          <w:rStyle w:val="7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24292B"/>
          <w:spacing w:val="0"/>
          <w:sz w:val="24"/>
          <w:szCs w:val="24"/>
          <w:highlight w:val="none"/>
          <w:shd w:val="clear" w:fill="FFFFFF"/>
          <w:lang w:val="en-US" w:eastAsia="zh-CN"/>
        </w:rPr>
        <w:t>为了防止采购的货物在运输过程中私自拆封或调换，确保矿石的质量等，供方需在货物整车中加装封签/封条，封签/封条不完整的需方有权拒收该车货物。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360" w:lineRule="auto"/>
        <w:ind w:left="0"/>
        <w:jc w:val="both"/>
        <w:textAlignment w:val="baseline"/>
        <w:outlineLvl w:val="4"/>
        <w:rPr>
          <w:rStyle w:val="7"/>
          <w:rFonts w:hint="eastAsia" w:cs="宋体"/>
          <w:b w:val="0"/>
          <w:bCs w:val="0"/>
          <w:i w:val="0"/>
          <w:iCs w:val="0"/>
          <w:caps w:val="0"/>
          <w:color w:val="24292B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24292B"/>
          <w:spacing w:val="0"/>
          <w:sz w:val="24"/>
          <w:szCs w:val="24"/>
          <w:highlight w:val="none"/>
          <w:shd w:val="clear" w:fill="FFFFFF"/>
          <w:lang w:val="en-US" w:eastAsia="zh-CN"/>
        </w:rPr>
        <w:t>1.4.1.</w:t>
      </w:r>
      <w:r>
        <w:rPr>
          <w:rStyle w:val="7"/>
          <w:rFonts w:hint="eastAsia" w:cs="宋体"/>
          <w:b/>
          <w:bCs/>
          <w:i w:val="0"/>
          <w:iCs w:val="0"/>
          <w:caps w:val="0"/>
          <w:color w:val="24292B"/>
          <w:spacing w:val="0"/>
          <w:sz w:val="24"/>
          <w:szCs w:val="24"/>
          <w:highlight w:val="none"/>
          <w:shd w:val="clear" w:fill="FFFFFF"/>
          <w:lang w:val="en-US" w:eastAsia="zh-CN"/>
        </w:rPr>
        <w:t xml:space="preserve">5  </w:t>
      </w:r>
      <w:r>
        <w:rPr>
          <w:rStyle w:val="7"/>
          <w:rFonts w:hint="eastAsia" w:cs="宋体"/>
          <w:b w:val="0"/>
          <w:bCs w:val="0"/>
          <w:i w:val="0"/>
          <w:iCs w:val="0"/>
          <w:caps w:val="0"/>
          <w:color w:val="24292B"/>
          <w:spacing w:val="0"/>
          <w:sz w:val="24"/>
          <w:szCs w:val="24"/>
          <w:highlight w:val="none"/>
          <w:shd w:val="clear" w:fill="FFFFFF"/>
          <w:lang w:val="en-US" w:eastAsia="zh-CN"/>
        </w:rPr>
        <w:t>供方须使用合格吨袋封装货物，确保装卸运输全程吨袋无破损、不漏料。凡发货后因吨袋材质、缝制、封口、捆扎问题造成包装破损、物料外泄、货物损耗，供方负责补货、退款并承担全部运费及相关损失；收货当场发现包装破损，需方有权拒收，供方自行运回并重新供货。若因吨袋破损造成需方场地污染、人工清理等间接损失，一并由供方据实赔付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360" w:lineRule="auto"/>
        <w:ind w:left="0"/>
        <w:jc w:val="both"/>
        <w:textAlignment w:val="baseline"/>
        <w:outlineLvl w:val="4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14"/>
          <w:sz w:val="24"/>
          <w:szCs w:val="24"/>
          <w:highlight w:val="none"/>
        </w:rPr>
        <w:t>1.4.2检验项目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4" w:line="360" w:lineRule="auto"/>
        <w:ind w:left="0" w:firstLine="512" w:firstLineChars="20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8"/>
          <w:sz w:val="24"/>
          <w:szCs w:val="24"/>
          <w:highlight w:val="none"/>
        </w:rPr>
        <w:t>每批焙烧矿粉需检测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Mn</w:t>
      </w:r>
      <w:r>
        <w:rPr>
          <w:rFonts w:hint="eastAsia" w:ascii="宋体" w:hAnsi="宋体" w:eastAsia="宋体" w:cs="宋体"/>
          <w:color w:val="auto"/>
          <w:spacing w:val="8"/>
          <w:sz w:val="24"/>
          <w:szCs w:val="24"/>
          <w:highlight w:val="none"/>
        </w:rPr>
        <w:t>含量</w:t>
      </w:r>
      <w:r>
        <w:rPr>
          <w:rFonts w:hint="eastAsia" w:cs="宋体"/>
          <w:color w:val="auto"/>
          <w:spacing w:val="8"/>
          <w:sz w:val="24"/>
          <w:szCs w:val="24"/>
          <w:highlight w:val="none"/>
          <w:lang w:eastAsia="zh-CN"/>
        </w:rPr>
        <w:t>、</w:t>
      </w:r>
      <w:r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  <w:t>Mn</w:t>
      </w:r>
      <w:r>
        <w:rPr>
          <w:rFonts w:hint="eastAsia"/>
          <w:color w:val="auto"/>
          <w:spacing w:val="-3"/>
          <w:sz w:val="24"/>
          <w:szCs w:val="24"/>
          <w:highlight w:val="none"/>
          <w:vertAlign w:val="superscript"/>
          <w:lang w:val="en-US" w:eastAsia="zh-CN"/>
        </w:rPr>
        <w:t>2+</w:t>
      </w:r>
      <w:r>
        <w:rPr>
          <w:rFonts w:hint="eastAsia" w:ascii="宋体" w:hAnsi="宋体" w:eastAsia="宋体" w:cs="宋体"/>
          <w:color w:val="auto"/>
          <w:spacing w:val="8"/>
          <w:sz w:val="24"/>
          <w:szCs w:val="24"/>
          <w:highlight w:val="none"/>
        </w:rPr>
        <w:t>含量、</w:t>
      </w:r>
      <w:r>
        <w:rPr>
          <w:rFonts w:hint="eastAsia" w:cs="宋体"/>
          <w:color w:val="auto"/>
          <w:spacing w:val="8"/>
          <w:sz w:val="24"/>
          <w:szCs w:val="24"/>
          <w:highlight w:val="none"/>
          <w:lang w:val="en-US" w:eastAsia="zh-CN"/>
        </w:rPr>
        <w:t>还原率</w:t>
      </w:r>
      <w:r>
        <w:rPr>
          <w:rFonts w:hint="eastAsia" w:ascii="宋体" w:hAnsi="宋体" w:eastAsia="宋体" w:cs="宋体"/>
          <w:color w:val="auto"/>
          <w:spacing w:val="8"/>
          <w:sz w:val="24"/>
          <w:szCs w:val="24"/>
          <w:highlight w:val="none"/>
        </w:rPr>
        <w:t>、</w:t>
      </w:r>
      <w:r>
        <w:rPr>
          <w:rFonts w:hint="eastAsia" w:cs="宋体"/>
          <w:color w:val="auto"/>
          <w:spacing w:val="8"/>
          <w:sz w:val="24"/>
          <w:szCs w:val="24"/>
          <w:highlight w:val="none"/>
          <w:lang w:eastAsia="zh-CN"/>
        </w:rPr>
        <w:t>铜</w:t>
      </w:r>
      <w:r>
        <w:rPr>
          <w:rFonts w:hint="eastAsia" w:cs="宋体"/>
          <w:color w:val="auto"/>
          <w:spacing w:val="8"/>
          <w:sz w:val="24"/>
          <w:szCs w:val="24"/>
          <w:highlight w:val="none"/>
          <w:lang w:val="en-US" w:eastAsia="zh-CN"/>
        </w:rPr>
        <w:t>、硫</w:t>
      </w:r>
      <w:r>
        <w:rPr>
          <w:rFonts w:hint="eastAsia" w:ascii="宋体" w:hAnsi="宋体" w:eastAsia="宋体" w:cs="宋体"/>
          <w:color w:val="auto"/>
          <w:spacing w:val="8"/>
          <w:sz w:val="24"/>
          <w:szCs w:val="24"/>
          <w:highlight w:val="none"/>
        </w:rPr>
        <w:t>、目数、水分含量。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60" w:lineRule="auto"/>
        <w:ind w:left="0"/>
        <w:jc w:val="both"/>
        <w:textAlignment w:val="baseline"/>
        <w:outlineLvl w:val="4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-4"/>
          <w:sz w:val="24"/>
          <w:szCs w:val="24"/>
          <w:highlight w:val="none"/>
        </w:rPr>
        <w:t>1.4.3</w:t>
      </w:r>
      <w:r>
        <w:rPr>
          <w:rFonts w:hint="eastAsia" w:ascii="宋体" w:hAnsi="宋体" w:eastAsia="宋体" w:cs="宋体"/>
          <w:color w:val="auto"/>
          <w:spacing w:val="66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-4"/>
          <w:sz w:val="24"/>
          <w:szCs w:val="24"/>
          <w:highlight w:val="none"/>
        </w:rPr>
        <w:t>取样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6" w:line="360" w:lineRule="auto"/>
        <w:ind w:left="0" w:right="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</w:rPr>
        <w:t>1.4.3.1在接到相关部门下达到货通知后，取样员在相应的时间到取样地点开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展取样工作。</w:t>
      </w:r>
    </w:p>
    <w:p>
      <w:pPr>
        <w:spacing w:before="76" w:line="360" w:lineRule="auto"/>
        <w:ind w:left="0" w:right="0" w:firstLine="0"/>
        <w:jc w:val="both"/>
        <w:rPr>
          <w:rFonts w:hint="eastAsia" w:ascii="宋体" w:hAnsi="宋体" w:eastAsia="宋体" w:cs="宋体"/>
          <w:color w:val="000000" w:themeColor="text1"/>
          <w:spacing w:val="15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</w:rPr>
        <w:t>1.4.3.2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  <w:lang w:eastAsia="zh-CN"/>
        </w:rPr>
        <w:t>一氧化锰矿粉（焙烧矿粉）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</w:rPr>
        <w:t>运到</w:t>
      </w:r>
      <w:r>
        <w:rPr>
          <w:rFonts w:hint="eastAsia" w:ascii="宋体" w:hAnsi="宋体" w:eastAsia="宋体" w:cs="宋体"/>
          <w:color w:val="auto"/>
          <w:spacing w:val="7"/>
          <w:sz w:val="24"/>
          <w:szCs w:val="24"/>
          <w:highlight w:val="none"/>
          <w:lang w:eastAsia="zh-CN"/>
        </w:rPr>
        <w:t>锰业</w:t>
      </w:r>
      <w:r>
        <w:rPr>
          <w:rFonts w:hint="eastAsia" w:ascii="宋体" w:hAnsi="宋体" w:eastAsia="宋体" w:cs="宋体"/>
          <w:color w:val="auto"/>
          <w:spacing w:val="7"/>
          <w:sz w:val="24"/>
          <w:szCs w:val="24"/>
          <w:highlight w:val="none"/>
        </w:rPr>
        <w:t>公司厂区</w:t>
      </w:r>
      <w:r>
        <w:rPr>
          <w:rFonts w:hint="eastAsia" w:ascii="宋体" w:hAnsi="宋体" w:eastAsia="宋体" w:cs="宋体"/>
          <w:color w:val="auto"/>
          <w:spacing w:val="6"/>
          <w:sz w:val="24"/>
          <w:szCs w:val="24"/>
          <w:highlight w:val="none"/>
        </w:rPr>
        <w:t>后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</w:rPr>
        <w:t>，每车次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  <w:lang w:eastAsia="zh-CN"/>
        </w:rPr>
        <w:t>一氧化锰矿粉（焙烧矿粉）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</w:rPr>
        <w:t>作为一个批次抽取样本，</w:t>
      </w:r>
      <w:r>
        <w:rPr>
          <w:rFonts w:hint="eastAsia" w:cs="宋体"/>
          <w:color w:val="auto"/>
          <w:spacing w:val="10"/>
          <w:sz w:val="24"/>
          <w:szCs w:val="24"/>
          <w:highlight w:val="none"/>
          <w:lang w:eastAsia="zh-CN"/>
        </w:rPr>
        <w:t>每袋</w:t>
      </w:r>
      <w:r>
        <w:rPr>
          <w:rFonts w:hint="eastAsia" w:ascii="宋体" w:hAnsi="宋体" w:eastAsia="宋体" w:cs="宋体"/>
          <w:color w:val="auto"/>
          <w:spacing w:val="6"/>
          <w:sz w:val="24"/>
          <w:szCs w:val="24"/>
          <w:highlight w:val="none"/>
        </w:rPr>
        <w:t>中采取0.</w:t>
      </w:r>
      <w:r>
        <w:rPr>
          <w:rFonts w:hint="eastAsia" w:ascii="宋体" w:hAnsi="宋体" w:eastAsia="宋体" w:cs="宋体"/>
          <w:color w:val="auto"/>
          <w:spacing w:val="-64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pacing w:val="6"/>
          <w:sz w:val="24"/>
          <w:szCs w:val="24"/>
          <w:highlight w:val="none"/>
        </w:rPr>
        <w:t>1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kg</w:t>
      </w:r>
      <w:r>
        <w:rPr>
          <w:rFonts w:hint="eastAsia" w:ascii="宋体" w:hAnsi="宋体" w:eastAsia="宋体" w:cs="宋体"/>
          <w:color w:val="auto"/>
          <w:spacing w:val="-18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pacing w:val="6"/>
          <w:sz w:val="24"/>
          <w:szCs w:val="24"/>
          <w:highlight w:val="none"/>
        </w:rPr>
        <w:t>至0</w:t>
      </w:r>
      <w:r>
        <w:rPr>
          <w:rFonts w:hint="eastAsia" w:ascii="宋体" w:hAnsi="宋体" w:eastAsia="宋体" w:cs="宋体"/>
          <w:color w:val="auto"/>
          <w:spacing w:val="-67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pacing w:val="6"/>
          <w:sz w:val="24"/>
          <w:szCs w:val="24"/>
          <w:highlight w:val="none"/>
        </w:rPr>
        <w:t>.2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kg</w:t>
      </w:r>
      <w:r>
        <w:rPr>
          <w:rFonts w:hint="eastAsia" w:ascii="宋体" w:hAnsi="宋体" w:eastAsia="宋体" w:cs="宋体"/>
          <w:color w:val="auto"/>
          <w:spacing w:val="-47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pacing w:val="6"/>
          <w:sz w:val="24"/>
          <w:szCs w:val="24"/>
          <w:highlight w:val="none"/>
        </w:rPr>
        <w:t>子样。合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highlight w:val="none"/>
        </w:rPr>
        <w:t>并全部子样组成检验批次的样本</w:t>
      </w:r>
      <w:r>
        <w:rPr>
          <w:rFonts w:hint="eastAsia" w:cs="宋体"/>
          <w:color w:val="auto"/>
          <w:spacing w:val="5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</w:rPr>
        <w:t>总样量不少于2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kg</w:t>
      </w:r>
      <w:r>
        <w:rPr>
          <w:rFonts w:hint="eastAsia" w:ascii="宋体" w:hAnsi="宋体" w:eastAsia="宋体" w:cs="宋体"/>
          <w:color w:val="auto"/>
          <w:spacing w:val="-26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</w:rPr>
        <w:t>。样本经充分混合</w:t>
      </w:r>
      <w:r>
        <w:rPr>
          <w:rFonts w:hint="eastAsia" w:ascii="宋体" w:hAnsi="宋体" w:eastAsia="宋体" w:cs="宋体"/>
          <w:color w:val="000000" w:themeColor="text1"/>
          <w:spacing w:val="3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，分成相等的</w:t>
      </w:r>
      <w:r>
        <w:rPr>
          <w:rFonts w:hint="eastAsia" w:cs="宋体"/>
          <w:color w:val="000000" w:themeColor="text1"/>
          <w:spacing w:val="3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宋体" w:hAnsi="宋体" w:eastAsia="宋体" w:cs="宋体"/>
          <w:color w:val="000000" w:themeColor="text1"/>
          <w:spacing w:val="3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份，</w:t>
      </w:r>
      <w:r>
        <w:rPr>
          <w:rFonts w:ascii="宋体" w:hAnsi="宋体" w:eastAsia="宋体" w:cs="宋体"/>
          <w:color w:val="000000" w:themeColor="text1"/>
          <w:spacing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一份由</w:t>
      </w:r>
      <w:r>
        <w:rPr>
          <w:rFonts w:hint="eastAsia" w:cs="宋体"/>
          <w:color w:val="000000" w:themeColor="text1"/>
          <w:spacing w:val="1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质量室</w:t>
      </w:r>
      <w:r>
        <w:rPr>
          <w:rFonts w:ascii="宋体" w:hAnsi="宋体" w:eastAsia="宋体" w:cs="宋体"/>
          <w:color w:val="000000" w:themeColor="text1"/>
          <w:spacing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化验用、一份</w:t>
      </w:r>
      <w:r>
        <w:rPr>
          <w:rFonts w:hint="eastAsia" w:ascii="宋体" w:hAnsi="宋体" w:eastAsia="宋体" w:cs="宋体"/>
          <w:color w:val="000000" w:themeColor="text1"/>
          <w:spacing w:val="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供</w:t>
      </w:r>
      <w:r>
        <w:rPr>
          <w:rFonts w:hint="eastAsia" w:ascii="宋体" w:hAnsi="宋体" w:eastAsia="宋体" w:cs="宋体"/>
          <w:color w:val="000000" w:themeColor="text1"/>
          <w:spacing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货方</w:t>
      </w:r>
      <w:r>
        <w:rPr>
          <w:rFonts w:ascii="宋体" w:hAnsi="宋体" w:eastAsia="宋体" w:cs="宋体"/>
          <w:color w:val="000000" w:themeColor="text1"/>
          <w:spacing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取回、一份由制样员、取样员、监督人员及</w:t>
      </w:r>
      <w:r>
        <w:rPr>
          <w:rFonts w:hint="eastAsia" w:ascii="宋体" w:hAnsi="宋体" w:eastAsia="宋体" w:cs="宋体"/>
          <w:color w:val="000000" w:themeColor="text1"/>
          <w:spacing w:val="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供应商或授权委托</w:t>
      </w:r>
      <w:r>
        <w:rPr>
          <w:rFonts w:ascii="宋体" w:hAnsi="宋体" w:eastAsia="宋体" w:cs="宋体"/>
          <w:color w:val="000000" w:themeColor="text1"/>
          <w:spacing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人员共同签字封存。</w:t>
      </w:r>
      <w:r>
        <w:rPr>
          <w:rFonts w:hint="eastAsia" w:ascii="宋体" w:hAnsi="宋体" w:eastAsia="宋体" w:cs="宋体"/>
          <w:color w:val="000000" w:themeColor="text1"/>
          <w:spacing w:val="15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(卸货后</w:t>
      </w:r>
      <w:r>
        <w:rPr>
          <w:rFonts w:hint="eastAsia" w:cs="宋体"/>
          <w:color w:val="000000" w:themeColor="text1"/>
          <w:spacing w:val="15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需方</w:t>
      </w:r>
      <w:r>
        <w:rPr>
          <w:rFonts w:hint="eastAsia" w:ascii="宋体" w:hAnsi="宋体" w:eastAsia="宋体" w:cs="宋体"/>
          <w:color w:val="000000" w:themeColor="text1"/>
          <w:spacing w:val="15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不定期抽查取样</w:t>
      </w:r>
      <w:r>
        <w:rPr>
          <w:rFonts w:hint="eastAsia" w:cs="宋体"/>
          <w:color w:val="000000" w:themeColor="text1"/>
          <w:spacing w:val="15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cs="宋体"/>
          <w:color w:val="000000" w:themeColor="text1"/>
          <w:spacing w:val="15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如Mn%抽样结果与原结果偏差较大或</w:t>
      </w:r>
      <w:r>
        <w:rPr>
          <w:rFonts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生产使用</w:t>
      </w:r>
      <w:r>
        <w:rPr>
          <w:rFonts w:hint="eastAsia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异常</w:t>
      </w:r>
      <w:r>
        <w:rPr>
          <w:rFonts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向供应商反馈协商解决。</w:t>
      </w:r>
      <w:r>
        <w:rPr>
          <w:rFonts w:hint="eastAsia" w:ascii="宋体" w:hAnsi="宋体" w:eastAsia="宋体" w:cs="宋体"/>
          <w:color w:val="000000" w:themeColor="text1"/>
          <w:spacing w:val="15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)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6" w:line="360" w:lineRule="auto"/>
        <w:ind w:left="0" w:right="0"/>
        <w:jc w:val="both"/>
        <w:textAlignment w:val="baseline"/>
        <w:rPr>
          <w:rFonts w:hint="eastAsia" w:ascii="宋体" w:hAnsi="宋体" w:eastAsia="宋体" w:cs="宋体"/>
          <w:color w:val="auto"/>
          <w:spacing w:val="7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11"/>
          <w:sz w:val="24"/>
          <w:szCs w:val="24"/>
          <w:highlight w:val="none"/>
        </w:rPr>
        <w:t>1.4.3.3将取好的样品及时送往</w:t>
      </w:r>
      <w:r>
        <w:rPr>
          <w:rFonts w:hint="eastAsia" w:cs="宋体"/>
          <w:color w:val="auto"/>
          <w:spacing w:val="11"/>
          <w:sz w:val="24"/>
          <w:szCs w:val="24"/>
          <w:highlight w:val="none"/>
          <w:lang w:eastAsia="zh-CN"/>
        </w:rPr>
        <w:t>质量室</w:t>
      </w:r>
      <w:r>
        <w:rPr>
          <w:rFonts w:hint="eastAsia" w:ascii="宋体" w:hAnsi="宋体" w:eastAsia="宋体" w:cs="宋体"/>
          <w:color w:val="auto"/>
          <w:spacing w:val="11"/>
          <w:sz w:val="24"/>
          <w:szCs w:val="24"/>
          <w:highlight w:val="none"/>
        </w:rPr>
        <w:t>进行分析检验，试样保存期限不少于2</w:t>
      </w:r>
      <w:r>
        <w:rPr>
          <w:rFonts w:hint="eastAsia" w:ascii="宋体" w:hAnsi="宋体" w:eastAsia="宋体" w:cs="宋体"/>
          <w:color w:val="auto"/>
          <w:spacing w:val="7"/>
          <w:sz w:val="24"/>
          <w:szCs w:val="24"/>
          <w:highlight w:val="none"/>
        </w:rPr>
        <w:t>个月，且完成结算无异议后方可处理。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6" w:line="360" w:lineRule="auto"/>
        <w:ind w:left="0" w:right="0"/>
        <w:jc w:val="both"/>
        <w:textAlignment w:val="baseline"/>
        <w:rPr>
          <w:rFonts w:hint="default" w:ascii="宋体" w:hAnsi="宋体" w:eastAsia="宋体" w:cs="宋体"/>
          <w:color w:val="auto"/>
          <w:spacing w:val="7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1"/>
          <w:sz w:val="24"/>
          <w:szCs w:val="24"/>
          <w:highlight w:val="none"/>
        </w:rPr>
        <w:t>1.4.3.</w:t>
      </w:r>
      <w:r>
        <w:rPr>
          <w:rFonts w:hint="eastAsia" w:cs="宋体"/>
          <w:color w:val="auto"/>
          <w:spacing w:val="11"/>
          <w:sz w:val="24"/>
          <w:szCs w:val="24"/>
          <w:highlight w:val="none"/>
          <w:lang w:val="en-US" w:eastAsia="zh-CN"/>
        </w:rPr>
        <w:t>4 水分样品：在完成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</w:rPr>
        <w:t>1.4.3.2</w:t>
      </w:r>
      <w:r>
        <w:rPr>
          <w:rFonts w:hint="eastAsia" w:cs="宋体"/>
          <w:color w:val="auto"/>
          <w:spacing w:val="10"/>
          <w:sz w:val="24"/>
          <w:szCs w:val="24"/>
          <w:highlight w:val="none"/>
          <w:lang w:val="en-US" w:eastAsia="zh-CN"/>
        </w:rPr>
        <w:t>样品混合步骤后，第一时间由锰业公司质量室进行水分测定。</w:t>
      </w:r>
      <w:r>
        <w:rPr>
          <w:rFonts w:hint="eastAsia"/>
          <w:spacing w:val="6"/>
          <w:highlight w:val="none"/>
        </w:rPr>
        <w:t>水分</w:t>
      </w:r>
      <w:r>
        <w:rPr>
          <w:rFonts w:hint="eastAsia"/>
          <w:spacing w:val="6"/>
          <w:highlight w:val="none"/>
          <w:lang w:val="en-US" w:eastAsia="zh-CN"/>
        </w:rPr>
        <w:t>含量</w:t>
      </w:r>
      <w:r>
        <w:rPr>
          <w:rFonts w:hint="eastAsia"/>
          <w:spacing w:val="6"/>
          <w:highlight w:val="none"/>
        </w:rPr>
        <w:t>会因环境变化而有所变化，水分</w:t>
      </w:r>
      <w:r>
        <w:rPr>
          <w:rFonts w:hint="eastAsia"/>
          <w:spacing w:val="6"/>
          <w:highlight w:val="none"/>
          <w:lang w:val="en-US" w:eastAsia="zh-CN"/>
        </w:rPr>
        <w:t>测定结果</w:t>
      </w:r>
      <w:r>
        <w:rPr>
          <w:rFonts w:hint="eastAsia"/>
          <w:spacing w:val="6"/>
          <w:highlight w:val="none"/>
        </w:rPr>
        <w:t>不受理复检仲裁</w:t>
      </w:r>
      <w:r>
        <w:rPr>
          <w:rFonts w:hint="eastAsia"/>
          <w:spacing w:val="6"/>
          <w:highlight w:val="none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0" w:line="360" w:lineRule="auto"/>
        <w:ind w:left="0"/>
        <w:jc w:val="both"/>
        <w:textAlignment w:val="baseline"/>
        <w:outlineLvl w:val="4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</w:rPr>
        <w:t>1.4.4检验结果的报告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60" w:lineRule="auto"/>
        <w:ind w:left="0" w:firstLine="55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cs="宋体"/>
          <w:color w:val="auto"/>
          <w:spacing w:val="7"/>
          <w:sz w:val="24"/>
          <w:szCs w:val="24"/>
          <w:highlight w:val="none"/>
          <w:lang w:eastAsia="zh-CN"/>
        </w:rPr>
        <w:t>质量室</w:t>
      </w:r>
      <w:r>
        <w:rPr>
          <w:rFonts w:hint="eastAsia" w:ascii="宋体" w:hAnsi="宋体" w:eastAsia="宋体" w:cs="宋体"/>
          <w:color w:val="auto"/>
          <w:spacing w:val="7"/>
          <w:sz w:val="24"/>
          <w:szCs w:val="24"/>
          <w:highlight w:val="none"/>
        </w:rPr>
        <w:t>材料分析员对样品检测完成后，由</w:t>
      </w:r>
      <w:r>
        <w:rPr>
          <w:rFonts w:hint="eastAsia" w:cs="宋体"/>
          <w:color w:val="auto"/>
          <w:spacing w:val="7"/>
          <w:sz w:val="24"/>
          <w:szCs w:val="24"/>
          <w:highlight w:val="none"/>
          <w:lang w:eastAsia="zh-CN"/>
        </w:rPr>
        <w:t>质量室</w:t>
      </w:r>
      <w:r>
        <w:rPr>
          <w:rFonts w:hint="eastAsia" w:ascii="宋体" w:hAnsi="宋体" w:eastAsia="宋体" w:cs="宋体"/>
          <w:color w:val="auto"/>
          <w:spacing w:val="6"/>
          <w:sz w:val="24"/>
          <w:szCs w:val="24"/>
          <w:highlight w:val="none"/>
        </w:rPr>
        <w:t>检测主管进行审核并根据对应的编码进行解码录制报表。经报</w:t>
      </w:r>
      <w:r>
        <w:rPr>
          <w:rFonts w:hint="eastAsia" w:cs="宋体"/>
          <w:color w:val="auto"/>
          <w:spacing w:val="6"/>
          <w:sz w:val="24"/>
          <w:szCs w:val="24"/>
          <w:highlight w:val="none"/>
          <w:lang w:eastAsia="zh-CN"/>
        </w:rPr>
        <w:t>质量室</w:t>
      </w:r>
      <w:r>
        <w:rPr>
          <w:rFonts w:hint="eastAsia" w:ascii="宋体" w:hAnsi="宋体" w:eastAsia="宋体" w:cs="宋体"/>
          <w:color w:val="auto"/>
          <w:spacing w:val="6"/>
          <w:sz w:val="24"/>
          <w:szCs w:val="24"/>
          <w:highlight w:val="none"/>
        </w:rPr>
        <w:t>主任审核审批后报出该批次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  <w:lang w:eastAsia="zh-CN"/>
        </w:rPr>
        <w:t>一氧化锰矿粉（焙烧矿粉）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</w:rPr>
        <w:t>的检测结果。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0"/>
        <w:jc w:val="both"/>
        <w:textAlignment w:val="baseline"/>
        <w:outlineLvl w:val="4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-4"/>
          <w:sz w:val="24"/>
          <w:szCs w:val="24"/>
          <w:highlight w:val="none"/>
        </w:rPr>
        <w:t>1.5</w:t>
      </w:r>
      <w:r>
        <w:rPr>
          <w:rFonts w:hint="eastAsia" w:ascii="宋体" w:hAnsi="宋体" w:eastAsia="宋体" w:cs="宋体"/>
          <w:color w:val="auto"/>
          <w:spacing w:val="41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-4"/>
          <w:sz w:val="24"/>
          <w:szCs w:val="24"/>
          <w:highlight w:val="none"/>
        </w:rPr>
        <w:t>试验方法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6" w:line="360" w:lineRule="auto"/>
        <w:ind w:left="0"/>
        <w:jc w:val="both"/>
        <w:textAlignment w:val="baseline"/>
        <w:outlineLvl w:val="4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</w:rPr>
        <w:t>1.5.1</w:t>
      </w:r>
      <w:r>
        <w:rPr>
          <w:rFonts w:hint="eastAsia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 xml:space="preserve"> 锰的测定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40" w:firstLineChars="100"/>
        <w:jc w:val="both"/>
        <w:textAlignment w:val="baseline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1.5.1.1全锰含量的测定按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 xml:space="preserve">GB/T 1506-2016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《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锰矿石 锰含量的测定 电位滴定法和硫酸亚铁滴定法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》执行。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0"/>
        <w:jc w:val="both"/>
        <w:textAlignment w:val="baseline"/>
        <w:rPr>
          <w:rFonts w:hint="default"/>
          <w:color w:val="auto"/>
          <w:spacing w:val="-3"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eastAsia"/>
          <w:color w:val="auto"/>
          <w:spacing w:val="0"/>
          <w:sz w:val="24"/>
          <w:szCs w:val="24"/>
          <w:highlight w:val="none"/>
          <w:lang w:val="en-US" w:eastAsia="zh-CN"/>
        </w:rPr>
        <w:t>1.5.1.2 二价锰Mn</w:t>
      </w:r>
      <w:r>
        <w:rPr>
          <w:rFonts w:hint="eastAsia"/>
          <w:color w:val="auto"/>
          <w:spacing w:val="0"/>
          <w:sz w:val="24"/>
          <w:szCs w:val="24"/>
          <w:highlight w:val="none"/>
          <w:vertAlign w:val="superscript"/>
          <w:lang w:val="en-US" w:eastAsia="zh-CN"/>
        </w:rPr>
        <w:t>2+</w:t>
      </w:r>
      <w:r>
        <w:rPr>
          <w:rFonts w:hint="eastAsia"/>
          <w:color w:val="auto"/>
          <w:spacing w:val="0"/>
          <w:sz w:val="24"/>
          <w:szCs w:val="24"/>
          <w:highlight w:val="none"/>
          <w:vertAlign w:val="baseline"/>
          <w:lang w:val="en-US" w:eastAsia="zh-CN"/>
        </w:rPr>
        <w:t>含量测定方法提要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0" w:firstLine="468" w:firstLineChars="200"/>
        <w:jc w:val="both"/>
        <w:textAlignment w:val="baseline"/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  <w:t>移取湿基试样（未烘干）0.2000克于三角瓶中，加入（1+9）硫酸15-20ml，于90℃条件下恒温水浴30分钟，并经常摇晃。后过滤于100ml容量，移取50ml滤液于300ml锥形瓶，将分取滤液置于电炉上煮沸，加入20毫升（500+20）磷酸高氯酸、5毫升硝酸，继续加热至高氯酸烟冒尽，瓶底无小气泡，液面平静。取下稍冷加60毫升水，冷却至室温，用0.1N硫酸亚铁铵标液滴定至溶液变浅，再加0.2%N——苯代邻氨基苯甲酸指示剂2滴，继续滴至亮黄色为终点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175"/>
        <w:textAlignment w:val="baseline"/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position w:val="-16"/>
          <w:sz w:val="15"/>
          <w:szCs w:val="15"/>
          <w:highlight w:val="none"/>
          <w:lang w:val="en-US" w:eastAsia="zh-CN"/>
        </w:rPr>
        <w:pict>
          <v:shape id="_x0000_s1026" o:spid="_x0000_s1026" o:spt="75" type="#_x0000_t75" style="position:absolute;left:0pt;margin-left:68.7pt;margin-top:6.2pt;height:68.6pt;width:235.75pt;z-index:251660288;mso-width-relative:page;mso-height-relative:page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</v:shape>
          <o:OLEObject Type="Embed" ProgID="Equation.KSEE3" ShapeID="_x0000_s1026" DrawAspect="Content" ObjectID="_1468075725" r:id="rId8">
            <o:LockedField>false</o:LockedField>
          </o:OLEObject>
        </w:pic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175"/>
        <w:textAlignment w:val="baseline"/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  <w:t>二价锰：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175"/>
        <w:textAlignment w:val="baseline"/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0"/>
        <w:jc w:val="both"/>
        <w:textAlignment w:val="baseline"/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  <w:t>其中：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0"/>
        <w:jc w:val="both"/>
        <w:textAlignment w:val="baseline"/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  <w:t>V--消耗硫酸亚铁铵体积(ml)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0"/>
        <w:jc w:val="both"/>
        <w:textAlignment w:val="baseline"/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  <w:t>C--硫酸亚铁铵浓度浓度（mol/L）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0"/>
        <w:jc w:val="both"/>
        <w:textAlignment w:val="baseline"/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  <w:t>m--试样质量（g）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0"/>
        <w:jc w:val="both"/>
        <w:textAlignment w:val="baseline"/>
        <w:rPr>
          <w:color w:val="auto"/>
          <w:spacing w:val="-3"/>
          <w:sz w:val="24"/>
          <w:szCs w:val="24"/>
          <w:highlight w:val="none"/>
        </w:rPr>
      </w:pPr>
      <w:r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  <w:t xml:space="preserve">1.5.2 </w:t>
      </w:r>
      <w:r>
        <w:rPr>
          <w:rFonts w:hint="eastAsia"/>
          <w:b/>
          <w:bCs/>
          <w:color w:val="auto"/>
          <w:spacing w:val="-3"/>
          <w:sz w:val="24"/>
          <w:szCs w:val="24"/>
          <w:highlight w:val="none"/>
          <w:lang w:val="en-US" w:eastAsia="zh-CN"/>
        </w:rPr>
        <w:t>粒度的测定（筛余物）</w:t>
      </w:r>
      <w:r>
        <w:rPr>
          <w:rFonts w:hint="eastAsia"/>
          <w:color w:val="auto"/>
          <w:spacing w:val="10"/>
          <w:sz w:val="24"/>
          <w:szCs w:val="24"/>
          <w:highlight w:val="none"/>
          <w:lang w:eastAsia="zh-CN"/>
        </w:rPr>
        <w:t>一氧化锰矿粉（焙烧矿粉）</w:t>
      </w:r>
      <w:r>
        <w:rPr>
          <w:color w:val="auto"/>
          <w:spacing w:val="-3"/>
          <w:sz w:val="24"/>
          <w:szCs w:val="24"/>
          <w:highlight w:val="none"/>
        </w:rPr>
        <w:t>1</w:t>
      </w:r>
      <w:r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  <w:t>0</w:t>
      </w:r>
      <w:r>
        <w:rPr>
          <w:color w:val="auto"/>
          <w:spacing w:val="-3"/>
          <w:sz w:val="24"/>
          <w:szCs w:val="24"/>
          <w:highlight w:val="none"/>
        </w:rPr>
        <w:t>0目标准筛检测筛余物。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0"/>
        <w:jc w:val="both"/>
        <w:textAlignment w:val="baseline"/>
        <w:rPr>
          <w:rFonts w:hint="eastAsia"/>
          <w:b/>
          <w:bCs/>
          <w:color w:val="auto"/>
          <w:spacing w:val="-3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  <w:t xml:space="preserve">1.5.3 </w:t>
      </w:r>
      <w:r>
        <w:rPr>
          <w:rFonts w:hint="eastAsia"/>
          <w:b/>
          <w:bCs/>
          <w:color w:val="auto"/>
          <w:spacing w:val="-3"/>
          <w:sz w:val="24"/>
          <w:szCs w:val="24"/>
          <w:highlight w:val="none"/>
          <w:lang w:val="en-US" w:eastAsia="zh-CN"/>
        </w:rPr>
        <w:t>其他元素分析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0"/>
        <w:jc w:val="both"/>
        <w:textAlignment w:val="baseline"/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spacing w:val="-3"/>
          <w:sz w:val="24"/>
          <w:szCs w:val="24"/>
          <w:highlight w:val="none"/>
          <w:lang w:val="en-US" w:eastAsia="zh-CN"/>
        </w:rPr>
        <w:t xml:space="preserve">1.5.3.1 铜（Cu）含量的测定 </w:t>
      </w:r>
      <w:r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  <w:t>采用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ICP-AES（电感耦合等离子体原子发射光谱仪）</w:t>
      </w:r>
      <w:r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  <w:t xml:space="preserve">1.5.3.2 硫（S）含量的测定 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采用高频红外碳分析仪测定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0"/>
        <w:jc w:val="both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  <w:t xml:space="preserve">1.5.3.3 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水分测定</w:t>
      </w:r>
      <w:r>
        <w:rPr>
          <w:rFonts w:ascii="宋体" w:hAnsi="宋体" w:eastAsia="宋体" w:cs="宋体"/>
          <w:spacing w:val="0"/>
          <w:sz w:val="24"/>
          <w:szCs w:val="24"/>
          <w:highlight w:val="none"/>
        </w:rPr>
        <w:t>依据《GB/T 29516-2013锰矿石 水分含量测定》的规定进行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0"/>
        <w:jc w:val="both"/>
        <w:textAlignment w:val="baseline"/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pacing w:val="-3"/>
          <w:sz w:val="24"/>
          <w:szCs w:val="24"/>
          <w:highlight w:val="none"/>
          <w:lang w:val="en-US" w:eastAsia="zh-CN"/>
        </w:rPr>
        <w:t>1.5.4 还原率的计算：还原率=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二价锰含量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/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全锰含量 ×100%。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按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1.5.1测得的质量分数计算。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7" w:line="360" w:lineRule="auto"/>
        <w:ind w:left="0"/>
        <w:jc w:val="both"/>
        <w:textAlignment w:val="baseline"/>
        <w:rPr>
          <w:rFonts w:ascii="Arial"/>
          <w:b/>
          <w:bCs/>
          <w:color w:val="auto"/>
          <w:sz w:val="21"/>
          <w:highlight w:val="none"/>
        </w:rPr>
      </w:pPr>
      <w:r>
        <w:rPr>
          <w:rFonts w:hint="eastAsia"/>
          <w:b/>
          <w:bCs/>
          <w:color w:val="auto"/>
          <w:spacing w:val="14"/>
          <w:sz w:val="24"/>
          <w:szCs w:val="24"/>
          <w:highlight w:val="none"/>
          <w:lang w:val="en-US" w:eastAsia="zh-CN"/>
        </w:rPr>
        <w:t xml:space="preserve">2 </w:t>
      </w:r>
      <w:r>
        <w:rPr>
          <w:b/>
          <w:bCs/>
          <w:color w:val="auto"/>
          <w:spacing w:val="14"/>
          <w:sz w:val="24"/>
          <w:szCs w:val="24"/>
          <w:highlight w:val="none"/>
        </w:rPr>
        <w:t>检测频次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360" w:lineRule="auto"/>
        <w:ind w:left="0" w:firstLine="512" w:firstLineChars="200"/>
        <w:jc w:val="both"/>
        <w:textAlignment w:val="baseline"/>
        <w:rPr>
          <w:color w:val="auto"/>
          <w:sz w:val="24"/>
          <w:szCs w:val="24"/>
          <w:highlight w:val="none"/>
        </w:rPr>
      </w:pPr>
      <w:r>
        <w:rPr>
          <w:color w:val="auto"/>
          <w:spacing w:val="8"/>
          <w:sz w:val="24"/>
          <w:szCs w:val="24"/>
          <w:highlight w:val="none"/>
        </w:rPr>
        <w:t>同一供方以每车组批抽检1次。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7" w:line="360" w:lineRule="auto"/>
        <w:ind w:left="0"/>
        <w:jc w:val="both"/>
        <w:textAlignment w:val="baseline"/>
        <w:rPr>
          <w:rFonts w:ascii="Arial"/>
          <w:b/>
          <w:bCs/>
          <w:color w:val="auto"/>
          <w:sz w:val="21"/>
          <w:highlight w:val="none"/>
        </w:rPr>
      </w:pPr>
      <w:r>
        <w:rPr>
          <w:rFonts w:hint="eastAsia"/>
          <w:b/>
          <w:bCs/>
          <w:color w:val="auto"/>
          <w:spacing w:val="-2"/>
          <w:sz w:val="24"/>
          <w:szCs w:val="24"/>
          <w:highlight w:val="none"/>
          <w:lang w:val="en-US" w:eastAsia="zh-CN"/>
        </w:rPr>
        <w:t xml:space="preserve">3 </w:t>
      </w:r>
      <w:r>
        <w:rPr>
          <w:b/>
          <w:bCs/>
          <w:color w:val="auto"/>
          <w:spacing w:val="-2"/>
          <w:sz w:val="24"/>
          <w:szCs w:val="24"/>
          <w:highlight w:val="none"/>
        </w:rPr>
        <w:t>仲裁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0" w:right="0" w:firstLine="19"/>
        <w:jc w:val="both"/>
        <w:textAlignment w:val="baseline"/>
        <w:rPr>
          <w:rFonts w:ascii="Arial"/>
          <w:color w:val="auto"/>
          <w:sz w:val="21"/>
          <w:highlight w:val="none"/>
        </w:rPr>
      </w:pPr>
      <w:r>
        <w:rPr>
          <w:rFonts w:hint="eastAsia"/>
          <w:color w:val="auto"/>
          <w:spacing w:val="-5"/>
          <w:sz w:val="24"/>
          <w:szCs w:val="24"/>
          <w:highlight w:val="none"/>
          <w:lang w:val="en-US" w:eastAsia="zh-CN"/>
        </w:rPr>
        <w:t>3.1</w:t>
      </w:r>
      <w:r>
        <w:rPr>
          <w:color w:val="auto"/>
          <w:spacing w:val="-5"/>
          <w:sz w:val="24"/>
          <w:szCs w:val="24"/>
          <w:highlight w:val="none"/>
        </w:rPr>
        <w:t xml:space="preserve"> 供方对质量验收有异议的，收到化验报告单后3个工作日内以函件的方式</w:t>
      </w:r>
      <w:r>
        <w:rPr>
          <w:color w:val="auto"/>
          <w:spacing w:val="-1"/>
          <w:sz w:val="24"/>
          <w:szCs w:val="24"/>
          <w:highlight w:val="none"/>
        </w:rPr>
        <w:t>向需方提出复检要求。复检函件内容包括进厂时间、批次、数量、提出异议的</w:t>
      </w:r>
      <w:r>
        <w:rPr>
          <w:color w:val="auto"/>
          <w:spacing w:val="-6"/>
          <w:sz w:val="24"/>
          <w:szCs w:val="24"/>
          <w:highlight w:val="none"/>
        </w:rPr>
        <w:t>原因等相关信息。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9" w:line="360" w:lineRule="auto"/>
        <w:ind w:left="0"/>
        <w:jc w:val="both"/>
        <w:textAlignment w:val="baseline"/>
        <w:rPr>
          <w:color w:val="auto"/>
          <w:spacing w:val="7"/>
          <w:sz w:val="24"/>
          <w:szCs w:val="24"/>
          <w:highlight w:val="none"/>
        </w:rPr>
      </w:pPr>
      <w:r>
        <w:rPr>
          <w:rFonts w:hint="eastAsia"/>
          <w:color w:val="auto"/>
          <w:spacing w:val="1"/>
          <w:sz w:val="24"/>
          <w:szCs w:val="24"/>
          <w:highlight w:val="none"/>
          <w:lang w:val="en-US" w:eastAsia="zh-CN"/>
        </w:rPr>
        <w:t>3.2</w:t>
      </w:r>
      <w:r>
        <w:rPr>
          <w:color w:val="auto"/>
          <w:spacing w:val="50"/>
          <w:sz w:val="24"/>
          <w:szCs w:val="24"/>
          <w:highlight w:val="none"/>
        </w:rPr>
        <w:t xml:space="preserve"> </w:t>
      </w:r>
      <w:r>
        <w:rPr>
          <w:color w:val="auto"/>
          <w:spacing w:val="1"/>
          <w:sz w:val="24"/>
          <w:szCs w:val="24"/>
          <w:highlight w:val="none"/>
        </w:rPr>
        <w:t>公司结算员收到复检要求后，在</w:t>
      </w:r>
      <w:r>
        <w:rPr>
          <w:color w:val="auto"/>
          <w:sz w:val="24"/>
          <w:szCs w:val="24"/>
          <w:highlight w:val="none"/>
        </w:rPr>
        <w:t>OA</w:t>
      </w:r>
      <w:r>
        <w:rPr>
          <w:color w:val="auto"/>
          <w:spacing w:val="-61"/>
          <w:sz w:val="24"/>
          <w:szCs w:val="24"/>
          <w:highlight w:val="none"/>
        </w:rPr>
        <w:t xml:space="preserve"> </w:t>
      </w:r>
      <w:r>
        <w:rPr>
          <w:color w:val="auto"/>
          <w:spacing w:val="1"/>
          <w:sz w:val="24"/>
          <w:szCs w:val="24"/>
          <w:highlight w:val="none"/>
        </w:rPr>
        <w:t>上提起“吉利百矿-复检/仲裁审批”</w:t>
      </w:r>
      <w:r>
        <w:rPr>
          <w:color w:val="auto"/>
          <w:sz w:val="24"/>
          <w:szCs w:val="24"/>
          <w:highlight w:val="none"/>
        </w:rPr>
        <w:t xml:space="preserve"> </w:t>
      </w:r>
      <w:r>
        <w:rPr>
          <w:color w:val="auto"/>
          <w:spacing w:val="12"/>
          <w:sz w:val="24"/>
          <w:szCs w:val="24"/>
          <w:highlight w:val="none"/>
        </w:rPr>
        <w:t>流程(流程需附复检仲裁函件、检测结果、合同或质量指</w:t>
      </w:r>
      <w:r>
        <w:rPr>
          <w:color w:val="auto"/>
          <w:spacing w:val="11"/>
          <w:sz w:val="24"/>
          <w:szCs w:val="24"/>
          <w:highlight w:val="none"/>
        </w:rPr>
        <w:t>标要求),经流程提</w:t>
      </w:r>
      <w:r>
        <w:rPr>
          <w:color w:val="auto"/>
          <w:spacing w:val="-5"/>
          <w:sz w:val="24"/>
          <w:szCs w:val="24"/>
          <w:highlight w:val="none"/>
        </w:rPr>
        <w:t>起部门负责人、相关科室业务审核、质量分管领导、集团采</w:t>
      </w:r>
      <w:r>
        <w:rPr>
          <w:color w:val="auto"/>
          <w:spacing w:val="-6"/>
          <w:sz w:val="24"/>
          <w:szCs w:val="24"/>
          <w:highlight w:val="none"/>
        </w:rPr>
        <w:t>购中心、质</w:t>
      </w:r>
      <w:r>
        <w:rPr>
          <w:color w:val="auto"/>
          <w:spacing w:val="7"/>
          <w:sz w:val="24"/>
          <w:szCs w:val="24"/>
          <w:highlight w:val="none"/>
        </w:rPr>
        <w:t>量</w:t>
      </w:r>
      <w:r>
        <w:rPr>
          <w:rFonts w:hint="eastAsia"/>
          <w:color w:val="auto"/>
          <w:spacing w:val="7"/>
          <w:sz w:val="24"/>
          <w:szCs w:val="24"/>
          <w:highlight w:val="none"/>
          <w:lang w:val="en-US" w:eastAsia="zh-CN"/>
        </w:rPr>
        <w:t>管理部门</w:t>
      </w:r>
      <w:r>
        <w:rPr>
          <w:color w:val="auto"/>
          <w:spacing w:val="7"/>
          <w:sz w:val="24"/>
          <w:szCs w:val="24"/>
          <w:highlight w:val="none"/>
        </w:rPr>
        <w:t>审批后，抄送</w:t>
      </w:r>
      <w:r>
        <w:rPr>
          <w:rFonts w:hint="eastAsia"/>
          <w:color w:val="auto"/>
          <w:spacing w:val="7"/>
          <w:sz w:val="24"/>
          <w:szCs w:val="24"/>
          <w:highlight w:val="none"/>
          <w:lang w:eastAsia="zh-CN"/>
        </w:rPr>
        <w:t>质量室</w:t>
      </w:r>
      <w:r>
        <w:rPr>
          <w:color w:val="auto"/>
          <w:spacing w:val="7"/>
          <w:sz w:val="24"/>
          <w:szCs w:val="24"/>
          <w:highlight w:val="none"/>
        </w:rPr>
        <w:t>执行。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9" w:line="360" w:lineRule="auto"/>
        <w:ind w:left="0"/>
        <w:jc w:val="both"/>
        <w:textAlignment w:val="baseline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pacing w:val="7"/>
          <w:sz w:val="24"/>
          <w:szCs w:val="24"/>
          <w:highlight w:val="none"/>
          <w:lang w:val="en-US" w:eastAsia="zh-CN"/>
        </w:rPr>
        <w:t xml:space="preserve">3.3 </w:t>
      </w:r>
      <w:r>
        <w:rPr>
          <w:color w:val="auto"/>
          <w:spacing w:val="3"/>
          <w:sz w:val="24"/>
          <w:szCs w:val="24"/>
          <w:highlight w:val="none"/>
        </w:rPr>
        <w:t>公司结算员将复检时间回复至供</w:t>
      </w:r>
      <w:r>
        <w:rPr>
          <w:color w:val="auto"/>
          <w:spacing w:val="2"/>
          <w:sz w:val="24"/>
          <w:szCs w:val="24"/>
          <w:highlight w:val="none"/>
        </w:rPr>
        <w:t>方，要求供方及时到达现场开展复检仲裁</w:t>
      </w:r>
      <w:r>
        <w:rPr>
          <w:color w:val="auto"/>
          <w:spacing w:val="15"/>
          <w:sz w:val="24"/>
          <w:szCs w:val="24"/>
          <w:highlight w:val="none"/>
        </w:rPr>
        <w:t>工作</w:t>
      </w:r>
      <w:r>
        <w:rPr>
          <w:color w:val="auto"/>
          <w:spacing w:val="-39"/>
          <w:sz w:val="24"/>
          <w:szCs w:val="24"/>
          <w:highlight w:val="none"/>
        </w:rPr>
        <w:t xml:space="preserve"> </w:t>
      </w:r>
      <w:r>
        <w:rPr>
          <w:color w:val="auto"/>
          <w:spacing w:val="15"/>
          <w:sz w:val="24"/>
          <w:szCs w:val="24"/>
          <w:highlight w:val="none"/>
        </w:rPr>
        <w:t>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60" w:lineRule="auto"/>
        <w:jc w:val="both"/>
        <w:textAlignment w:val="baseline"/>
        <w:rPr>
          <w:rFonts w:ascii="Arial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pacing w:val="3"/>
          <w:sz w:val="24"/>
          <w:szCs w:val="24"/>
          <w:highlight w:val="none"/>
          <w:lang w:val="en-US" w:eastAsia="zh-CN"/>
        </w:rPr>
        <w:t>3.</w:t>
      </w:r>
      <w:r>
        <w:rPr>
          <w:rFonts w:hint="eastAsia"/>
          <w:color w:val="auto"/>
          <w:spacing w:val="3"/>
          <w:sz w:val="24"/>
          <w:szCs w:val="24"/>
          <w:highlight w:val="none"/>
          <w:lang w:eastAsia="zh-CN"/>
        </w:rPr>
        <w:t>4</w:t>
      </w:r>
      <w:r>
        <w:rPr>
          <w:rFonts w:hint="eastAsia"/>
          <w:color w:val="auto"/>
          <w:spacing w:val="3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/>
          <w:color w:val="auto"/>
          <w:spacing w:val="3"/>
          <w:sz w:val="24"/>
          <w:szCs w:val="24"/>
          <w:highlight w:val="none"/>
          <w:lang w:eastAsia="zh-CN"/>
        </w:rPr>
        <w:t>双方一同到达现场采取(提取)复检仲裁样品，并填写《复检仲裁样品取送样确认单》,同时保留影像资料。若提出异议的供方无法参与，视为完全认可需方复检结果。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before="75" w:line="360" w:lineRule="auto"/>
        <w:ind w:left="0"/>
        <w:jc w:val="both"/>
        <w:textAlignment w:val="baseline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pacing w:val="-2"/>
          <w:sz w:val="24"/>
          <w:szCs w:val="24"/>
          <w:highlight w:val="none"/>
          <w:lang w:val="en-US" w:eastAsia="zh-CN"/>
        </w:rPr>
        <w:t>3.</w:t>
      </w:r>
      <w:r>
        <w:rPr>
          <w:color w:val="auto"/>
          <w:spacing w:val="-2"/>
          <w:sz w:val="24"/>
          <w:szCs w:val="24"/>
          <w:highlight w:val="none"/>
        </w:rPr>
        <w:t>5</w:t>
      </w:r>
      <w:r>
        <w:rPr>
          <w:color w:val="auto"/>
          <w:spacing w:val="48"/>
          <w:sz w:val="24"/>
          <w:szCs w:val="24"/>
          <w:highlight w:val="none"/>
        </w:rPr>
        <w:t xml:space="preserve"> </w:t>
      </w:r>
      <w:r>
        <w:rPr>
          <w:color w:val="auto"/>
          <w:spacing w:val="-2"/>
          <w:sz w:val="24"/>
          <w:szCs w:val="24"/>
          <w:highlight w:val="none"/>
        </w:rPr>
        <w:t>已开发票结算的批次，不得申请复检。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ascii="Arial"/>
          <w:color w:val="auto"/>
          <w:sz w:val="24"/>
          <w:szCs w:val="24"/>
          <w:highlight w:val="none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6" w:line="240" w:lineRule="auto"/>
        <w:ind w:left="0"/>
        <w:jc w:val="both"/>
        <w:textAlignment w:val="baseline"/>
        <w:rPr>
          <w:b/>
          <w:bCs/>
          <w:color w:val="auto"/>
          <w:sz w:val="24"/>
          <w:szCs w:val="24"/>
          <w:highlight w:val="none"/>
        </w:rPr>
      </w:pPr>
      <w:r>
        <w:rPr>
          <w:rFonts w:hint="eastAsia"/>
          <w:b/>
          <w:bCs/>
          <w:color w:val="auto"/>
          <w:spacing w:val="15"/>
          <w:sz w:val="24"/>
          <w:szCs w:val="24"/>
          <w:highlight w:val="none"/>
          <w:lang w:val="en-US" w:eastAsia="zh-CN"/>
        </w:rPr>
        <w:t xml:space="preserve">4 </w:t>
      </w:r>
      <w:r>
        <w:rPr>
          <w:b/>
          <w:bCs/>
          <w:color w:val="auto"/>
          <w:spacing w:val="15"/>
          <w:sz w:val="24"/>
          <w:szCs w:val="24"/>
          <w:highlight w:val="none"/>
        </w:rPr>
        <w:t>扣款结算细则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ascii="Arial"/>
          <w:color w:val="auto"/>
          <w:sz w:val="24"/>
          <w:szCs w:val="24"/>
          <w:highlight w:val="none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before="75" w:line="360" w:lineRule="auto"/>
        <w:ind w:left="0" w:right="0"/>
        <w:jc w:val="both"/>
        <w:textAlignment w:val="baseline"/>
        <w:rPr>
          <w:rFonts w:ascii="Arial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pacing w:val="3"/>
          <w:sz w:val="24"/>
          <w:szCs w:val="24"/>
          <w:highlight w:val="none"/>
          <w:lang w:val="en-US" w:eastAsia="zh-CN"/>
        </w:rPr>
        <w:t>4.1.1</w:t>
      </w:r>
      <w:r>
        <w:rPr>
          <w:color w:val="auto"/>
          <w:spacing w:val="3"/>
          <w:sz w:val="24"/>
          <w:szCs w:val="24"/>
          <w:highlight w:val="none"/>
        </w:rPr>
        <w:t>货到需方后，过磅、取样按需方标准检验验收，化验结算按小数点后</w:t>
      </w:r>
      <w:r>
        <w:rPr>
          <w:rFonts w:hint="eastAsia"/>
          <w:color w:val="auto"/>
          <w:spacing w:val="3"/>
          <w:sz w:val="24"/>
          <w:szCs w:val="24"/>
          <w:highlight w:val="none"/>
          <w:lang w:val="en-US" w:eastAsia="zh-CN"/>
        </w:rPr>
        <w:t>2</w:t>
      </w:r>
      <w:r>
        <w:rPr>
          <w:color w:val="auto"/>
          <w:spacing w:val="3"/>
          <w:sz w:val="24"/>
          <w:szCs w:val="24"/>
          <w:highlight w:val="none"/>
        </w:rPr>
        <w:t>位四</w:t>
      </w:r>
      <w:r>
        <w:rPr>
          <w:color w:val="auto"/>
          <w:spacing w:val="-1"/>
          <w:sz w:val="24"/>
          <w:szCs w:val="24"/>
          <w:highlight w:val="none"/>
        </w:rPr>
        <w:t>舍五入计算，按</w:t>
      </w:r>
      <w:r>
        <w:rPr>
          <w:rFonts w:hint="eastAsia"/>
          <w:color w:val="auto"/>
          <w:spacing w:val="-1"/>
          <w:sz w:val="24"/>
          <w:szCs w:val="24"/>
          <w:highlight w:val="none"/>
          <w:lang w:eastAsia="zh-CN"/>
        </w:rPr>
        <w:t>车次</w:t>
      </w:r>
      <w:r>
        <w:rPr>
          <w:rFonts w:hint="eastAsia"/>
          <w:color w:val="auto"/>
          <w:spacing w:val="-1"/>
          <w:sz w:val="24"/>
          <w:szCs w:val="24"/>
          <w:highlight w:val="none"/>
          <w:lang w:val="en-US" w:eastAsia="zh-CN"/>
        </w:rPr>
        <w:t>/批次</w:t>
      </w:r>
      <w:r>
        <w:rPr>
          <w:color w:val="auto"/>
          <w:spacing w:val="-1"/>
          <w:sz w:val="24"/>
          <w:szCs w:val="24"/>
          <w:highlight w:val="none"/>
        </w:rPr>
        <w:t>平均品位</w:t>
      </w:r>
      <w:r>
        <w:rPr>
          <w:rFonts w:hint="eastAsia"/>
          <w:color w:val="auto"/>
          <w:spacing w:val="-1"/>
          <w:sz w:val="24"/>
          <w:szCs w:val="24"/>
          <w:highlight w:val="none"/>
          <w:lang w:val="en-US" w:eastAsia="zh-CN"/>
        </w:rPr>
        <w:t>作为</w:t>
      </w:r>
      <w:r>
        <w:rPr>
          <w:color w:val="auto"/>
          <w:spacing w:val="-1"/>
          <w:sz w:val="24"/>
          <w:szCs w:val="24"/>
          <w:highlight w:val="none"/>
        </w:rPr>
        <w:t>结算</w:t>
      </w:r>
      <w:r>
        <w:rPr>
          <w:rFonts w:hint="eastAsia"/>
          <w:color w:val="auto"/>
          <w:spacing w:val="-1"/>
          <w:sz w:val="24"/>
          <w:szCs w:val="24"/>
          <w:highlight w:val="none"/>
          <w:lang w:val="en-US" w:eastAsia="zh-CN"/>
        </w:rPr>
        <w:t>依据</w:t>
      </w:r>
      <w:r>
        <w:rPr>
          <w:color w:val="auto"/>
          <w:spacing w:val="-1"/>
          <w:sz w:val="24"/>
          <w:szCs w:val="24"/>
          <w:highlight w:val="none"/>
        </w:rPr>
        <w:t>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60" w:lineRule="auto"/>
        <w:ind w:left="0"/>
        <w:jc w:val="both"/>
        <w:textAlignment w:val="baseline"/>
        <w:rPr>
          <w:color w:val="auto"/>
          <w:spacing w:val="3"/>
          <w:sz w:val="24"/>
          <w:szCs w:val="24"/>
          <w:highlight w:val="none"/>
        </w:rPr>
      </w:pPr>
      <w:r>
        <w:rPr>
          <w:rFonts w:hint="eastAsia"/>
          <w:color w:val="auto"/>
          <w:spacing w:val="4"/>
          <w:sz w:val="24"/>
          <w:szCs w:val="24"/>
          <w:highlight w:val="none"/>
          <w:lang w:val="en-US" w:eastAsia="zh-CN"/>
        </w:rPr>
        <w:t>4.1.2</w:t>
      </w:r>
      <w:r>
        <w:rPr>
          <w:color w:val="auto"/>
          <w:spacing w:val="4"/>
          <w:sz w:val="24"/>
          <w:szCs w:val="24"/>
          <w:highlight w:val="none"/>
        </w:rPr>
        <w:t>以需方过磅重量为结算依据(过磅重量扣除2</w:t>
      </w:r>
      <w:r>
        <w:rPr>
          <w:color w:val="auto"/>
          <w:sz w:val="24"/>
          <w:szCs w:val="24"/>
          <w:highlight w:val="none"/>
        </w:rPr>
        <w:t>kg</w:t>
      </w:r>
      <w:r>
        <w:rPr>
          <w:color w:val="auto"/>
          <w:spacing w:val="4"/>
          <w:sz w:val="24"/>
          <w:szCs w:val="24"/>
          <w:highlight w:val="none"/>
        </w:rPr>
        <w:t>/包，保留小数点后两位小</w:t>
      </w:r>
      <w:r>
        <w:rPr>
          <w:color w:val="auto"/>
          <w:spacing w:val="3"/>
          <w:sz w:val="24"/>
          <w:szCs w:val="24"/>
          <w:highlight w:val="none"/>
        </w:rPr>
        <w:t>数)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60" w:lineRule="auto"/>
        <w:ind w:left="0"/>
        <w:jc w:val="both"/>
        <w:textAlignment w:val="baseline"/>
        <w:rPr>
          <w:rFonts w:hint="eastAsia"/>
          <w:color w:val="auto"/>
          <w:spacing w:val="3"/>
          <w:sz w:val="24"/>
          <w:szCs w:val="24"/>
          <w:highlight w:val="none"/>
        </w:rPr>
      </w:pPr>
      <w:r>
        <w:rPr>
          <w:rFonts w:hint="eastAsia"/>
          <w:color w:val="auto"/>
          <w:spacing w:val="3"/>
          <w:sz w:val="24"/>
          <w:szCs w:val="24"/>
          <w:highlight w:val="none"/>
        </w:rPr>
        <w:t>过磅净吨数计算公式：过磅净吨数 = 过磅毛重−（包装袋数量 ×2kg / 包）÷1000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60" w:lineRule="auto"/>
        <w:ind w:left="0"/>
        <w:jc w:val="both"/>
        <w:textAlignment w:val="baseline"/>
        <w:rPr>
          <w:rFonts w:hint="eastAsia"/>
          <w:color w:val="auto"/>
          <w:spacing w:val="3"/>
          <w:sz w:val="24"/>
          <w:szCs w:val="24"/>
          <w:highlight w:val="none"/>
        </w:rPr>
      </w:pPr>
      <w:r>
        <w:rPr>
          <w:rFonts w:hint="eastAsia"/>
          <w:color w:val="auto"/>
          <w:spacing w:val="3"/>
          <w:sz w:val="24"/>
          <w:szCs w:val="24"/>
          <w:highlight w:val="none"/>
          <w:lang w:val="en-US" w:eastAsia="zh-CN"/>
        </w:rPr>
        <w:t>4</w:t>
      </w:r>
      <w:r>
        <w:rPr>
          <w:rFonts w:hint="eastAsia"/>
          <w:color w:val="auto"/>
          <w:spacing w:val="3"/>
          <w:sz w:val="24"/>
          <w:szCs w:val="24"/>
          <w:highlight w:val="none"/>
        </w:rPr>
        <w:t>.1.3 水分结算规则：基准水分≤2%，结算时扣除实际水分超出基准水分的部分，</w:t>
      </w:r>
      <w:r>
        <w:rPr>
          <w:rFonts w:hint="eastAsia"/>
          <w:color w:val="auto"/>
          <w:spacing w:val="3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/>
          <w:color w:val="auto"/>
          <w:spacing w:val="3"/>
          <w:sz w:val="24"/>
          <w:szCs w:val="24"/>
          <w:highlight w:val="none"/>
        </w:rPr>
        <w:t>干基结算重量计算公式：干基结算吨数 = 需方过磅净吨数 ×(1−实际水分 %)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60" w:lineRule="auto"/>
        <w:ind w:left="0"/>
        <w:jc w:val="both"/>
        <w:textAlignment w:val="baseline"/>
        <w:rPr>
          <w:rFonts w:hint="eastAsia"/>
          <w:color w:val="auto"/>
          <w:spacing w:val="3"/>
          <w:sz w:val="24"/>
          <w:szCs w:val="24"/>
          <w:highlight w:val="none"/>
        </w:rPr>
      </w:pPr>
      <w:r>
        <w:rPr>
          <w:rFonts w:hint="eastAsia"/>
          <w:color w:val="auto"/>
          <w:spacing w:val="3"/>
          <w:sz w:val="24"/>
          <w:szCs w:val="24"/>
          <w:highlight w:val="none"/>
          <w:lang w:val="en-US" w:eastAsia="zh-CN"/>
        </w:rPr>
        <w:t>4</w:t>
      </w:r>
      <w:r>
        <w:rPr>
          <w:rFonts w:hint="eastAsia"/>
          <w:color w:val="auto"/>
          <w:spacing w:val="3"/>
          <w:sz w:val="24"/>
          <w:szCs w:val="24"/>
          <w:highlight w:val="none"/>
        </w:rPr>
        <w:t>.1.4 结算总价计算公式：结算总价 = 干基结算吨数 × 最终调整后干基吨单价（元 / 吨）其中：吨度结算单价 × 实际全锰品位（%）= 基准干基吨单价，最终调整后干基吨单价为基准干基吨单价经全锰含量、还原率、铜、硫、目数各项质量调整后的最终单价。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60" w:lineRule="auto"/>
        <w:ind w:left="0"/>
        <w:jc w:val="both"/>
        <w:textAlignment w:val="baseline"/>
        <w:rPr>
          <w:rFonts w:hint="eastAsia"/>
          <w:color w:val="auto"/>
          <w:spacing w:val="3"/>
          <w:sz w:val="24"/>
          <w:szCs w:val="24"/>
          <w:highlight w:val="none"/>
        </w:rPr>
      </w:pPr>
      <w:r>
        <w:rPr>
          <w:rFonts w:hint="eastAsia"/>
          <w:color w:val="auto"/>
          <w:spacing w:val="3"/>
          <w:sz w:val="24"/>
          <w:szCs w:val="24"/>
          <w:highlight w:val="none"/>
          <w:lang w:val="en-US" w:eastAsia="zh-CN"/>
        </w:rPr>
        <w:t>4</w:t>
      </w:r>
      <w:r>
        <w:rPr>
          <w:rFonts w:hint="eastAsia"/>
          <w:color w:val="auto"/>
          <w:spacing w:val="3"/>
          <w:sz w:val="24"/>
          <w:szCs w:val="24"/>
          <w:highlight w:val="none"/>
        </w:rPr>
        <w:t>.1.5 若供方供应的焙烧矿粉不符合本协议质量要求，如需方同意接收使用，按本细则约定执行扣款结算；如需方不同意接收，需方有权做退货处理，相关费用由供方承担。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60" w:lineRule="auto"/>
        <w:ind w:left="0"/>
        <w:jc w:val="both"/>
        <w:textAlignment w:val="baseline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.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.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 xml:space="preserve"> 各项质量扣款为独立计算，最终调整后干基吨单价为基准单价依次扣除全锰、还原率、铜、硫、目数各项调整金额后的结果。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60" w:lineRule="auto"/>
        <w:ind w:left="0"/>
        <w:jc w:val="both"/>
        <w:textAlignment w:val="baseline"/>
        <w:rPr>
          <w:rFonts w:hint="eastAsia"/>
          <w:color w:val="auto"/>
          <w:spacing w:val="3"/>
          <w:sz w:val="24"/>
          <w:szCs w:val="24"/>
          <w:highlight w:val="none"/>
        </w:rPr>
      </w:pP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.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.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7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 xml:space="preserve"> 本细则未约定事宜，由买卖双方协商一致后签订书面补充协议，补充协议与本合同具有同等法律效力。</w:t>
      </w:r>
    </w:p>
    <w:tbl>
      <w:tblPr>
        <w:tblStyle w:val="8"/>
        <w:tblW w:w="518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802"/>
        <w:gridCol w:w="808"/>
        <w:gridCol w:w="1612"/>
        <w:gridCol w:w="54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000" w:type="pct"/>
            <w:gridSpan w:val="5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9" w:line="240" w:lineRule="auto"/>
              <w:jc w:val="center"/>
              <w:textAlignment w:val="baseline"/>
              <w:rPr>
                <w:b/>
                <w:bCs/>
                <w:color w:val="auto"/>
                <w:spacing w:val="-4"/>
                <w:sz w:val="24"/>
                <w:szCs w:val="24"/>
                <w:highlight w:val="none"/>
              </w:rPr>
            </w:pPr>
            <w:r>
              <w:rPr>
                <w:b/>
                <w:bCs/>
                <w:color w:val="auto"/>
                <w:spacing w:val="-4"/>
                <w:sz w:val="24"/>
                <w:szCs w:val="24"/>
                <w:highlight w:val="none"/>
              </w:rPr>
              <w:t>焙烧矿质量协议</w:t>
            </w:r>
          </w:p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9" w:line="240" w:lineRule="auto"/>
              <w:jc w:val="center"/>
              <w:textAlignment w:val="baseline"/>
              <w:rPr>
                <w:rFonts w:hint="eastAsia" w:eastAsia="宋体"/>
                <w:b/>
                <w:bCs/>
                <w:color w:val="auto"/>
                <w:spacing w:val="-4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/>
                <w:bCs/>
                <w:color w:val="1552D1"/>
                <w:spacing w:val="-4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1552D1"/>
                <w:spacing w:val="-4"/>
                <w:sz w:val="24"/>
                <w:szCs w:val="24"/>
                <w:highlight w:val="none"/>
                <w:lang w:val="en-US" w:eastAsia="zh-CN"/>
              </w:rPr>
              <w:t>暂行</w:t>
            </w:r>
            <w:r>
              <w:rPr>
                <w:rFonts w:hint="eastAsia"/>
                <w:b/>
                <w:bCs/>
                <w:color w:val="1552D1"/>
                <w:spacing w:val="-4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526" w:type="pct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8" w:line="240" w:lineRule="auto"/>
              <w:jc w:val="center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b/>
                <w:bCs/>
                <w:color w:val="auto"/>
                <w:spacing w:val="7"/>
                <w:sz w:val="24"/>
                <w:szCs w:val="24"/>
                <w:highlight w:val="none"/>
              </w:rPr>
              <w:t>检验项目</w:t>
            </w:r>
          </w:p>
        </w:tc>
        <w:tc>
          <w:tcPr>
            <w:tcW w:w="1667" w:type="pct"/>
            <w:gridSpan w:val="3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9" w:line="240" w:lineRule="auto"/>
              <w:jc w:val="center"/>
              <w:textAlignment w:val="baseline"/>
              <w:rPr>
                <w:b/>
                <w:bCs/>
                <w:color w:val="auto"/>
                <w:spacing w:val="-4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pacing w:val="-5"/>
                <w:sz w:val="24"/>
                <w:szCs w:val="24"/>
                <w:highlight w:val="none"/>
                <w:lang w:val="en-US" w:eastAsia="zh-CN"/>
              </w:rPr>
              <w:t>基准/</w:t>
            </w:r>
            <w:r>
              <w:rPr>
                <w:b/>
                <w:bCs/>
                <w:color w:val="auto"/>
                <w:spacing w:val="-5"/>
                <w:sz w:val="24"/>
                <w:szCs w:val="24"/>
                <w:highlight w:val="none"/>
              </w:rPr>
              <w:t>指标要求</w:t>
            </w:r>
          </w:p>
        </w:tc>
        <w:tc>
          <w:tcPr>
            <w:tcW w:w="2806" w:type="pct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9" w:line="240" w:lineRule="auto"/>
              <w:jc w:val="center"/>
              <w:textAlignment w:val="baseline"/>
              <w:rPr>
                <w:rFonts w:hint="eastAsia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b/>
                <w:bCs/>
                <w:color w:val="auto"/>
                <w:spacing w:val="-4"/>
                <w:sz w:val="24"/>
                <w:szCs w:val="24"/>
                <w:highlight w:val="none"/>
              </w:rPr>
              <w:t>质量细则约定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26" w:type="pct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/>
                <w:color w:val="auto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/>
                <w:color w:val="auto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/>
                <w:color w:val="auto"/>
                <w:sz w:val="24"/>
                <w:szCs w:val="24"/>
                <w:highlight w:val="none"/>
              </w:rPr>
            </w:pPr>
          </w:p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40" w:lineRule="auto"/>
              <w:ind w:left="765"/>
              <w:jc w:val="center"/>
              <w:textAlignment w:val="baseline"/>
              <w:rPr>
                <w:color w:val="auto"/>
                <w:spacing w:val="-1"/>
                <w:sz w:val="24"/>
                <w:szCs w:val="24"/>
                <w:highlight w:val="none"/>
              </w:rPr>
            </w:pPr>
          </w:p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40" w:lineRule="auto"/>
              <w:ind w:left="765"/>
              <w:jc w:val="center"/>
              <w:textAlignment w:val="baseline"/>
              <w:rPr>
                <w:color w:val="auto"/>
                <w:spacing w:val="-1"/>
                <w:sz w:val="24"/>
                <w:szCs w:val="24"/>
                <w:highlight w:val="none"/>
              </w:rPr>
            </w:pPr>
          </w:p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40" w:lineRule="auto"/>
              <w:jc w:val="center"/>
              <w:textAlignment w:val="baseline"/>
              <w:rPr>
                <w:rFonts w:hint="default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color w:val="auto"/>
                <w:spacing w:val="-1"/>
                <w:sz w:val="24"/>
                <w:szCs w:val="24"/>
                <w:highlight w:val="none"/>
              </w:rPr>
              <w:t>Mn</w:t>
            </w:r>
          </w:p>
        </w:tc>
        <w:tc>
          <w:tcPr>
            <w:tcW w:w="415" w:type="pct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/>
                <w:color w:val="auto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/>
                <w:color w:val="auto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/>
                <w:color w:val="auto"/>
                <w:sz w:val="24"/>
                <w:szCs w:val="24"/>
                <w:highlight w:val="none"/>
              </w:rPr>
            </w:pPr>
          </w:p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40" w:lineRule="auto"/>
              <w:ind w:left="393"/>
              <w:jc w:val="center"/>
              <w:textAlignment w:val="baseline"/>
              <w:rPr>
                <w:color w:val="auto"/>
                <w:spacing w:val="1"/>
                <w:sz w:val="24"/>
                <w:szCs w:val="24"/>
                <w:highlight w:val="none"/>
              </w:rPr>
            </w:pPr>
          </w:p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40" w:lineRule="auto"/>
              <w:ind w:left="393"/>
              <w:jc w:val="center"/>
              <w:textAlignment w:val="baseline"/>
              <w:rPr>
                <w:color w:val="auto"/>
                <w:spacing w:val="1"/>
                <w:sz w:val="24"/>
                <w:szCs w:val="24"/>
                <w:highlight w:val="none"/>
              </w:rPr>
            </w:pPr>
          </w:p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40" w:lineRule="auto"/>
              <w:jc w:val="center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pacing w:val="1"/>
                <w:sz w:val="24"/>
                <w:szCs w:val="24"/>
                <w:highlight w:val="none"/>
              </w:rPr>
              <w:t>以</w:t>
            </w:r>
            <w:r>
              <w:rPr>
                <w:rFonts w:hint="eastAsia"/>
                <w:color w:val="auto"/>
                <w:spacing w:val="1"/>
                <w:sz w:val="24"/>
                <w:szCs w:val="24"/>
                <w:highlight w:val="none"/>
                <w:lang w:val="en-US" w:eastAsia="zh-CN"/>
              </w:rPr>
              <w:t>43</w:t>
            </w:r>
            <w:r>
              <w:rPr>
                <w:color w:val="auto"/>
                <w:spacing w:val="1"/>
                <w:sz w:val="24"/>
                <w:szCs w:val="24"/>
                <w:highlight w:val="none"/>
              </w:rPr>
              <w:t>%</w:t>
            </w:r>
            <w:r>
              <w:rPr>
                <w:rFonts w:hint="eastAsia"/>
                <w:color w:val="auto"/>
                <w:spacing w:val="1"/>
                <w:sz w:val="24"/>
                <w:szCs w:val="24"/>
                <w:highlight w:val="none"/>
                <w:lang w:eastAsia="zh-CN"/>
              </w:rPr>
              <w:t>为</w:t>
            </w:r>
            <w:r>
              <w:rPr>
                <w:color w:val="auto"/>
                <w:spacing w:val="1"/>
                <w:sz w:val="24"/>
                <w:szCs w:val="24"/>
                <w:highlight w:val="none"/>
              </w:rPr>
              <w:t>基准</w:t>
            </w:r>
          </w:p>
        </w:tc>
        <w:tc>
          <w:tcPr>
            <w:tcW w:w="1251" w:type="pct"/>
            <w:gridSpan w:val="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0" w:line="240" w:lineRule="auto"/>
              <w:ind w:left="105"/>
              <w:jc w:val="center"/>
              <w:textAlignment w:val="baseline"/>
              <w:rPr>
                <w:rFonts w:hint="default" w:eastAsia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≥</w:t>
            </w:r>
            <w:r>
              <w:rPr>
                <w:rFonts w:hint="eastAsia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47.00%</w:t>
            </w:r>
          </w:p>
        </w:tc>
        <w:tc>
          <w:tcPr>
            <w:tcW w:w="2806" w:type="pct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0" w:line="240" w:lineRule="auto"/>
              <w:ind w:left="105"/>
              <w:jc w:val="left"/>
              <w:textAlignment w:val="baseline"/>
              <w:rPr>
                <w:rFonts w:hint="default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每增加1%，吨度结算单价增加1元/吨度（按实际超出比例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精准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计算）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 xml:space="preserve">                                                    </w:t>
            </w:r>
            <w:r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增加金额 =（实际品位−4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）×1元/吨度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526" w:type="pct"/>
            <w:vMerge w:val="continue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40" w:lineRule="auto"/>
              <w:ind w:left="765"/>
              <w:jc w:val="center"/>
              <w:textAlignment w:val="baseline"/>
              <w:rPr>
                <w:color w:val="auto"/>
                <w:spacing w:val="-1"/>
                <w:sz w:val="24"/>
                <w:szCs w:val="24"/>
                <w:highlight w:val="none"/>
              </w:rPr>
            </w:pPr>
          </w:p>
        </w:tc>
        <w:tc>
          <w:tcPr>
            <w:tcW w:w="415" w:type="pct"/>
            <w:vMerge w:val="continue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40" w:lineRule="auto"/>
              <w:ind w:left="393"/>
              <w:jc w:val="center"/>
              <w:textAlignment w:val="baseline"/>
              <w:rPr>
                <w:color w:val="auto"/>
                <w:spacing w:val="1"/>
                <w:sz w:val="24"/>
                <w:szCs w:val="24"/>
                <w:highlight w:val="none"/>
              </w:rPr>
            </w:pPr>
          </w:p>
        </w:tc>
        <w:tc>
          <w:tcPr>
            <w:tcW w:w="1251" w:type="pct"/>
            <w:gridSpan w:val="2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0" w:line="240" w:lineRule="auto"/>
              <w:ind w:left="105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highlight w:val="none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highlight w:val="none"/>
              </w:rPr>
              <w:t>.00%-46.99%</w:t>
            </w:r>
          </w:p>
        </w:tc>
        <w:tc>
          <w:tcPr>
            <w:tcW w:w="2806" w:type="pct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0" w:line="240" w:lineRule="auto"/>
              <w:ind w:left="105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按合同约定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基准吨度单价结算，按实际品位计算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526" w:type="pct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5" w:type="pct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51" w:type="pct"/>
            <w:gridSpan w:val="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1" w:line="240" w:lineRule="auto"/>
              <w:ind w:left="105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42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.00%-4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.99%</w:t>
            </w:r>
          </w:p>
        </w:tc>
        <w:tc>
          <w:tcPr>
            <w:tcW w:w="2806" w:type="pct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1" w:line="240" w:lineRule="auto"/>
              <w:ind w:left="105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每降低1%，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按合同约定基准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吨度结算单价减少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元/吨度（按实际不足比例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精准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计算）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 xml:space="preserve">                           </w:t>
            </w:r>
            <w:r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扣减金额 =（4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−实际品位）×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元/吨度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526" w:type="pct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5" w:type="pct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51" w:type="pct"/>
            <w:gridSpan w:val="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1" w:line="240" w:lineRule="auto"/>
              <w:ind w:left="105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40.00%-41.99%</w:t>
            </w:r>
          </w:p>
        </w:tc>
        <w:tc>
          <w:tcPr>
            <w:tcW w:w="2806" w:type="pct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1" w:line="240" w:lineRule="auto"/>
              <w:ind w:left="105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每降低1%，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按合同约定基准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吨度结算单价减少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元/吨度（按实际不足比例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精准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计算）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 xml:space="preserve">                           </w:t>
            </w:r>
            <w:r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扣减金额 =（4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−实际品位）×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元/吨度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26" w:type="pct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5" w:type="pct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51" w:type="pct"/>
            <w:gridSpan w:val="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ind w:left="95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＜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40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.00%</w:t>
            </w:r>
          </w:p>
        </w:tc>
        <w:tc>
          <w:tcPr>
            <w:tcW w:w="2806" w:type="pct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3" w:line="240" w:lineRule="auto"/>
              <w:ind w:left="118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拒收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eastAsia="zh-CN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如由于生产需要让步接收的，按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双方协商结果为结算依据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359" w:type="pct"/>
            <w:gridSpan w:val="3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ind w:left="95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highlight w:val="none"/>
                <w:lang w:val="en-US" w:eastAsia="zh-CN"/>
              </w:rPr>
              <w:t>还原率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基准95%       （还原率=二价锰含量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÷</w:t>
            </w:r>
            <w:r>
              <w:rPr>
                <w:rFonts w:hint="eastAsia" w:cs="宋体"/>
                <w:color w:val="auto"/>
                <w:sz w:val="24"/>
                <w:szCs w:val="24"/>
                <w:highlight w:val="none"/>
                <w:lang w:val="en-US" w:eastAsia="zh-CN"/>
              </w:rPr>
              <w:t>全锰含量×100%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834" w:type="pct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ind w:left="95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95%</w:t>
            </w:r>
          </w:p>
        </w:tc>
        <w:tc>
          <w:tcPr>
            <w:tcW w:w="2806" w:type="pct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3" w:line="240" w:lineRule="auto"/>
              <w:ind w:left="118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按合同约定吨数基准单价结算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359" w:type="pct"/>
            <w:gridSpan w:val="3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ind w:left="95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</w:p>
        </w:tc>
        <w:tc>
          <w:tcPr>
            <w:tcW w:w="834" w:type="pc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ind w:left="95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shd w:val="clear" w:fill="FFFFFF"/>
              </w:rPr>
              <w:t>92.00% - 94.99%</w:t>
            </w:r>
          </w:p>
        </w:tc>
        <w:tc>
          <w:tcPr>
            <w:tcW w:w="2806" w:type="pct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3" w:line="240" w:lineRule="auto"/>
              <w:ind w:left="118"/>
              <w:jc w:val="left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每不足基准1%，吨度结算单价扣减</w:t>
            </w:r>
            <w:r>
              <w:rPr>
                <w:rStyle w:val="7"/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元/吨度</w:t>
            </w:r>
            <w:r>
              <w:rPr>
                <w:rStyle w:val="7"/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Style w:val="7"/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按实际不足比例</w:t>
            </w:r>
            <w:r>
              <w:rPr>
                <w:rStyle w:val="7"/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精准</w:t>
            </w: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计算</w:t>
            </w:r>
            <w:r>
              <w:rPr>
                <w:rStyle w:val="7"/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Style w:val="7"/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          </w:t>
            </w:r>
            <w:r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扣减金额 =（9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−实际还原率）×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元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/</w:t>
            </w:r>
            <w:r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吨度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1359" w:type="pct"/>
            <w:gridSpan w:val="3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ind w:left="95"/>
              <w:jc w:val="center"/>
              <w:textAlignment w:val="baseline"/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4" w:type="pc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ind w:left="95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＜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92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.00%</w:t>
            </w:r>
          </w:p>
        </w:tc>
        <w:tc>
          <w:tcPr>
            <w:tcW w:w="2806" w:type="pct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3" w:line="240" w:lineRule="auto"/>
              <w:ind w:left="118"/>
              <w:jc w:val="left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视为质量不合格，买方有权拒收货物</w:t>
            </w: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或</w:t>
            </w: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由买卖双方另行协商折价结算方案。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526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Arial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highlight w:val="none"/>
                <w:lang w:eastAsia="zh-CN"/>
              </w:rPr>
              <w:t>铜</w:t>
            </w:r>
          </w:p>
        </w:tc>
        <w:tc>
          <w:tcPr>
            <w:tcW w:w="833" w:type="pct"/>
            <w:gridSpan w:val="2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ind w:left="95"/>
              <w:jc w:val="center"/>
              <w:textAlignment w:val="baseline"/>
              <w:rPr>
                <w:rFonts w:hint="default" w:eastAsia="宋体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color w:val="auto"/>
                <w:spacing w:val="-7"/>
                <w:sz w:val="24"/>
                <w:szCs w:val="24"/>
                <w:highlight w:val="none"/>
              </w:rPr>
              <w:t>≤</w:t>
            </w:r>
            <w:r>
              <w:rPr>
                <w:rFonts w:hint="eastAsia"/>
                <w:color w:val="auto"/>
                <w:spacing w:val="-7"/>
                <w:sz w:val="24"/>
                <w:szCs w:val="24"/>
                <w:highlight w:val="none"/>
                <w:lang w:val="en-US" w:eastAsia="zh-CN"/>
              </w:rPr>
              <w:t>0.050%</w:t>
            </w:r>
          </w:p>
        </w:tc>
        <w:tc>
          <w:tcPr>
            <w:tcW w:w="834" w:type="pc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ind w:left="95"/>
              <w:jc w:val="center"/>
              <w:textAlignment w:val="baseline"/>
              <w:rPr>
                <w:color w:val="auto"/>
                <w:spacing w:val="-7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0.05</w:t>
            </w:r>
            <w:r>
              <w:rPr>
                <w:rFonts w:hint="eastAsia" w:cs="宋体"/>
                <w:color w:val="auto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%＜实测≤0.06</w:t>
            </w:r>
            <w:r>
              <w:rPr>
                <w:rFonts w:hint="eastAsia" w:cs="宋体"/>
                <w:color w:val="auto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%：</w:t>
            </w:r>
          </w:p>
        </w:tc>
        <w:tc>
          <w:tcPr>
            <w:tcW w:w="2806" w:type="pc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3" w:line="240" w:lineRule="auto"/>
              <w:ind w:left="118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干基吨单价扣减30元/吨；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6" w:hRule="atLeast"/>
        </w:trPr>
        <w:tc>
          <w:tcPr>
            <w:tcW w:w="526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eastAsia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833" w:type="pct"/>
            <w:gridSpan w:val="2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ind w:left="95"/>
              <w:jc w:val="center"/>
              <w:textAlignment w:val="baseline"/>
              <w:rPr>
                <w:color w:val="auto"/>
                <w:spacing w:val="-7"/>
                <w:sz w:val="24"/>
                <w:szCs w:val="24"/>
                <w:highlight w:val="none"/>
              </w:rPr>
            </w:pPr>
          </w:p>
        </w:tc>
        <w:tc>
          <w:tcPr>
            <w:tcW w:w="834" w:type="pc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ind w:left="95"/>
              <w:jc w:val="center"/>
              <w:textAlignment w:val="baseline"/>
              <w:rPr>
                <w:color w:val="auto"/>
                <w:spacing w:val="-7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0.06%＜实测≤0.07</w:t>
            </w:r>
            <w:r>
              <w:rPr>
                <w:rFonts w:hint="eastAsia" w:cs="宋体"/>
                <w:color w:val="auto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%：</w:t>
            </w:r>
          </w:p>
        </w:tc>
        <w:tc>
          <w:tcPr>
            <w:tcW w:w="2806" w:type="pc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3" w:line="240" w:lineRule="auto"/>
              <w:ind w:left="118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干基吨单价扣减60元/吨；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8" w:hRule="atLeast"/>
        </w:trPr>
        <w:tc>
          <w:tcPr>
            <w:tcW w:w="526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eastAsia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833" w:type="pct"/>
            <w:gridSpan w:val="2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ind w:left="95"/>
              <w:jc w:val="center"/>
              <w:textAlignment w:val="baseline"/>
              <w:rPr>
                <w:color w:val="auto"/>
                <w:spacing w:val="-7"/>
                <w:sz w:val="24"/>
                <w:szCs w:val="24"/>
                <w:highlight w:val="none"/>
              </w:rPr>
            </w:pPr>
          </w:p>
        </w:tc>
        <w:tc>
          <w:tcPr>
            <w:tcW w:w="834" w:type="pc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ind w:left="95"/>
              <w:jc w:val="center"/>
              <w:textAlignment w:val="baseline"/>
              <w:rPr>
                <w:color w:val="auto"/>
                <w:spacing w:val="-7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＞0.07</w:t>
            </w:r>
            <w:r>
              <w:rPr>
                <w:rFonts w:hint="eastAsia" w:cs="宋体"/>
                <w:color w:val="auto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 xml:space="preserve">% </w:t>
            </w:r>
          </w:p>
        </w:tc>
        <w:tc>
          <w:tcPr>
            <w:tcW w:w="2806" w:type="pc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3" w:line="240" w:lineRule="auto"/>
              <w:ind w:left="118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需方有权拒收</w:t>
            </w:r>
            <w:r>
              <w:rPr>
                <w:rFonts w:hint="eastAsia" w:cs="宋体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如由于生产需要让步接收的，按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双方协商结果为结算依据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526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eastAsia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highlight w:val="none"/>
                <w:lang w:eastAsia="zh-CN"/>
              </w:rPr>
              <w:t>硫</w:t>
            </w:r>
          </w:p>
        </w:tc>
        <w:tc>
          <w:tcPr>
            <w:tcW w:w="833" w:type="pct"/>
            <w:gridSpan w:val="2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ind w:left="95"/>
              <w:jc w:val="center"/>
              <w:textAlignment w:val="baseline"/>
              <w:rPr>
                <w:color w:val="auto"/>
                <w:spacing w:val="-7"/>
                <w:sz w:val="24"/>
                <w:szCs w:val="24"/>
                <w:highlight w:val="none"/>
              </w:rPr>
            </w:pPr>
            <w:r>
              <w:rPr>
                <w:color w:val="auto"/>
                <w:spacing w:val="-7"/>
                <w:sz w:val="24"/>
                <w:szCs w:val="24"/>
                <w:highlight w:val="none"/>
              </w:rPr>
              <w:t>≤</w:t>
            </w:r>
            <w:r>
              <w:rPr>
                <w:rFonts w:hint="eastAsia"/>
                <w:color w:val="auto"/>
                <w:spacing w:val="-7"/>
                <w:sz w:val="24"/>
                <w:szCs w:val="24"/>
                <w:highlight w:val="none"/>
                <w:lang w:val="en-US" w:eastAsia="zh-CN"/>
              </w:rPr>
              <w:t>0.4%</w:t>
            </w:r>
          </w:p>
        </w:tc>
        <w:tc>
          <w:tcPr>
            <w:tcW w:w="834" w:type="pc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ind w:left="95"/>
              <w:jc w:val="center"/>
              <w:textAlignment w:val="baseline"/>
              <w:rPr>
                <w:color w:val="auto"/>
                <w:spacing w:val="-7"/>
                <w:sz w:val="24"/>
                <w:szCs w:val="24"/>
                <w:highlight w:val="none"/>
              </w:rPr>
            </w:pPr>
            <w:r>
              <w:rPr>
                <w:rFonts w:hint="eastAsia" w:cs="宋体"/>
                <w:color w:val="auto"/>
                <w:sz w:val="24"/>
                <w:szCs w:val="24"/>
                <w:highlight w:val="none"/>
                <w:lang w:val="en-US" w:eastAsia="zh-CN"/>
              </w:rPr>
              <w:t>0.4%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＜实测≤</w:t>
            </w:r>
            <w:r>
              <w:rPr>
                <w:rFonts w:hint="eastAsia" w:cs="宋体"/>
                <w:color w:val="auto"/>
                <w:sz w:val="24"/>
                <w:szCs w:val="24"/>
                <w:highlight w:val="none"/>
                <w:lang w:val="en-US" w:eastAsia="zh-CN"/>
              </w:rPr>
              <w:t>0.99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%</w:t>
            </w:r>
          </w:p>
        </w:tc>
        <w:tc>
          <w:tcPr>
            <w:tcW w:w="2806" w:type="pc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3" w:line="240" w:lineRule="auto"/>
              <w:ind w:left="358" w:leftChars="56" w:hanging="240" w:hangingChars="100"/>
              <w:jc w:val="left"/>
              <w:textAlignment w:val="baseline"/>
              <w:rPr>
                <w:rFonts w:hint="eastAsia" w:eastAsia="宋体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highlight w:val="none"/>
                <w:lang w:val="en-US" w:eastAsia="zh-CN"/>
              </w:rPr>
              <w:t>0.4%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＜实测≤</w:t>
            </w:r>
            <w:r>
              <w:rPr>
                <w:rFonts w:hint="eastAsia" w:cs="宋体"/>
                <w:color w:val="auto"/>
                <w:sz w:val="24"/>
                <w:szCs w:val="24"/>
                <w:highlight w:val="none"/>
                <w:lang w:val="en-US" w:eastAsia="zh-CN"/>
              </w:rPr>
              <w:t>0.99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%</w:t>
            </w:r>
            <w:r>
              <w:rPr>
                <w:rFonts w:hint="eastAsia" w:cs="宋体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每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增加0.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1%，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按合同约定基准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吨度结算单价减少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元/吨度（按实际不足比例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精准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</w:rPr>
              <w:t>计算）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526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eastAsia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833" w:type="pct"/>
            <w:gridSpan w:val="2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ind w:left="95"/>
              <w:jc w:val="center"/>
              <w:textAlignment w:val="baseline"/>
              <w:rPr>
                <w:color w:val="auto"/>
                <w:spacing w:val="-7"/>
                <w:sz w:val="24"/>
                <w:szCs w:val="24"/>
                <w:highlight w:val="none"/>
              </w:rPr>
            </w:pPr>
          </w:p>
        </w:tc>
        <w:tc>
          <w:tcPr>
            <w:tcW w:w="834" w:type="pc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ind w:left="95"/>
              <w:jc w:val="center"/>
              <w:textAlignment w:val="baseline"/>
              <w:rPr>
                <w:color w:val="auto"/>
                <w:spacing w:val="-7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＞</w:t>
            </w:r>
            <w:r>
              <w:rPr>
                <w:rFonts w:hint="eastAsia" w:cs="宋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 xml:space="preserve">% </w:t>
            </w:r>
          </w:p>
        </w:tc>
        <w:tc>
          <w:tcPr>
            <w:tcW w:w="2806" w:type="pc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3" w:line="240" w:lineRule="auto"/>
              <w:ind w:left="358" w:leftChars="56" w:hanging="240" w:hangingChars="10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需方有权拒收</w:t>
            </w:r>
            <w:r>
              <w:rPr>
                <w:rFonts w:hint="eastAsia" w:cs="宋体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  <w:r>
              <w:rPr>
                <w:rFonts w:hint="eastAsia" w:cs="宋体"/>
                <w:color w:val="auto"/>
                <w:sz w:val="24"/>
                <w:szCs w:val="24"/>
                <w:highlight w:val="none"/>
                <w:lang w:val="en-US" w:eastAsia="zh-CN"/>
              </w:rPr>
              <w:t>罚没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不予结算</w:t>
            </w:r>
            <w:r>
              <w:rPr>
                <w:rFonts w:hint="eastAsia" w:cs="宋体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26" w:type="pct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3" w:line="240" w:lineRule="auto"/>
              <w:jc w:val="center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b/>
                <w:bCs/>
                <w:color w:val="auto"/>
                <w:spacing w:val="-6"/>
                <w:sz w:val="24"/>
                <w:szCs w:val="24"/>
                <w:highlight w:val="none"/>
              </w:rPr>
              <w:t>水分</w:t>
            </w:r>
          </w:p>
        </w:tc>
        <w:tc>
          <w:tcPr>
            <w:tcW w:w="1667" w:type="pct"/>
            <w:gridSpan w:val="3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jc w:val="center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pacing w:val="-7"/>
                <w:sz w:val="24"/>
                <w:szCs w:val="24"/>
                <w:highlight w:val="none"/>
              </w:rPr>
              <w:t>≤2</w:t>
            </w:r>
            <w:r>
              <w:rPr>
                <w:rFonts w:hint="eastAsia"/>
                <w:color w:val="auto"/>
                <w:spacing w:val="-7"/>
                <w:sz w:val="24"/>
                <w:szCs w:val="24"/>
                <w:highlight w:val="none"/>
                <w:lang w:val="en-US" w:eastAsia="zh-CN"/>
              </w:rPr>
              <w:t>.00</w:t>
            </w:r>
            <w:r>
              <w:rPr>
                <w:color w:val="auto"/>
                <w:spacing w:val="-7"/>
                <w:sz w:val="24"/>
                <w:szCs w:val="24"/>
                <w:highlight w:val="none"/>
              </w:rPr>
              <w:t>%</w:t>
            </w:r>
          </w:p>
        </w:tc>
        <w:tc>
          <w:tcPr>
            <w:tcW w:w="2806" w:type="pc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auto"/>
              <w:ind w:firstLine="240" w:firstLineChars="100"/>
              <w:jc w:val="left"/>
              <w:textAlignment w:val="baseline"/>
              <w:rPr>
                <w:rFonts w:hint="eastAsia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超出部分按干基公式折算扣除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526" w:type="pc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4" w:line="240" w:lineRule="auto"/>
              <w:jc w:val="center"/>
              <w:textAlignment w:val="baseline"/>
              <w:rPr>
                <w:rFonts w:hint="eastAsia" w:eastAsia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pacing w:val="4"/>
                <w:sz w:val="24"/>
                <w:szCs w:val="24"/>
                <w:highlight w:val="none"/>
                <w:lang w:val="en-US" w:eastAsia="zh-CN"/>
              </w:rPr>
              <w:t>粒度</w:t>
            </w:r>
          </w:p>
        </w:tc>
        <w:tc>
          <w:tcPr>
            <w:tcW w:w="1667" w:type="pct"/>
            <w:gridSpan w:val="3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8" w:line="240" w:lineRule="auto"/>
              <w:ind w:left="95"/>
              <w:jc w:val="center"/>
              <w:textAlignment w:val="baseline"/>
              <w:rPr>
                <w:color w:val="auto"/>
                <w:spacing w:val="-1"/>
                <w:sz w:val="24"/>
                <w:szCs w:val="24"/>
                <w:highlight w:val="none"/>
              </w:rPr>
            </w:pPr>
            <w:r>
              <w:rPr>
                <w:color w:val="auto"/>
                <w:spacing w:val="-1"/>
                <w:sz w:val="24"/>
                <w:szCs w:val="24"/>
                <w:highlight w:val="none"/>
              </w:rPr>
              <w:t>100目过筛≥95%</w:t>
            </w:r>
          </w:p>
        </w:tc>
        <w:tc>
          <w:tcPr>
            <w:tcW w:w="2806" w:type="pc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77" w:line="240" w:lineRule="exact"/>
              <w:ind w:left="119" w:right="312"/>
              <w:jc w:val="left"/>
              <w:textAlignment w:val="baseline"/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目数 9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.00%（含）</w:t>
            </w:r>
            <w:r>
              <w:rPr>
                <w:rFonts w:hint="eastAsia" w:cs="宋体"/>
                <w:color w:val="auto"/>
                <w:spacing w:val="9"/>
                <w:sz w:val="24"/>
                <w:szCs w:val="24"/>
                <w:highlight w:val="none"/>
                <w:lang w:val="en-US" w:eastAsia="zh-CN"/>
              </w:rPr>
              <w:t>～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95.00%（不含）：干基吨单价扣减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元 / 吨；</w:t>
            </w:r>
          </w:p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77" w:line="240" w:lineRule="exact"/>
              <w:ind w:left="119" w:right="312"/>
              <w:jc w:val="left"/>
              <w:textAlignment w:val="baseline"/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 xml:space="preserve">2. 目数 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90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.00%（含）</w:t>
            </w:r>
            <w:r>
              <w:rPr>
                <w:rFonts w:hint="eastAsia" w:cs="宋体"/>
                <w:color w:val="auto"/>
                <w:spacing w:val="9"/>
                <w:sz w:val="24"/>
                <w:szCs w:val="24"/>
                <w:highlight w:val="none"/>
                <w:lang w:val="en-US" w:eastAsia="zh-CN"/>
              </w:rPr>
              <w:t>～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9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.00%（不含）：干基吨单价扣减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40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元 / 吨；</w:t>
            </w:r>
          </w:p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77" w:line="240" w:lineRule="exact"/>
              <w:ind w:left="119" w:right="312"/>
              <w:jc w:val="left"/>
              <w:textAlignment w:val="baseline"/>
              <w:rPr>
                <w:rFonts w:hint="default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3. 目数＜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90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.00%：需方有权拒收货物。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如由于生产需要让步接收的，按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双方协商结果为结算依据</w:t>
            </w:r>
            <w:r>
              <w:rPr>
                <w:rFonts w:hint="eastAsia" w:cs="宋体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</w:tbl>
    <w:p>
      <w:pPr>
        <w:spacing w:line="170" w:lineRule="exact"/>
        <w:rPr>
          <w:color w:val="auto"/>
          <w:sz w:val="24"/>
          <w:szCs w:val="24"/>
          <w:highlight w:val="none"/>
        </w:rPr>
        <w:sectPr>
          <w:headerReference r:id="rId5" w:type="default"/>
          <w:footerReference r:id="rId6" w:type="default"/>
          <w:pgSz w:w="11900" w:h="16820"/>
          <w:pgMar w:top="1429" w:right="795" w:bottom="1134" w:left="1219" w:header="0" w:footer="567" w:gutter="0"/>
          <w:pgNumType w:fmt="decimal"/>
          <w:cols w:equalWidth="0" w:num="1">
            <w:col w:w="9320"/>
          </w:cols>
          <w:rtlGutter w:val="0"/>
          <w:docGrid w:linePitch="0" w:charSpace="0"/>
        </w:sectPr>
      </w:pPr>
    </w:p>
    <w:p>
      <w:pPr>
        <w:pStyle w:val="2"/>
        <w:spacing w:before="76" w:line="221" w:lineRule="auto"/>
        <w:rPr>
          <w:sz w:val="24"/>
          <w:szCs w:val="24"/>
          <w:highlight w:val="none"/>
        </w:rPr>
      </w:pPr>
    </w:p>
    <w:p>
      <w:pPr>
        <w:pStyle w:val="2"/>
        <w:spacing w:before="76" w:line="221" w:lineRule="auto"/>
        <w:rPr>
          <w:rFonts w:hint="eastAsia" w:eastAsia="宋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/>
          <w:b/>
          <w:bCs/>
          <w:sz w:val="32"/>
          <w:szCs w:val="32"/>
          <w:highlight w:val="none"/>
          <w:lang w:val="en-US" w:eastAsia="zh-CN"/>
        </w:rPr>
        <w:t>领导签字：</w:t>
      </w:r>
    </w:p>
    <w:sectPr>
      <w:type w:val="continuous"/>
      <w:pgSz w:w="11900" w:h="16820"/>
      <w:pgMar w:top="1429" w:right="795" w:bottom="0" w:left="1785" w:header="0" w:footer="0" w:gutter="0"/>
      <w:pgNumType w:fmt="decimal"/>
      <w:cols w:equalWidth="0" w:num="4">
        <w:col w:w="3515" w:space="100"/>
        <w:col w:w="1641" w:space="100"/>
        <w:col w:w="870" w:space="100"/>
        <w:col w:w="299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7" w:lineRule="exact"/>
      <w:ind w:left="8877"/>
      <w:rPr>
        <w:sz w:val="16"/>
        <w:szCs w:val="16"/>
      </w:rPr>
    </w:pPr>
    <w:r>
      <w:rPr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60" w:line="168" w:lineRule="auto"/>
      <w:jc w:val="right"/>
      <w:rPr>
        <w:sz w:val="19"/>
        <w:szCs w:val="1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Y3ZTYwZmY5YzJkNmJhYjkwMjQ3Y2I5OTIwYjNiZDEifQ=="/>
  </w:docVars>
  <w:rsids>
    <w:rsidRoot w:val="00000000"/>
    <w:rsid w:val="000C0C4C"/>
    <w:rsid w:val="030F672F"/>
    <w:rsid w:val="06B65283"/>
    <w:rsid w:val="06BF1B73"/>
    <w:rsid w:val="07171E86"/>
    <w:rsid w:val="073C31C4"/>
    <w:rsid w:val="0761185F"/>
    <w:rsid w:val="0768220B"/>
    <w:rsid w:val="08BC701C"/>
    <w:rsid w:val="093700E7"/>
    <w:rsid w:val="097E1B50"/>
    <w:rsid w:val="0A751D2E"/>
    <w:rsid w:val="0BED706C"/>
    <w:rsid w:val="0CA7419B"/>
    <w:rsid w:val="0DC3019B"/>
    <w:rsid w:val="0E096E3A"/>
    <w:rsid w:val="11D16BFE"/>
    <w:rsid w:val="11F07FC5"/>
    <w:rsid w:val="12726339"/>
    <w:rsid w:val="127557DC"/>
    <w:rsid w:val="12C50511"/>
    <w:rsid w:val="12D544CC"/>
    <w:rsid w:val="141D53FC"/>
    <w:rsid w:val="14DF1632"/>
    <w:rsid w:val="151759FB"/>
    <w:rsid w:val="1529613C"/>
    <w:rsid w:val="164A48B1"/>
    <w:rsid w:val="18235E31"/>
    <w:rsid w:val="19416241"/>
    <w:rsid w:val="197762DD"/>
    <w:rsid w:val="19931457"/>
    <w:rsid w:val="19A8745A"/>
    <w:rsid w:val="1C0D5068"/>
    <w:rsid w:val="1CCE7826"/>
    <w:rsid w:val="1CFA525B"/>
    <w:rsid w:val="1E1C321D"/>
    <w:rsid w:val="1E852C8E"/>
    <w:rsid w:val="1EB12D29"/>
    <w:rsid w:val="1EB34EF7"/>
    <w:rsid w:val="21D4251F"/>
    <w:rsid w:val="22A206E0"/>
    <w:rsid w:val="22DC7789"/>
    <w:rsid w:val="22F4099F"/>
    <w:rsid w:val="243472A5"/>
    <w:rsid w:val="25FA74A7"/>
    <w:rsid w:val="26920BFA"/>
    <w:rsid w:val="274F43F6"/>
    <w:rsid w:val="27A209C9"/>
    <w:rsid w:val="27AE736E"/>
    <w:rsid w:val="27E50784"/>
    <w:rsid w:val="27EC7DD8"/>
    <w:rsid w:val="2813617D"/>
    <w:rsid w:val="29590566"/>
    <w:rsid w:val="29C80343"/>
    <w:rsid w:val="2A2258B2"/>
    <w:rsid w:val="2CAF086A"/>
    <w:rsid w:val="2CFB664E"/>
    <w:rsid w:val="2DE2072E"/>
    <w:rsid w:val="2DF24E20"/>
    <w:rsid w:val="2EAF7B40"/>
    <w:rsid w:val="2ED34783"/>
    <w:rsid w:val="2F911A4F"/>
    <w:rsid w:val="2F964A23"/>
    <w:rsid w:val="31A30FDD"/>
    <w:rsid w:val="31CC13A8"/>
    <w:rsid w:val="34775202"/>
    <w:rsid w:val="348F0527"/>
    <w:rsid w:val="34E445A0"/>
    <w:rsid w:val="363A4DC9"/>
    <w:rsid w:val="38334969"/>
    <w:rsid w:val="383449EC"/>
    <w:rsid w:val="38883C0B"/>
    <w:rsid w:val="3A3E4582"/>
    <w:rsid w:val="3B563A60"/>
    <w:rsid w:val="3BC9431F"/>
    <w:rsid w:val="3C6109FB"/>
    <w:rsid w:val="3D93111C"/>
    <w:rsid w:val="3DBF3C2B"/>
    <w:rsid w:val="3DD6235F"/>
    <w:rsid w:val="3E2274D6"/>
    <w:rsid w:val="3F3712C1"/>
    <w:rsid w:val="3F84512C"/>
    <w:rsid w:val="3F8468BA"/>
    <w:rsid w:val="41D63B0D"/>
    <w:rsid w:val="41DD0B24"/>
    <w:rsid w:val="428611BC"/>
    <w:rsid w:val="432E715D"/>
    <w:rsid w:val="4388398F"/>
    <w:rsid w:val="45232C47"/>
    <w:rsid w:val="46AA6BFB"/>
    <w:rsid w:val="47CD33E9"/>
    <w:rsid w:val="48EB7369"/>
    <w:rsid w:val="49CA0DC2"/>
    <w:rsid w:val="4A2C089A"/>
    <w:rsid w:val="4AD6326F"/>
    <w:rsid w:val="4AE24F66"/>
    <w:rsid w:val="4B854B03"/>
    <w:rsid w:val="4D953569"/>
    <w:rsid w:val="4DE1374A"/>
    <w:rsid w:val="4EA85EEE"/>
    <w:rsid w:val="4ECD737D"/>
    <w:rsid w:val="4ED35788"/>
    <w:rsid w:val="4F45114D"/>
    <w:rsid w:val="4FDF118C"/>
    <w:rsid w:val="4FE17A31"/>
    <w:rsid w:val="509A7DB5"/>
    <w:rsid w:val="522133EE"/>
    <w:rsid w:val="524A3079"/>
    <w:rsid w:val="52E87329"/>
    <w:rsid w:val="55D51585"/>
    <w:rsid w:val="56B41E25"/>
    <w:rsid w:val="56D976B4"/>
    <w:rsid w:val="56EF2B85"/>
    <w:rsid w:val="58676F42"/>
    <w:rsid w:val="5868092F"/>
    <w:rsid w:val="588E2720"/>
    <w:rsid w:val="58EF652E"/>
    <w:rsid w:val="59912FC5"/>
    <w:rsid w:val="5ABF4DA6"/>
    <w:rsid w:val="5B9A2DDE"/>
    <w:rsid w:val="5C661155"/>
    <w:rsid w:val="5C7B2FBB"/>
    <w:rsid w:val="5D7F0FB0"/>
    <w:rsid w:val="5FD967E5"/>
    <w:rsid w:val="60990867"/>
    <w:rsid w:val="60AD6C1B"/>
    <w:rsid w:val="62E25B42"/>
    <w:rsid w:val="63554A0D"/>
    <w:rsid w:val="647B624F"/>
    <w:rsid w:val="64B74DAD"/>
    <w:rsid w:val="650D04D5"/>
    <w:rsid w:val="66285796"/>
    <w:rsid w:val="6659368A"/>
    <w:rsid w:val="6A7C1846"/>
    <w:rsid w:val="6B4E2971"/>
    <w:rsid w:val="6E4F6056"/>
    <w:rsid w:val="6FEB3399"/>
    <w:rsid w:val="716D3C1B"/>
    <w:rsid w:val="718C0E02"/>
    <w:rsid w:val="72D82ABE"/>
    <w:rsid w:val="74354BED"/>
    <w:rsid w:val="74561080"/>
    <w:rsid w:val="75972815"/>
    <w:rsid w:val="766E2ED7"/>
    <w:rsid w:val="77F0488D"/>
    <w:rsid w:val="79CF0EE8"/>
    <w:rsid w:val="7AED239F"/>
    <w:rsid w:val="7C105077"/>
    <w:rsid w:val="7D0B5B4A"/>
    <w:rsid w:val="7DC205F3"/>
    <w:rsid w:val="7E062879"/>
    <w:rsid w:val="7ECE77F8"/>
    <w:rsid w:val="7F8518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oleObject" Target="embeddings/oleObject1.bin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3353</Words>
  <Characters>3878</Characters>
  <TotalTime>9</TotalTime>
  <ScaleCrop>false</ScaleCrop>
  <LinksUpToDate>false</LinksUpToDate>
  <CharactersWithSpaces>4140</CharactersWithSpaces>
  <Application>WPS Office_12.1.0.15712_F1E327BC-269C-435d-A152-05C5408002CA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2025-12-01T08:59:00Z</dcterms:created>
  <dc:creator>Administrator</dc:creator>
  <cp:lastModifiedBy>倾听</cp:lastModifiedBy>
  <cp:lastPrinted>2026-09-16T06:50:00Z</cp:lastPrinted>
  <dcterms:modified xsi:type="dcterms:W3CDTF">2026-09-17T09:36:53Z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2025-12-01T08:59:58Z</vt:filetime>
  </property>
  <property fmtid="{D5CDD505-2E9C-101B-9397-08002B2CF9AE}" pid="4" name="UsrData">
    <vt:lpwstr>692ce88c0c9584001fde0860wl</vt:lpwstr>
  </property>
  <property fmtid="{D5CDD505-2E9C-101B-9397-08002B2CF9AE}" pid="5" name="KSOTemplateDocerSaveRecord">
    <vt:lpwstr>eyJoZGlkIjoiMzIzNTU2MzMxNTNmM2MzY2RjNGU0M2VmNzZkMjkyYWIiLCJ1c2VySWQiOiI0NTA2NDYwMjAifQ==</vt:lpwstr>
  </property>
  <property fmtid="{D5CDD505-2E9C-101B-9397-08002B2CF9AE}" pid="6" name="KSOProductBuildVer">
    <vt:lpwstr>2052-12.1.0.15712</vt:lpwstr>
  </property>
  <property fmtid="{D5CDD505-2E9C-101B-9397-08002B2CF9AE}" pid="7" name="ICV">
    <vt:lpwstr>DD36A7C369494ACA8EF43C1A15F4F58C_13</vt:lpwstr>
  </property>
  <property fmtid="{D5CDD505-2E9C-101B-9397-08002B2CF9AE}" pid="8" name="EagleCloud">
    <vt:lpwstr>61676334b4e8422151e43967553014381f5e06876ebe2bbce66cedec39aecaac9e60da91a32bcea9066488722440b91e39b14d249a2c1062a854f440e1de2dd839364240fb3cb2ed3f5b47b5a74b7b51705c5ed101d1aba9215a18258aff33da27409d3424d7f5b40e5203d202ea1080739416bad9c07d68982c41622263991</vt:lpwstr>
  </property>
  <property fmtid="{D5CDD505-2E9C-101B-9397-08002B2CF9AE}" pid="9" name="EagleCloud1">
    <vt:lpwstr>d612d690530dd0078f5e39349161e45f1aca9c1654e72ccd1fe279d149574f4ada8895ed445e6a1cea9b93dda9b8d84a0c34aef47282bea616c2da8dbfeb92d2c9e047038f67c57610a9a6baf1edc9921d6d0c6504fbf436ed2a150575271ed058c422ea2f969177caabec18c0dfd712f947d92173a6da2cdac2bd503ff5c67</vt:lpwstr>
  </property>
  <property fmtid="{D5CDD505-2E9C-101B-9397-08002B2CF9AE}" pid="10" name="EagleCloud2">
    <vt:lpwstr>e87ceb8925098b1d6b3e377cc43b3206f7847f62293015cf28d6a94f3a4d7426ef2ea525200c4d6055bd4deaffe2ee28c6705c5ed101d1aba9215a18258aff33da27409d3424d7f5b40e5203d202ea1080433fb2dce8fc5ad1d6983627715a518e8c6f76951688071e302b872ddee2abf3ad6d8c9ab95ad02d46779291c0563</vt:lpwstr>
  </property>
  <property fmtid="{D5CDD505-2E9C-101B-9397-08002B2CF9AE}" pid="11" name="EagleCloud3">
    <vt:lpwstr>745943c5ea49a6037a8481346841bacc82f2b193ee1602da46000d43fbaa168f6ae9cd08908c06505470c89a82771b0dea7bbc2d1ae9606e265fb21a3afbcc0e1c6</vt:lpwstr>
  </property>
</Properties>
</file>